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 ContentType="application/vnd.ms-powerpoi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page" w:tblpX="2989" w:tblpY="-11788"/>
        <w:tblOverlap w:val="never"/>
        <w:tblW w:w="7338" w:type="dxa"/>
        <w:tblLayout w:type="fixed"/>
        <w:tblLook w:val="04A0" w:firstRow="1" w:lastRow="0" w:firstColumn="1" w:lastColumn="0" w:noHBand="0" w:noVBand="1"/>
      </w:tblPr>
      <w:tblGrid>
        <w:gridCol w:w="158"/>
        <w:gridCol w:w="7180"/>
      </w:tblGrid>
      <w:tr w:rsidR="00E233A6" w14:paraId="47CB7177" w14:textId="77777777" w:rsidTr="00B532EF">
        <w:trPr>
          <w:trHeight w:val="6379"/>
        </w:trPr>
        <w:tc>
          <w:tcPr>
            <w:tcW w:w="7338" w:type="dxa"/>
            <w:gridSpan w:val="2"/>
            <w:tcBorders>
              <w:bottom w:val="single" w:sz="2" w:space="0" w:color="BFBFBF" w:themeColor="background1" w:themeShade="BF"/>
            </w:tcBorders>
          </w:tcPr>
          <w:p w14:paraId="015FB27E" w14:textId="77777777" w:rsidR="002139A4" w:rsidRDefault="002139A4" w:rsidP="00593D34">
            <w:pPr>
              <w:spacing w:before="120" w:after="0" w:line="252" w:lineRule="auto"/>
              <w:jc w:val="center"/>
            </w:pPr>
          </w:p>
          <w:p w14:paraId="4F4F40AC" w14:textId="77777777" w:rsidR="002139A4" w:rsidRDefault="002139A4" w:rsidP="00593D34">
            <w:pPr>
              <w:spacing w:before="120" w:after="0" w:line="252" w:lineRule="auto"/>
              <w:jc w:val="center"/>
            </w:pPr>
          </w:p>
          <w:tbl>
            <w:tblPr>
              <w:tblpPr w:leftFromText="141" w:rightFromText="141" w:vertAnchor="page" w:horzAnchor="page" w:tblpX="21" w:tblpY="762"/>
              <w:tblOverlap w:val="never"/>
              <w:tblW w:w="7230" w:type="dxa"/>
              <w:tblLayout w:type="fixed"/>
              <w:tblCellMar>
                <w:left w:w="0" w:type="dxa"/>
                <w:right w:w="0" w:type="dxa"/>
              </w:tblCellMar>
              <w:tblLook w:val="04A0" w:firstRow="1" w:lastRow="0" w:firstColumn="1" w:lastColumn="0" w:noHBand="0" w:noVBand="1"/>
            </w:tblPr>
            <w:tblGrid>
              <w:gridCol w:w="7230"/>
            </w:tblGrid>
            <w:tr w:rsidR="008167C2" w14:paraId="3CB95D83" w14:textId="77777777" w:rsidTr="008167C2">
              <w:trPr>
                <w:trHeight w:val="288"/>
              </w:trPr>
              <w:tc>
                <w:tcPr>
                  <w:tcW w:w="7230" w:type="dxa"/>
                  <w:shd w:val="clear" w:color="auto" w:fill="983620" w:themeFill="accent2"/>
                </w:tcPr>
                <w:p w14:paraId="2E70E978" w14:textId="77777777" w:rsidR="008167C2" w:rsidRDefault="008167C2" w:rsidP="00593D34">
                  <w:pPr>
                    <w:pStyle w:val="NoSpacing"/>
                    <w:spacing w:before="120" w:line="252" w:lineRule="auto"/>
                    <w:ind w:left="-567" w:right="-1132"/>
                    <w:jc w:val="center"/>
                  </w:pPr>
                </w:p>
              </w:tc>
            </w:tr>
            <w:tr w:rsidR="008167C2" w14:paraId="11DF6981" w14:textId="77777777" w:rsidTr="008167C2">
              <w:tc>
                <w:tcPr>
                  <w:tcW w:w="7230" w:type="dxa"/>
                </w:tcPr>
                <w:p w14:paraId="2E4537EB" w14:textId="77777777" w:rsidR="008167C2" w:rsidRDefault="008167C2" w:rsidP="00593D34">
                  <w:pPr>
                    <w:pStyle w:val="NoSpacing"/>
                    <w:spacing w:before="120" w:line="252" w:lineRule="auto"/>
                    <w:jc w:val="center"/>
                  </w:pPr>
                </w:p>
                <w:p w14:paraId="307EF73B" w14:textId="77777777" w:rsidR="008167C2" w:rsidRDefault="008167C2" w:rsidP="00593D34">
                  <w:pPr>
                    <w:pStyle w:val="NoSpacing"/>
                    <w:spacing w:before="120" w:line="252" w:lineRule="auto"/>
                    <w:jc w:val="center"/>
                  </w:pPr>
                </w:p>
              </w:tc>
            </w:tr>
          </w:tbl>
          <w:p w14:paraId="42DF2FE3" w14:textId="77777777" w:rsidR="008167C2" w:rsidRPr="00682784" w:rsidRDefault="00E233A6" w:rsidP="00593D34">
            <w:pPr>
              <w:spacing w:before="120" w:after="0" w:line="252" w:lineRule="auto"/>
              <w:jc w:val="center"/>
              <w:rPr>
                <w:sz w:val="44"/>
                <w:szCs w:val="44"/>
                <w:lang w:val="en-GB"/>
              </w:rPr>
            </w:pPr>
            <w:r w:rsidRPr="00682784">
              <w:rPr>
                <w:sz w:val="44"/>
                <w:szCs w:val="44"/>
                <w:lang w:val="en-GB"/>
              </w:rPr>
              <w:t>Eu</w:t>
            </w:r>
            <w:r w:rsidR="00B532EF" w:rsidRPr="00682784">
              <w:rPr>
                <w:sz w:val="44"/>
                <w:szCs w:val="44"/>
                <w:lang w:val="en-GB"/>
              </w:rPr>
              <w:t xml:space="preserve">ropean Neighbourhood </w:t>
            </w:r>
            <w:r w:rsidR="001262C5" w:rsidRPr="00682784">
              <w:rPr>
                <w:sz w:val="44"/>
                <w:szCs w:val="44"/>
                <w:lang w:val="en-GB"/>
              </w:rPr>
              <w:t xml:space="preserve">Instrument </w:t>
            </w:r>
            <w:r w:rsidRPr="00682784">
              <w:rPr>
                <w:sz w:val="44"/>
                <w:szCs w:val="44"/>
                <w:lang w:val="en-GB"/>
              </w:rPr>
              <w:t>Cross-Border Cooperation</w:t>
            </w:r>
          </w:p>
          <w:p w14:paraId="073CEFE2" w14:textId="77777777" w:rsidR="00E233A6" w:rsidRPr="008354B0" w:rsidRDefault="008167C2" w:rsidP="008354B0">
            <w:pPr>
              <w:spacing w:before="120" w:after="0" w:line="252" w:lineRule="auto"/>
              <w:jc w:val="center"/>
              <w:rPr>
                <w:sz w:val="52"/>
                <w:szCs w:val="52"/>
              </w:rPr>
            </w:pPr>
            <w:r>
              <w:rPr>
                <w:noProof/>
                <w:lang w:val="en-GB" w:eastAsia="en-GB"/>
              </w:rPr>
              <w:drawing>
                <wp:inline distT="0" distB="0" distL="0" distR="0" wp14:anchorId="4B529C01" wp14:editId="3B37B33F">
                  <wp:extent cx="913557" cy="620725"/>
                  <wp:effectExtent l="0" t="0" r="1270" b="0"/>
                  <wp:docPr id="11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804" cy="621572"/>
                          </a:xfrm>
                          <a:prstGeom prst="rect">
                            <a:avLst/>
                          </a:prstGeom>
                          <a:noFill/>
                          <a:ln>
                            <a:noFill/>
                          </a:ln>
                        </pic:spPr>
                      </pic:pic>
                    </a:graphicData>
                  </a:graphic>
                </wp:inline>
              </w:drawing>
            </w:r>
          </w:p>
        </w:tc>
      </w:tr>
      <w:tr w:rsidR="00E233A6" w:rsidRPr="00B71347" w14:paraId="6382EE45" w14:textId="77777777" w:rsidTr="007F322A">
        <w:trPr>
          <w:gridBefore w:val="1"/>
          <w:wBefore w:w="158" w:type="dxa"/>
          <w:trHeight w:val="1121"/>
        </w:trPr>
        <w:tc>
          <w:tcPr>
            <w:tcW w:w="7180" w:type="dxa"/>
            <w:tcBorders>
              <w:top w:val="single" w:sz="2" w:space="0" w:color="BFBFBF" w:themeColor="background1" w:themeShade="BF"/>
              <w:bottom w:val="single" w:sz="2" w:space="0" w:color="BFBFBF" w:themeColor="background1" w:themeShade="BF"/>
            </w:tcBorders>
            <w:vAlign w:val="bottom"/>
          </w:tcPr>
          <w:sdt>
            <w:sdtPr>
              <w:rPr>
                <w:b/>
                <w:sz w:val="60"/>
                <w:szCs w:val="60"/>
                <w:lang w:val="en-GB"/>
              </w:rPr>
              <w:alias w:val="Title"/>
              <w:tag w:val=""/>
              <w:id w:val="-841541200"/>
              <w:placeholder>
                <w:docPart w:val="FDC80A160D2ADC438A3B737CDBBCC658"/>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62CCBD31" w14:textId="1900715B" w:rsidR="00E233A6" w:rsidRPr="00F50EFE" w:rsidRDefault="002A4AAA" w:rsidP="007F322A">
                <w:pPr>
                  <w:pStyle w:val="Title"/>
                  <w:spacing w:before="0" w:after="120" w:line="252" w:lineRule="auto"/>
                  <w:jc w:val="center"/>
                  <w:rPr>
                    <w:b/>
                    <w:sz w:val="64"/>
                    <w:szCs w:val="64"/>
                    <w:lang w:val="en-GB"/>
                  </w:rPr>
                </w:pPr>
                <w:r w:rsidRPr="005B7683">
                  <w:rPr>
                    <w:b/>
                    <w:sz w:val="60"/>
                    <w:szCs w:val="60"/>
                    <w:lang w:val="en-GB"/>
                  </w:rPr>
                  <w:t>Joint Operational Programme Black Sea Basin 2014-2020</w:t>
                </w:r>
              </w:p>
            </w:sdtContent>
          </w:sdt>
        </w:tc>
      </w:tr>
      <w:tr w:rsidR="00E233A6" w:rsidRPr="00A1064F" w14:paraId="6E314851" w14:textId="77777777" w:rsidTr="00B532EF">
        <w:trPr>
          <w:gridBefore w:val="1"/>
          <w:wBefore w:w="158" w:type="dxa"/>
        </w:trPr>
        <w:tc>
          <w:tcPr>
            <w:tcW w:w="7180" w:type="dxa"/>
            <w:tcBorders>
              <w:top w:val="single" w:sz="2" w:space="0" w:color="BFBFBF" w:themeColor="background1" w:themeShade="BF"/>
            </w:tcBorders>
          </w:tcPr>
          <w:p w14:paraId="2DB435B2" w14:textId="7E15258F" w:rsidR="009F1834" w:rsidRPr="009F1834" w:rsidRDefault="00387067" w:rsidP="00E11448">
            <w:pPr>
              <w:pStyle w:val="Footer"/>
              <w:spacing w:before="120" w:line="252" w:lineRule="auto"/>
              <w:jc w:val="center"/>
              <w:rPr>
                <w:sz w:val="52"/>
                <w:szCs w:val="52"/>
                <w:lang w:val="en-GB"/>
              </w:rPr>
            </w:pPr>
            <w:r w:rsidRPr="009F1834">
              <w:rPr>
                <w:sz w:val="52"/>
                <w:szCs w:val="52"/>
                <w:lang w:val="en-GB"/>
              </w:rPr>
              <w:t xml:space="preserve"> </w:t>
            </w:r>
          </w:p>
          <w:p w14:paraId="30FBB55E" w14:textId="2FDF61CC" w:rsidR="00E233A6" w:rsidRDefault="004268FA" w:rsidP="00E11448">
            <w:pPr>
              <w:pStyle w:val="Footer"/>
              <w:spacing w:before="120" w:line="252" w:lineRule="auto"/>
              <w:jc w:val="center"/>
              <w:rPr>
                <w:sz w:val="28"/>
                <w:szCs w:val="28"/>
                <w:lang w:val="en-GB"/>
              </w:rPr>
            </w:pPr>
            <w:r w:rsidRPr="009F1834">
              <w:rPr>
                <w:rFonts w:asciiTheme="majorHAnsi" w:eastAsiaTheme="majorEastAsia" w:hAnsiTheme="majorHAnsi" w:cstheme="majorBidi"/>
                <w:b/>
                <w:noProof/>
                <w:color w:val="983620" w:themeColor="accent2"/>
                <w:kern w:val="28"/>
                <w:sz w:val="52"/>
                <w:szCs w:val="52"/>
                <w:lang w:val="en-GB" w:eastAsia="en-GB"/>
              </w:rPr>
              <w:drawing>
                <wp:anchor distT="0" distB="0" distL="114300" distR="114300" simplePos="0" relativeHeight="251686912" behindDoc="0" locked="0" layoutInCell="1" allowOverlap="1" wp14:anchorId="62E44C67" wp14:editId="7246CE23">
                  <wp:simplePos x="0" y="0"/>
                  <wp:positionH relativeFrom="column">
                    <wp:posOffset>974090</wp:posOffset>
                  </wp:positionH>
                  <wp:positionV relativeFrom="paragraph">
                    <wp:posOffset>1108710</wp:posOffset>
                  </wp:positionV>
                  <wp:extent cx="2603500" cy="1892300"/>
                  <wp:effectExtent l="0" t="0" r="6350" b="0"/>
                  <wp:wrapThrough wrapText="bothSides">
                    <wp:wrapPolygon edited="0">
                      <wp:start x="0" y="0"/>
                      <wp:lineTo x="0" y="21310"/>
                      <wp:lineTo x="21495" y="21310"/>
                      <wp:lineTo x="21495" y="0"/>
                      <wp:lineTo x="0" y="0"/>
                    </wp:wrapPolygon>
                  </wp:wrapThrough>
                  <wp:docPr id="1176" name="Image 1176" descr="logo ZMN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ZMN cu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350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76A">
              <w:rPr>
                <w:sz w:val="28"/>
                <w:szCs w:val="28"/>
                <w:lang w:val="en-GB"/>
              </w:rPr>
              <w:t>(</w:t>
            </w:r>
            <w:r w:rsidR="00CA25CE">
              <w:rPr>
                <w:sz w:val="28"/>
                <w:szCs w:val="28"/>
                <w:lang w:val="en-GB"/>
              </w:rPr>
              <w:t xml:space="preserve">30 June </w:t>
            </w:r>
            <w:r w:rsidR="00E233A6" w:rsidRPr="00682784">
              <w:rPr>
                <w:sz w:val="28"/>
                <w:szCs w:val="28"/>
                <w:lang w:val="en-GB"/>
              </w:rPr>
              <w:t>2015</w:t>
            </w:r>
            <w:r w:rsidR="00CA25CE">
              <w:rPr>
                <w:sz w:val="28"/>
                <w:szCs w:val="28"/>
                <w:lang w:val="en-GB"/>
              </w:rPr>
              <w:t xml:space="preserve"> </w:t>
            </w:r>
            <w:r w:rsidR="00077772">
              <w:rPr>
                <w:sz w:val="28"/>
                <w:szCs w:val="28"/>
                <w:lang w:val="en-GB"/>
              </w:rPr>
              <w:t xml:space="preserve">- </w:t>
            </w:r>
            <w:r w:rsidR="00CA25CE">
              <w:rPr>
                <w:sz w:val="28"/>
                <w:szCs w:val="28"/>
                <w:lang w:val="en-GB"/>
              </w:rPr>
              <w:t xml:space="preserve">revised </w:t>
            </w:r>
            <w:r w:rsidR="00005F78">
              <w:rPr>
                <w:sz w:val="28"/>
                <w:szCs w:val="28"/>
                <w:lang w:val="en-GB"/>
              </w:rPr>
              <w:t>November 2015</w:t>
            </w:r>
            <w:r w:rsidR="00A7076A">
              <w:rPr>
                <w:sz w:val="28"/>
                <w:szCs w:val="28"/>
                <w:lang w:val="en-GB"/>
              </w:rPr>
              <w:t>)</w:t>
            </w:r>
          </w:p>
          <w:p w14:paraId="02359261" w14:textId="77777777" w:rsidR="004268FA" w:rsidRDefault="004268FA" w:rsidP="00E11448">
            <w:pPr>
              <w:pStyle w:val="Footer"/>
              <w:spacing w:before="120" w:line="252" w:lineRule="auto"/>
              <w:jc w:val="center"/>
              <w:rPr>
                <w:sz w:val="28"/>
                <w:szCs w:val="28"/>
                <w:lang w:val="en-GB"/>
              </w:rPr>
            </w:pPr>
          </w:p>
          <w:p w14:paraId="5C3D3F98" w14:textId="77777777" w:rsidR="004268FA" w:rsidRDefault="004268FA" w:rsidP="00E11448">
            <w:pPr>
              <w:pStyle w:val="Footer"/>
              <w:spacing w:before="120" w:line="252" w:lineRule="auto"/>
              <w:jc w:val="center"/>
              <w:rPr>
                <w:sz w:val="28"/>
                <w:szCs w:val="28"/>
                <w:lang w:val="en-GB"/>
              </w:rPr>
            </w:pPr>
          </w:p>
          <w:p w14:paraId="34BD9871" w14:textId="77777777" w:rsidR="004268FA" w:rsidRPr="00682784" w:rsidRDefault="004268FA" w:rsidP="00E11448">
            <w:pPr>
              <w:pStyle w:val="Footer"/>
              <w:spacing w:before="120" w:line="252" w:lineRule="auto"/>
              <w:jc w:val="center"/>
              <w:rPr>
                <w:b/>
                <w:sz w:val="28"/>
                <w:szCs w:val="28"/>
                <w:lang w:val="en-GB"/>
              </w:rPr>
            </w:pPr>
          </w:p>
          <w:p w14:paraId="4369AAFE" w14:textId="77777777" w:rsidR="00EC28E8" w:rsidRPr="00682784" w:rsidRDefault="00EC28E8" w:rsidP="00E11448">
            <w:pPr>
              <w:pStyle w:val="Footer"/>
              <w:spacing w:before="120" w:line="252" w:lineRule="auto"/>
              <w:jc w:val="center"/>
              <w:rPr>
                <w:b/>
                <w:sz w:val="28"/>
                <w:szCs w:val="28"/>
                <w:lang w:val="en-GB"/>
              </w:rPr>
            </w:pPr>
          </w:p>
          <w:p w14:paraId="47D1B5EE" w14:textId="77777777" w:rsidR="00EC28E8" w:rsidRPr="00682784" w:rsidRDefault="00EC28E8" w:rsidP="00E11448">
            <w:pPr>
              <w:pStyle w:val="Footer"/>
              <w:spacing w:before="120" w:line="252" w:lineRule="auto"/>
              <w:jc w:val="center"/>
              <w:rPr>
                <w:b/>
                <w:sz w:val="28"/>
                <w:szCs w:val="28"/>
                <w:lang w:val="en-GB"/>
              </w:rPr>
            </w:pPr>
          </w:p>
          <w:p w14:paraId="533D3544" w14:textId="77777777" w:rsidR="00E233A6" w:rsidRPr="00743743" w:rsidRDefault="00E233A6" w:rsidP="00E11448">
            <w:pPr>
              <w:pStyle w:val="Footer"/>
              <w:spacing w:before="120" w:line="252" w:lineRule="auto"/>
              <w:jc w:val="center"/>
              <w:rPr>
                <w:b/>
                <w:sz w:val="24"/>
                <w:lang w:val="en-GB"/>
              </w:rPr>
            </w:pPr>
          </w:p>
        </w:tc>
      </w:tr>
    </w:tbl>
    <w:sdt>
      <w:sdtPr>
        <w:rPr>
          <w:rFonts w:asciiTheme="minorHAnsi" w:hAnsiTheme="minorHAnsi"/>
          <w:color w:val="auto"/>
          <w:sz w:val="22"/>
          <w:szCs w:val="22"/>
        </w:rPr>
        <w:id w:val="-857887824"/>
      </w:sdtPr>
      <w:sdtEndPr>
        <w:rPr>
          <w:b/>
          <w:bCs/>
          <w:noProof/>
        </w:rPr>
      </w:sdtEndPr>
      <w:sdtContent>
        <w:p w14:paraId="73B04ABA" w14:textId="77777777" w:rsidR="00612000" w:rsidRPr="001767F1" w:rsidRDefault="00AB0047" w:rsidP="00730F98">
          <w:pPr>
            <w:pStyle w:val="TOCHeading"/>
            <w:pBdr>
              <w:bottom w:val="single" w:sz="2" w:space="3" w:color="BFBFBF" w:themeColor="background1" w:themeShade="BF"/>
            </w:pBdr>
            <w:spacing w:before="120" w:after="0" w:line="240" w:lineRule="auto"/>
            <w:rPr>
              <w:rFonts w:asciiTheme="minorHAnsi" w:hAnsiTheme="minorHAnsi"/>
              <w:b/>
              <w:sz w:val="24"/>
              <w:szCs w:val="22"/>
              <w:lang w:val="en-GB"/>
            </w:rPr>
          </w:pPr>
          <w:r w:rsidRPr="001767F1">
            <w:rPr>
              <w:rFonts w:asciiTheme="minorHAnsi" w:hAnsiTheme="minorHAnsi"/>
              <w:b/>
              <w:sz w:val="24"/>
              <w:szCs w:val="22"/>
              <w:lang w:val="en-GB"/>
            </w:rPr>
            <w:t>Table of Contents</w:t>
          </w:r>
        </w:p>
        <w:p w14:paraId="20B38608" w14:textId="77777777" w:rsidR="00514B53" w:rsidRDefault="00AB0047">
          <w:pPr>
            <w:pStyle w:val="TOC1"/>
            <w:tabs>
              <w:tab w:val="right" w:leader="dot" w:pos="9607"/>
            </w:tabs>
            <w:rPr>
              <w:noProof/>
              <w:color w:val="auto"/>
              <w:sz w:val="22"/>
              <w:szCs w:val="22"/>
              <w:lang w:val="en-GB" w:eastAsia="en-GB"/>
            </w:rPr>
          </w:pPr>
          <w:r w:rsidRPr="003825CA">
            <w:rPr>
              <w:sz w:val="22"/>
              <w:szCs w:val="22"/>
            </w:rPr>
            <w:fldChar w:fldCharType="begin"/>
          </w:r>
          <w:r w:rsidR="00761E10">
            <w:rPr>
              <w:sz w:val="22"/>
              <w:szCs w:val="22"/>
              <w:lang w:val="en-GB"/>
            </w:rPr>
            <w:instrText>TOC</w:instrText>
          </w:r>
          <w:r w:rsidRPr="003825CA">
            <w:rPr>
              <w:sz w:val="22"/>
              <w:szCs w:val="22"/>
              <w:lang w:val="en-GB"/>
            </w:rPr>
            <w:instrText xml:space="preserve"> \o "1-3" \h \z \u</w:instrText>
          </w:r>
          <w:r w:rsidRPr="003825CA">
            <w:rPr>
              <w:sz w:val="22"/>
              <w:szCs w:val="22"/>
            </w:rPr>
            <w:fldChar w:fldCharType="separate"/>
          </w:r>
          <w:hyperlink w:anchor="_Toc423436260" w:history="1">
            <w:r w:rsidR="00514B53" w:rsidRPr="00211764">
              <w:rPr>
                <w:rStyle w:val="Hyperlink"/>
                <w:noProof/>
                <w:lang w:val="en-GB"/>
              </w:rPr>
              <w:t>Joint Operational Programme Black Sea Basin 2014-2020</w:t>
            </w:r>
            <w:r w:rsidR="00514B53">
              <w:rPr>
                <w:noProof/>
                <w:webHidden/>
              </w:rPr>
              <w:tab/>
            </w:r>
            <w:r w:rsidR="00514B53">
              <w:rPr>
                <w:noProof/>
                <w:webHidden/>
              </w:rPr>
              <w:fldChar w:fldCharType="begin"/>
            </w:r>
            <w:r w:rsidR="00514B53">
              <w:rPr>
                <w:noProof/>
                <w:webHidden/>
              </w:rPr>
              <w:instrText xml:space="preserve"> PAGEREF _Toc423436260 \h </w:instrText>
            </w:r>
            <w:r w:rsidR="00514B53">
              <w:rPr>
                <w:noProof/>
                <w:webHidden/>
              </w:rPr>
            </w:r>
            <w:r w:rsidR="00514B53">
              <w:rPr>
                <w:noProof/>
                <w:webHidden/>
              </w:rPr>
              <w:fldChar w:fldCharType="separate"/>
            </w:r>
            <w:r w:rsidR="00FF7FD2">
              <w:rPr>
                <w:noProof/>
                <w:webHidden/>
              </w:rPr>
              <w:t>1</w:t>
            </w:r>
            <w:r w:rsidR="00514B53">
              <w:rPr>
                <w:noProof/>
                <w:webHidden/>
              </w:rPr>
              <w:fldChar w:fldCharType="end"/>
            </w:r>
          </w:hyperlink>
        </w:p>
        <w:p w14:paraId="2229AA6A" w14:textId="77777777" w:rsidR="00514B53" w:rsidRDefault="00912E29">
          <w:pPr>
            <w:pStyle w:val="TOC1"/>
            <w:tabs>
              <w:tab w:val="left" w:pos="480"/>
              <w:tab w:val="right" w:leader="dot" w:pos="9607"/>
            </w:tabs>
            <w:rPr>
              <w:noProof/>
              <w:color w:val="auto"/>
              <w:sz w:val="22"/>
              <w:szCs w:val="22"/>
              <w:lang w:val="en-GB" w:eastAsia="en-GB"/>
            </w:rPr>
          </w:pPr>
          <w:hyperlink w:anchor="_Toc423436261" w:history="1">
            <w:r w:rsidR="00514B53" w:rsidRPr="00211764">
              <w:rPr>
                <w:rStyle w:val="Hyperlink"/>
                <w:rFonts w:ascii="Verdana" w:hAnsi="Verdana"/>
                <w:noProof/>
                <w:lang w:val="en-GB"/>
              </w:rPr>
              <w:t>◦</w:t>
            </w:r>
            <w:r w:rsidR="00514B53">
              <w:rPr>
                <w:noProof/>
                <w:color w:val="auto"/>
                <w:sz w:val="22"/>
                <w:szCs w:val="22"/>
                <w:lang w:val="en-GB" w:eastAsia="en-GB"/>
              </w:rPr>
              <w:tab/>
            </w:r>
            <w:r w:rsidR="00514B53" w:rsidRPr="00211764">
              <w:rPr>
                <w:rStyle w:val="Hyperlink"/>
                <w:noProof/>
                <w:lang w:val="en-GB"/>
              </w:rPr>
              <w:t>Executive summary</w:t>
            </w:r>
            <w:r w:rsidR="00514B53">
              <w:rPr>
                <w:noProof/>
                <w:webHidden/>
              </w:rPr>
              <w:tab/>
            </w:r>
            <w:r w:rsidR="00514B53">
              <w:rPr>
                <w:noProof/>
                <w:webHidden/>
              </w:rPr>
              <w:fldChar w:fldCharType="begin"/>
            </w:r>
            <w:r w:rsidR="00514B53">
              <w:rPr>
                <w:noProof/>
                <w:webHidden/>
              </w:rPr>
              <w:instrText xml:space="preserve"> PAGEREF _Toc423436261 \h </w:instrText>
            </w:r>
            <w:r w:rsidR="00514B53">
              <w:rPr>
                <w:noProof/>
                <w:webHidden/>
              </w:rPr>
            </w:r>
            <w:r w:rsidR="00514B53">
              <w:rPr>
                <w:noProof/>
                <w:webHidden/>
              </w:rPr>
              <w:fldChar w:fldCharType="separate"/>
            </w:r>
            <w:r w:rsidR="00FF7FD2">
              <w:rPr>
                <w:noProof/>
                <w:webHidden/>
              </w:rPr>
              <w:t>1</w:t>
            </w:r>
            <w:r w:rsidR="00514B53">
              <w:rPr>
                <w:noProof/>
                <w:webHidden/>
              </w:rPr>
              <w:fldChar w:fldCharType="end"/>
            </w:r>
          </w:hyperlink>
        </w:p>
        <w:p w14:paraId="337B5F41" w14:textId="77777777" w:rsidR="00514B53" w:rsidRDefault="00912E29">
          <w:pPr>
            <w:pStyle w:val="TOC3"/>
            <w:tabs>
              <w:tab w:val="left" w:pos="880"/>
              <w:tab w:val="right" w:leader="dot" w:pos="9607"/>
            </w:tabs>
            <w:rPr>
              <w:noProof/>
              <w:sz w:val="22"/>
              <w:szCs w:val="22"/>
              <w:lang w:val="en-GB" w:eastAsia="en-GB"/>
            </w:rPr>
          </w:pPr>
          <w:hyperlink w:anchor="_Toc423436262" w:history="1">
            <w:r w:rsidR="00514B53" w:rsidRPr="00211764">
              <w:rPr>
                <w:rStyle w:val="Hyperlink"/>
                <w:b/>
                <w:noProof/>
                <w:lang w:val="en-GB"/>
              </w:rPr>
              <w:t>a.</w:t>
            </w:r>
            <w:r w:rsidR="00514B53">
              <w:rPr>
                <w:noProof/>
                <w:sz w:val="22"/>
                <w:szCs w:val="22"/>
                <w:lang w:val="en-GB" w:eastAsia="en-GB"/>
              </w:rPr>
              <w:tab/>
            </w:r>
            <w:r w:rsidR="00514B53" w:rsidRPr="00211764">
              <w:rPr>
                <w:rStyle w:val="Hyperlink"/>
                <w:b/>
                <w:noProof/>
                <w:lang w:val="en-GB"/>
              </w:rPr>
              <w:t>Introduction: Description of programme preparation steps</w:t>
            </w:r>
            <w:r w:rsidR="00514B53">
              <w:rPr>
                <w:noProof/>
                <w:webHidden/>
              </w:rPr>
              <w:tab/>
            </w:r>
            <w:r w:rsidR="00514B53">
              <w:rPr>
                <w:noProof/>
                <w:webHidden/>
              </w:rPr>
              <w:fldChar w:fldCharType="begin"/>
            </w:r>
            <w:r w:rsidR="00514B53">
              <w:rPr>
                <w:noProof/>
                <w:webHidden/>
              </w:rPr>
              <w:instrText xml:space="preserve"> PAGEREF _Toc423436262 \h </w:instrText>
            </w:r>
            <w:r w:rsidR="00514B53">
              <w:rPr>
                <w:noProof/>
                <w:webHidden/>
              </w:rPr>
            </w:r>
            <w:r w:rsidR="00514B53">
              <w:rPr>
                <w:noProof/>
                <w:webHidden/>
              </w:rPr>
              <w:fldChar w:fldCharType="separate"/>
            </w:r>
            <w:r w:rsidR="00FF7FD2">
              <w:rPr>
                <w:noProof/>
                <w:webHidden/>
              </w:rPr>
              <w:t>1</w:t>
            </w:r>
            <w:r w:rsidR="00514B53">
              <w:rPr>
                <w:noProof/>
                <w:webHidden/>
              </w:rPr>
              <w:fldChar w:fldCharType="end"/>
            </w:r>
          </w:hyperlink>
        </w:p>
        <w:p w14:paraId="1F0203AD" w14:textId="77777777" w:rsidR="00514B53" w:rsidRDefault="00912E29">
          <w:pPr>
            <w:pStyle w:val="TOC3"/>
            <w:tabs>
              <w:tab w:val="left" w:pos="880"/>
              <w:tab w:val="right" w:leader="dot" w:pos="9607"/>
            </w:tabs>
            <w:rPr>
              <w:noProof/>
              <w:sz w:val="22"/>
              <w:szCs w:val="22"/>
              <w:lang w:val="en-GB" w:eastAsia="en-GB"/>
            </w:rPr>
          </w:pPr>
          <w:hyperlink w:anchor="_Toc423436263" w:history="1">
            <w:r w:rsidR="00514B53" w:rsidRPr="00211764">
              <w:rPr>
                <w:rStyle w:val="Hyperlink"/>
                <w:b/>
                <w:noProof/>
                <w:lang w:val="en-GB"/>
              </w:rPr>
              <w:t>b.</w:t>
            </w:r>
            <w:r w:rsidR="00514B53">
              <w:rPr>
                <w:noProof/>
                <w:sz w:val="22"/>
                <w:szCs w:val="22"/>
                <w:lang w:val="en-GB" w:eastAsia="en-GB"/>
              </w:rPr>
              <w:tab/>
            </w:r>
            <w:r w:rsidR="00514B53" w:rsidRPr="00211764">
              <w:rPr>
                <w:rStyle w:val="Hyperlink"/>
                <w:b/>
                <w:noProof/>
                <w:lang w:val="en-GB"/>
              </w:rPr>
              <w:t>Summary of programme strategy</w:t>
            </w:r>
            <w:r w:rsidR="00514B53">
              <w:rPr>
                <w:noProof/>
                <w:webHidden/>
              </w:rPr>
              <w:tab/>
            </w:r>
            <w:r w:rsidR="00514B53">
              <w:rPr>
                <w:noProof/>
                <w:webHidden/>
              </w:rPr>
              <w:fldChar w:fldCharType="begin"/>
            </w:r>
            <w:r w:rsidR="00514B53">
              <w:rPr>
                <w:noProof/>
                <w:webHidden/>
              </w:rPr>
              <w:instrText xml:space="preserve"> PAGEREF _Toc423436263 \h </w:instrText>
            </w:r>
            <w:r w:rsidR="00514B53">
              <w:rPr>
                <w:noProof/>
                <w:webHidden/>
              </w:rPr>
            </w:r>
            <w:r w:rsidR="00514B53">
              <w:rPr>
                <w:noProof/>
                <w:webHidden/>
              </w:rPr>
              <w:fldChar w:fldCharType="separate"/>
            </w:r>
            <w:r w:rsidR="00FF7FD2">
              <w:rPr>
                <w:noProof/>
                <w:webHidden/>
              </w:rPr>
              <w:t>3</w:t>
            </w:r>
            <w:r w:rsidR="00514B53">
              <w:rPr>
                <w:noProof/>
                <w:webHidden/>
              </w:rPr>
              <w:fldChar w:fldCharType="end"/>
            </w:r>
          </w:hyperlink>
        </w:p>
        <w:p w14:paraId="2B53CD21" w14:textId="77777777" w:rsidR="00514B53" w:rsidRDefault="00912E29">
          <w:pPr>
            <w:pStyle w:val="TOC3"/>
            <w:tabs>
              <w:tab w:val="left" w:pos="880"/>
              <w:tab w:val="right" w:leader="dot" w:pos="9607"/>
            </w:tabs>
            <w:rPr>
              <w:noProof/>
              <w:sz w:val="22"/>
              <w:szCs w:val="22"/>
              <w:lang w:val="en-GB" w:eastAsia="en-GB"/>
            </w:rPr>
          </w:pPr>
          <w:hyperlink w:anchor="_Toc423436264" w:history="1">
            <w:r w:rsidR="00514B53" w:rsidRPr="00211764">
              <w:rPr>
                <w:rStyle w:val="Hyperlink"/>
                <w:b/>
                <w:noProof/>
                <w:lang w:val="en-GB"/>
              </w:rPr>
              <w:t>c.</w:t>
            </w:r>
            <w:r w:rsidR="00514B53">
              <w:rPr>
                <w:noProof/>
                <w:sz w:val="22"/>
                <w:szCs w:val="22"/>
                <w:lang w:val="en-GB" w:eastAsia="en-GB"/>
              </w:rPr>
              <w:tab/>
            </w:r>
            <w:r w:rsidR="00514B53" w:rsidRPr="00211764">
              <w:rPr>
                <w:rStyle w:val="Hyperlink"/>
                <w:b/>
                <w:noProof/>
                <w:lang w:val="en-GB"/>
              </w:rPr>
              <w:t>Summary of programme management and implementation</w:t>
            </w:r>
            <w:r w:rsidR="00514B53">
              <w:rPr>
                <w:noProof/>
                <w:webHidden/>
              </w:rPr>
              <w:tab/>
            </w:r>
            <w:r w:rsidR="00514B53">
              <w:rPr>
                <w:noProof/>
                <w:webHidden/>
              </w:rPr>
              <w:fldChar w:fldCharType="begin"/>
            </w:r>
            <w:r w:rsidR="00514B53">
              <w:rPr>
                <w:noProof/>
                <w:webHidden/>
              </w:rPr>
              <w:instrText xml:space="preserve"> PAGEREF _Toc423436264 \h </w:instrText>
            </w:r>
            <w:r w:rsidR="00514B53">
              <w:rPr>
                <w:noProof/>
                <w:webHidden/>
              </w:rPr>
            </w:r>
            <w:r w:rsidR="00514B53">
              <w:rPr>
                <w:noProof/>
                <w:webHidden/>
              </w:rPr>
              <w:fldChar w:fldCharType="separate"/>
            </w:r>
            <w:r w:rsidR="00FF7FD2">
              <w:rPr>
                <w:noProof/>
                <w:webHidden/>
              </w:rPr>
              <w:t>4</w:t>
            </w:r>
            <w:r w:rsidR="00514B53">
              <w:rPr>
                <w:noProof/>
                <w:webHidden/>
              </w:rPr>
              <w:fldChar w:fldCharType="end"/>
            </w:r>
          </w:hyperlink>
        </w:p>
        <w:p w14:paraId="48F13731" w14:textId="77777777" w:rsidR="00514B53" w:rsidRDefault="00912E29">
          <w:pPr>
            <w:pStyle w:val="TOC1"/>
            <w:tabs>
              <w:tab w:val="left" w:pos="480"/>
              <w:tab w:val="right" w:leader="dot" w:pos="9607"/>
            </w:tabs>
            <w:rPr>
              <w:noProof/>
              <w:color w:val="auto"/>
              <w:sz w:val="22"/>
              <w:szCs w:val="22"/>
              <w:lang w:val="en-GB" w:eastAsia="en-GB"/>
            </w:rPr>
          </w:pPr>
          <w:hyperlink w:anchor="_Toc423436265" w:history="1">
            <w:r w:rsidR="00514B53" w:rsidRPr="00211764">
              <w:rPr>
                <w:rStyle w:val="Hyperlink"/>
                <w:noProof/>
                <w:lang w:val="en-GB"/>
              </w:rPr>
              <w:t>1.</w:t>
            </w:r>
            <w:r w:rsidR="00514B53">
              <w:rPr>
                <w:noProof/>
                <w:color w:val="auto"/>
                <w:sz w:val="22"/>
                <w:szCs w:val="22"/>
                <w:lang w:val="en-GB" w:eastAsia="en-GB"/>
              </w:rPr>
              <w:tab/>
            </w:r>
            <w:r w:rsidR="00514B53" w:rsidRPr="00211764">
              <w:rPr>
                <w:rStyle w:val="Hyperlink"/>
                <w:noProof/>
                <w:lang w:val="en-GB"/>
              </w:rPr>
              <w:t>Description of the Programme area</w:t>
            </w:r>
            <w:r w:rsidR="00514B53">
              <w:rPr>
                <w:noProof/>
                <w:webHidden/>
              </w:rPr>
              <w:tab/>
            </w:r>
            <w:r w:rsidR="00514B53">
              <w:rPr>
                <w:noProof/>
                <w:webHidden/>
              </w:rPr>
              <w:fldChar w:fldCharType="begin"/>
            </w:r>
            <w:r w:rsidR="00514B53">
              <w:rPr>
                <w:noProof/>
                <w:webHidden/>
              </w:rPr>
              <w:instrText xml:space="preserve"> PAGEREF _Toc423436265 \h </w:instrText>
            </w:r>
            <w:r w:rsidR="00514B53">
              <w:rPr>
                <w:noProof/>
                <w:webHidden/>
              </w:rPr>
            </w:r>
            <w:r w:rsidR="00514B53">
              <w:rPr>
                <w:noProof/>
                <w:webHidden/>
              </w:rPr>
              <w:fldChar w:fldCharType="separate"/>
            </w:r>
            <w:r w:rsidR="00FF7FD2">
              <w:rPr>
                <w:noProof/>
                <w:webHidden/>
              </w:rPr>
              <w:t>6</w:t>
            </w:r>
            <w:r w:rsidR="00514B53">
              <w:rPr>
                <w:noProof/>
                <w:webHidden/>
              </w:rPr>
              <w:fldChar w:fldCharType="end"/>
            </w:r>
          </w:hyperlink>
        </w:p>
        <w:p w14:paraId="68DF2239" w14:textId="77777777" w:rsidR="00514B53" w:rsidRDefault="00912E29">
          <w:pPr>
            <w:pStyle w:val="TOC3"/>
            <w:tabs>
              <w:tab w:val="right" w:leader="dot" w:pos="9607"/>
            </w:tabs>
            <w:rPr>
              <w:noProof/>
              <w:sz w:val="22"/>
              <w:szCs w:val="22"/>
              <w:lang w:val="en-GB" w:eastAsia="en-GB"/>
            </w:rPr>
          </w:pPr>
          <w:hyperlink w:anchor="_Toc423436266" w:history="1">
            <w:r w:rsidR="00514B53" w:rsidRPr="00211764">
              <w:rPr>
                <w:rStyle w:val="Hyperlink"/>
                <w:b/>
                <w:noProof/>
                <w:lang w:val="en-GB"/>
              </w:rPr>
              <w:t>1.1 Participating countries, core regions and Programme area</w:t>
            </w:r>
            <w:r w:rsidR="00514B53">
              <w:rPr>
                <w:noProof/>
                <w:webHidden/>
              </w:rPr>
              <w:tab/>
            </w:r>
            <w:r w:rsidR="00514B53">
              <w:rPr>
                <w:noProof/>
                <w:webHidden/>
              </w:rPr>
              <w:fldChar w:fldCharType="begin"/>
            </w:r>
            <w:r w:rsidR="00514B53">
              <w:rPr>
                <w:noProof/>
                <w:webHidden/>
              </w:rPr>
              <w:instrText xml:space="preserve"> PAGEREF _Toc423436266 \h </w:instrText>
            </w:r>
            <w:r w:rsidR="00514B53">
              <w:rPr>
                <w:noProof/>
                <w:webHidden/>
              </w:rPr>
            </w:r>
            <w:r w:rsidR="00514B53">
              <w:rPr>
                <w:noProof/>
                <w:webHidden/>
              </w:rPr>
              <w:fldChar w:fldCharType="separate"/>
            </w:r>
            <w:r w:rsidR="00FF7FD2">
              <w:rPr>
                <w:noProof/>
                <w:webHidden/>
              </w:rPr>
              <w:t>6</w:t>
            </w:r>
            <w:r w:rsidR="00514B53">
              <w:rPr>
                <w:noProof/>
                <w:webHidden/>
              </w:rPr>
              <w:fldChar w:fldCharType="end"/>
            </w:r>
          </w:hyperlink>
        </w:p>
        <w:p w14:paraId="5330D33A" w14:textId="77777777" w:rsidR="00514B53" w:rsidRDefault="00912E29">
          <w:pPr>
            <w:pStyle w:val="TOC3"/>
            <w:tabs>
              <w:tab w:val="right" w:leader="dot" w:pos="9607"/>
            </w:tabs>
            <w:rPr>
              <w:noProof/>
              <w:sz w:val="22"/>
              <w:szCs w:val="22"/>
              <w:lang w:val="en-GB" w:eastAsia="en-GB"/>
            </w:rPr>
          </w:pPr>
          <w:hyperlink w:anchor="_Toc423436267" w:history="1">
            <w:r w:rsidR="00514B53" w:rsidRPr="00211764">
              <w:rPr>
                <w:rStyle w:val="Hyperlink"/>
                <w:b/>
                <w:noProof/>
                <w:lang w:val="en-GB"/>
              </w:rPr>
              <w:t>1.2 Map of the Programme area</w:t>
            </w:r>
            <w:r w:rsidR="00514B53">
              <w:rPr>
                <w:noProof/>
                <w:webHidden/>
              </w:rPr>
              <w:tab/>
            </w:r>
            <w:r w:rsidR="00514B53">
              <w:rPr>
                <w:noProof/>
                <w:webHidden/>
              </w:rPr>
              <w:fldChar w:fldCharType="begin"/>
            </w:r>
            <w:r w:rsidR="00514B53">
              <w:rPr>
                <w:noProof/>
                <w:webHidden/>
              </w:rPr>
              <w:instrText xml:space="preserve"> PAGEREF _Toc423436267 \h </w:instrText>
            </w:r>
            <w:r w:rsidR="00514B53">
              <w:rPr>
                <w:noProof/>
                <w:webHidden/>
              </w:rPr>
            </w:r>
            <w:r w:rsidR="00514B53">
              <w:rPr>
                <w:noProof/>
                <w:webHidden/>
              </w:rPr>
              <w:fldChar w:fldCharType="separate"/>
            </w:r>
            <w:r w:rsidR="00FF7FD2">
              <w:rPr>
                <w:noProof/>
                <w:webHidden/>
              </w:rPr>
              <w:t>7</w:t>
            </w:r>
            <w:r w:rsidR="00514B53">
              <w:rPr>
                <w:noProof/>
                <w:webHidden/>
              </w:rPr>
              <w:fldChar w:fldCharType="end"/>
            </w:r>
          </w:hyperlink>
        </w:p>
        <w:p w14:paraId="13242ED7" w14:textId="77777777" w:rsidR="00514B53" w:rsidRDefault="00912E29">
          <w:pPr>
            <w:pStyle w:val="TOC1"/>
            <w:tabs>
              <w:tab w:val="left" w:pos="480"/>
              <w:tab w:val="right" w:leader="dot" w:pos="9607"/>
            </w:tabs>
            <w:rPr>
              <w:noProof/>
              <w:color w:val="auto"/>
              <w:sz w:val="22"/>
              <w:szCs w:val="22"/>
              <w:lang w:val="en-GB" w:eastAsia="en-GB"/>
            </w:rPr>
          </w:pPr>
          <w:hyperlink w:anchor="_Toc423436268" w:history="1">
            <w:r w:rsidR="00514B53" w:rsidRPr="00211764">
              <w:rPr>
                <w:rStyle w:val="Hyperlink"/>
                <w:noProof/>
              </w:rPr>
              <w:t>2.</w:t>
            </w:r>
            <w:r w:rsidR="00514B53">
              <w:rPr>
                <w:noProof/>
                <w:color w:val="auto"/>
                <w:sz w:val="22"/>
                <w:szCs w:val="22"/>
                <w:lang w:val="en-GB" w:eastAsia="en-GB"/>
              </w:rPr>
              <w:tab/>
            </w:r>
            <w:r w:rsidR="00514B53" w:rsidRPr="00211764">
              <w:rPr>
                <w:rStyle w:val="Hyperlink"/>
                <w:noProof/>
                <w:lang w:val="en-GB"/>
              </w:rPr>
              <w:t>Programme overall strategic framework</w:t>
            </w:r>
            <w:r w:rsidR="00514B53">
              <w:rPr>
                <w:noProof/>
                <w:webHidden/>
              </w:rPr>
              <w:tab/>
            </w:r>
            <w:r w:rsidR="00514B53">
              <w:rPr>
                <w:noProof/>
                <w:webHidden/>
              </w:rPr>
              <w:fldChar w:fldCharType="begin"/>
            </w:r>
            <w:r w:rsidR="00514B53">
              <w:rPr>
                <w:noProof/>
                <w:webHidden/>
              </w:rPr>
              <w:instrText xml:space="preserve"> PAGEREF _Toc423436268 \h </w:instrText>
            </w:r>
            <w:r w:rsidR="00514B53">
              <w:rPr>
                <w:noProof/>
                <w:webHidden/>
              </w:rPr>
            </w:r>
            <w:r w:rsidR="00514B53">
              <w:rPr>
                <w:noProof/>
                <w:webHidden/>
              </w:rPr>
              <w:fldChar w:fldCharType="separate"/>
            </w:r>
            <w:r w:rsidR="00FF7FD2">
              <w:rPr>
                <w:noProof/>
                <w:webHidden/>
              </w:rPr>
              <w:t>8</w:t>
            </w:r>
            <w:r w:rsidR="00514B53">
              <w:rPr>
                <w:noProof/>
                <w:webHidden/>
              </w:rPr>
              <w:fldChar w:fldCharType="end"/>
            </w:r>
          </w:hyperlink>
        </w:p>
        <w:p w14:paraId="6E25AE9E" w14:textId="77777777" w:rsidR="00514B53" w:rsidRDefault="00912E29">
          <w:pPr>
            <w:pStyle w:val="TOC3"/>
            <w:tabs>
              <w:tab w:val="right" w:leader="dot" w:pos="9607"/>
            </w:tabs>
            <w:rPr>
              <w:noProof/>
              <w:sz w:val="22"/>
              <w:szCs w:val="22"/>
              <w:lang w:val="en-GB" w:eastAsia="en-GB"/>
            </w:rPr>
          </w:pPr>
          <w:hyperlink w:anchor="_Toc423436269" w:history="1">
            <w:r w:rsidR="00514B53" w:rsidRPr="00211764">
              <w:rPr>
                <w:rStyle w:val="Hyperlink"/>
                <w:b/>
                <w:noProof/>
                <w:lang w:val="en-GB"/>
              </w:rPr>
              <w:t>2.1 EU strategy for ENI CBC</w:t>
            </w:r>
            <w:r w:rsidR="00514B53">
              <w:rPr>
                <w:noProof/>
                <w:webHidden/>
              </w:rPr>
              <w:tab/>
            </w:r>
            <w:r w:rsidR="00514B53">
              <w:rPr>
                <w:noProof/>
                <w:webHidden/>
              </w:rPr>
              <w:fldChar w:fldCharType="begin"/>
            </w:r>
            <w:r w:rsidR="00514B53">
              <w:rPr>
                <w:noProof/>
                <w:webHidden/>
              </w:rPr>
              <w:instrText xml:space="preserve"> PAGEREF _Toc423436269 \h </w:instrText>
            </w:r>
            <w:r w:rsidR="00514B53">
              <w:rPr>
                <w:noProof/>
                <w:webHidden/>
              </w:rPr>
            </w:r>
            <w:r w:rsidR="00514B53">
              <w:rPr>
                <w:noProof/>
                <w:webHidden/>
              </w:rPr>
              <w:fldChar w:fldCharType="separate"/>
            </w:r>
            <w:r w:rsidR="00FF7FD2">
              <w:rPr>
                <w:noProof/>
                <w:webHidden/>
              </w:rPr>
              <w:t>8</w:t>
            </w:r>
            <w:r w:rsidR="00514B53">
              <w:rPr>
                <w:noProof/>
                <w:webHidden/>
              </w:rPr>
              <w:fldChar w:fldCharType="end"/>
            </w:r>
          </w:hyperlink>
        </w:p>
        <w:p w14:paraId="36A8CC4D" w14:textId="77777777" w:rsidR="00514B53" w:rsidRDefault="00912E29">
          <w:pPr>
            <w:pStyle w:val="TOC3"/>
            <w:tabs>
              <w:tab w:val="right" w:leader="dot" w:pos="9607"/>
            </w:tabs>
            <w:rPr>
              <w:noProof/>
              <w:sz w:val="22"/>
              <w:szCs w:val="22"/>
              <w:lang w:val="en-GB" w:eastAsia="en-GB"/>
            </w:rPr>
          </w:pPr>
          <w:hyperlink w:anchor="_Toc423436270" w:history="1">
            <w:r w:rsidR="00514B53" w:rsidRPr="00211764">
              <w:rPr>
                <w:rStyle w:val="Hyperlink"/>
                <w:b/>
                <w:noProof/>
                <w:lang w:val="en-GB"/>
              </w:rPr>
              <w:t>2.2 EU strategic framework for the Black Sea Basin</w:t>
            </w:r>
            <w:r w:rsidR="00514B53">
              <w:rPr>
                <w:noProof/>
                <w:webHidden/>
              </w:rPr>
              <w:tab/>
            </w:r>
            <w:r w:rsidR="00514B53">
              <w:rPr>
                <w:noProof/>
                <w:webHidden/>
              </w:rPr>
              <w:fldChar w:fldCharType="begin"/>
            </w:r>
            <w:r w:rsidR="00514B53">
              <w:rPr>
                <w:noProof/>
                <w:webHidden/>
              </w:rPr>
              <w:instrText xml:space="preserve"> PAGEREF _Toc423436270 \h </w:instrText>
            </w:r>
            <w:r w:rsidR="00514B53">
              <w:rPr>
                <w:noProof/>
                <w:webHidden/>
              </w:rPr>
            </w:r>
            <w:r w:rsidR="00514B53">
              <w:rPr>
                <w:noProof/>
                <w:webHidden/>
              </w:rPr>
              <w:fldChar w:fldCharType="separate"/>
            </w:r>
            <w:r w:rsidR="00FF7FD2">
              <w:rPr>
                <w:noProof/>
                <w:webHidden/>
              </w:rPr>
              <w:t>10</w:t>
            </w:r>
            <w:r w:rsidR="00514B53">
              <w:rPr>
                <w:noProof/>
                <w:webHidden/>
              </w:rPr>
              <w:fldChar w:fldCharType="end"/>
            </w:r>
          </w:hyperlink>
        </w:p>
        <w:p w14:paraId="04B264D7" w14:textId="77777777" w:rsidR="00514B53" w:rsidRDefault="00912E29">
          <w:pPr>
            <w:pStyle w:val="TOC3"/>
            <w:tabs>
              <w:tab w:val="right" w:leader="dot" w:pos="9607"/>
            </w:tabs>
            <w:rPr>
              <w:noProof/>
              <w:sz w:val="22"/>
              <w:szCs w:val="22"/>
              <w:lang w:val="en-GB" w:eastAsia="en-GB"/>
            </w:rPr>
          </w:pPr>
          <w:hyperlink w:anchor="_Toc423436271" w:history="1">
            <w:r w:rsidR="00514B53" w:rsidRPr="00211764">
              <w:rPr>
                <w:rStyle w:val="Hyperlink"/>
                <w:b/>
                <w:noProof/>
                <w:lang w:val="en-GB"/>
              </w:rPr>
              <w:t>2.3 Other relevant EU policies and initiatives</w:t>
            </w:r>
            <w:r w:rsidR="00514B53">
              <w:rPr>
                <w:noProof/>
                <w:webHidden/>
              </w:rPr>
              <w:tab/>
            </w:r>
            <w:r w:rsidR="00514B53">
              <w:rPr>
                <w:noProof/>
                <w:webHidden/>
              </w:rPr>
              <w:fldChar w:fldCharType="begin"/>
            </w:r>
            <w:r w:rsidR="00514B53">
              <w:rPr>
                <w:noProof/>
                <w:webHidden/>
              </w:rPr>
              <w:instrText xml:space="preserve"> PAGEREF _Toc423436271 \h </w:instrText>
            </w:r>
            <w:r w:rsidR="00514B53">
              <w:rPr>
                <w:noProof/>
                <w:webHidden/>
              </w:rPr>
            </w:r>
            <w:r w:rsidR="00514B53">
              <w:rPr>
                <w:noProof/>
                <w:webHidden/>
              </w:rPr>
              <w:fldChar w:fldCharType="separate"/>
            </w:r>
            <w:r w:rsidR="00FF7FD2">
              <w:rPr>
                <w:noProof/>
                <w:webHidden/>
              </w:rPr>
              <w:t>11</w:t>
            </w:r>
            <w:r w:rsidR="00514B53">
              <w:rPr>
                <w:noProof/>
                <w:webHidden/>
              </w:rPr>
              <w:fldChar w:fldCharType="end"/>
            </w:r>
          </w:hyperlink>
        </w:p>
        <w:p w14:paraId="4AD34ECB" w14:textId="77777777" w:rsidR="00514B53" w:rsidRDefault="00912E29">
          <w:pPr>
            <w:pStyle w:val="TOC1"/>
            <w:tabs>
              <w:tab w:val="right" w:leader="dot" w:pos="9607"/>
            </w:tabs>
            <w:rPr>
              <w:noProof/>
              <w:color w:val="auto"/>
              <w:sz w:val="22"/>
              <w:szCs w:val="22"/>
              <w:lang w:val="en-GB" w:eastAsia="en-GB"/>
            </w:rPr>
          </w:pPr>
          <w:hyperlink w:anchor="_Toc423436272" w:history="1">
            <w:r w:rsidR="00514B53" w:rsidRPr="00211764">
              <w:rPr>
                <w:rStyle w:val="Hyperlink"/>
                <w:noProof/>
                <w:lang w:val="en-GB"/>
              </w:rPr>
              <w:t>3.    Black Sea Basin socio-economic and SWOT analysis</w:t>
            </w:r>
            <w:r w:rsidR="00514B53">
              <w:rPr>
                <w:noProof/>
                <w:webHidden/>
              </w:rPr>
              <w:tab/>
            </w:r>
            <w:r w:rsidR="00514B53">
              <w:rPr>
                <w:noProof/>
                <w:webHidden/>
              </w:rPr>
              <w:fldChar w:fldCharType="begin"/>
            </w:r>
            <w:r w:rsidR="00514B53">
              <w:rPr>
                <w:noProof/>
                <w:webHidden/>
              </w:rPr>
              <w:instrText xml:space="preserve"> PAGEREF _Toc423436272 \h </w:instrText>
            </w:r>
            <w:r w:rsidR="00514B53">
              <w:rPr>
                <w:noProof/>
                <w:webHidden/>
              </w:rPr>
            </w:r>
            <w:r w:rsidR="00514B53">
              <w:rPr>
                <w:noProof/>
                <w:webHidden/>
              </w:rPr>
              <w:fldChar w:fldCharType="separate"/>
            </w:r>
            <w:r w:rsidR="00FF7FD2">
              <w:rPr>
                <w:noProof/>
                <w:webHidden/>
              </w:rPr>
              <w:t>13</w:t>
            </w:r>
            <w:r w:rsidR="00514B53">
              <w:rPr>
                <w:noProof/>
                <w:webHidden/>
              </w:rPr>
              <w:fldChar w:fldCharType="end"/>
            </w:r>
          </w:hyperlink>
        </w:p>
        <w:p w14:paraId="27828E8D" w14:textId="77777777" w:rsidR="00514B53" w:rsidRDefault="00912E29">
          <w:pPr>
            <w:pStyle w:val="TOC3"/>
            <w:tabs>
              <w:tab w:val="right" w:leader="dot" w:pos="9607"/>
            </w:tabs>
            <w:rPr>
              <w:noProof/>
              <w:sz w:val="22"/>
              <w:szCs w:val="22"/>
              <w:lang w:val="en-GB" w:eastAsia="en-GB"/>
            </w:rPr>
          </w:pPr>
          <w:hyperlink w:anchor="_Toc423436273" w:history="1">
            <w:r w:rsidR="00514B53" w:rsidRPr="00211764">
              <w:rPr>
                <w:rStyle w:val="Hyperlink"/>
                <w:b/>
                <w:noProof/>
                <w:lang w:val="en-GB"/>
              </w:rPr>
              <w:t>3.1 Territory and demography</w:t>
            </w:r>
            <w:r w:rsidR="00514B53">
              <w:rPr>
                <w:noProof/>
                <w:webHidden/>
              </w:rPr>
              <w:tab/>
            </w:r>
            <w:r w:rsidR="00514B53">
              <w:rPr>
                <w:noProof/>
                <w:webHidden/>
              </w:rPr>
              <w:fldChar w:fldCharType="begin"/>
            </w:r>
            <w:r w:rsidR="00514B53">
              <w:rPr>
                <w:noProof/>
                <w:webHidden/>
              </w:rPr>
              <w:instrText xml:space="preserve"> PAGEREF _Toc423436273 \h </w:instrText>
            </w:r>
            <w:r w:rsidR="00514B53">
              <w:rPr>
                <w:noProof/>
                <w:webHidden/>
              </w:rPr>
            </w:r>
            <w:r w:rsidR="00514B53">
              <w:rPr>
                <w:noProof/>
                <w:webHidden/>
              </w:rPr>
              <w:fldChar w:fldCharType="separate"/>
            </w:r>
            <w:r w:rsidR="00FF7FD2">
              <w:rPr>
                <w:noProof/>
                <w:webHidden/>
              </w:rPr>
              <w:t>13</w:t>
            </w:r>
            <w:r w:rsidR="00514B53">
              <w:rPr>
                <w:noProof/>
                <w:webHidden/>
              </w:rPr>
              <w:fldChar w:fldCharType="end"/>
            </w:r>
          </w:hyperlink>
        </w:p>
        <w:p w14:paraId="56A371AA" w14:textId="77777777" w:rsidR="00514B53" w:rsidRDefault="00912E29">
          <w:pPr>
            <w:pStyle w:val="TOC3"/>
            <w:tabs>
              <w:tab w:val="right" w:leader="dot" w:pos="9607"/>
            </w:tabs>
            <w:rPr>
              <w:noProof/>
              <w:sz w:val="22"/>
              <w:szCs w:val="22"/>
              <w:lang w:val="en-GB" w:eastAsia="en-GB"/>
            </w:rPr>
          </w:pPr>
          <w:hyperlink w:anchor="_Toc423436274" w:history="1">
            <w:r w:rsidR="00514B53" w:rsidRPr="00211764">
              <w:rPr>
                <w:rStyle w:val="Hyperlink"/>
                <w:b/>
                <w:noProof/>
                <w:lang w:val="en-GB"/>
              </w:rPr>
              <w:t>3.2 Economy</w:t>
            </w:r>
            <w:r w:rsidR="00514B53">
              <w:rPr>
                <w:noProof/>
                <w:webHidden/>
              </w:rPr>
              <w:tab/>
            </w:r>
            <w:r w:rsidR="00514B53">
              <w:rPr>
                <w:noProof/>
                <w:webHidden/>
              </w:rPr>
              <w:fldChar w:fldCharType="begin"/>
            </w:r>
            <w:r w:rsidR="00514B53">
              <w:rPr>
                <w:noProof/>
                <w:webHidden/>
              </w:rPr>
              <w:instrText xml:space="preserve"> PAGEREF _Toc423436274 \h </w:instrText>
            </w:r>
            <w:r w:rsidR="00514B53">
              <w:rPr>
                <w:noProof/>
                <w:webHidden/>
              </w:rPr>
            </w:r>
            <w:r w:rsidR="00514B53">
              <w:rPr>
                <w:noProof/>
                <w:webHidden/>
              </w:rPr>
              <w:fldChar w:fldCharType="separate"/>
            </w:r>
            <w:r w:rsidR="00FF7FD2">
              <w:rPr>
                <w:noProof/>
                <w:webHidden/>
              </w:rPr>
              <w:t>17</w:t>
            </w:r>
            <w:r w:rsidR="00514B53">
              <w:rPr>
                <w:noProof/>
                <w:webHidden/>
              </w:rPr>
              <w:fldChar w:fldCharType="end"/>
            </w:r>
          </w:hyperlink>
        </w:p>
        <w:p w14:paraId="574C7AAC" w14:textId="77777777" w:rsidR="00514B53" w:rsidRDefault="00912E29">
          <w:pPr>
            <w:pStyle w:val="TOC3"/>
            <w:tabs>
              <w:tab w:val="right" w:leader="dot" w:pos="9607"/>
            </w:tabs>
            <w:rPr>
              <w:noProof/>
              <w:sz w:val="22"/>
              <w:szCs w:val="22"/>
              <w:lang w:val="en-GB" w:eastAsia="en-GB"/>
            </w:rPr>
          </w:pPr>
          <w:hyperlink w:anchor="_Toc423436275" w:history="1">
            <w:r w:rsidR="00514B53" w:rsidRPr="00211764">
              <w:rPr>
                <w:rStyle w:val="Hyperlink"/>
                <w:b/>
                <w:noProof/>
                <w:lang w:val="en-GB"/>
              </w:rPr>
              <w:t>3.3 Education and employment, R&amp;D, research</w:t>
            </w:r>
            <w:r w:rsidR="00514B53">
              <w:rPr>
                <w:noProof/>
                <w:webHidden/>
              </w:rPr>
              <w:tab/>
            </w:r>
            <w:r w:rsidR="00514B53">
              <w:rPr>
                <w:noProof/>
                <w:webHidden/>
              </w:rPr>
              <w:fldChar w:fldCharType="begin"/>
            </w:r>
            <w:r w:rsidR="00514B53">
              <w:rPr>
                <w:noProof/>
                <w:webHidden/>
              </w:rPr>
              <w:instrText xml:space="preserve"> PAGEREF _Toc423436275 \h </w:instrText>
            </w:r>
            <w:r w:rsidR="00514B53">
              <w:rPr>
                <w:noProof/>
                <w:webHidden/>
              </w:rPr>
            </w:r>
            <w:r w:rsidR="00514B53">
              <w:rPr>
                <w:noProof/>
                <w:webHidden/>
              </w:rPr>
              <w:fldChar w:fldCharType="separate"/>
            </w:r>
            <w:r w:rsidR="00FF7FD2">
              <w:rPr>
                <w:noProof/>
                <w:webHidden/>
              </w:rPr>
              <w:t>27</w:t>
            </w:r>
            <w:r w:rsidR="00514B53">
              <w:rPr>
                <w:noProof/>
                <w:webHidden/>
              </w:rPr>
              <w:fldChar w:fldCharType="end"/>
            </w:r>
          </w:hyperlink>
        </w:p>
        <w:p w14:paraId="2C0AF240" w14:textId="77777777" w:rsidR="00514B53" w:rsidRDefault="00912E29">
          <w:pPr>
            <w:pStyle w:val="TOC3"/>
            <w:tabs>
              <w:tab w:val="right" w:leader="dot" w:pos="9607"/>
            </w:tabs>
            <w:rPr>
              <w:noProof/>
              <w:sz w:val="22"/>
              <w:szCs w:val="22"/>
              <w:lang w:val="en-GB" w:eastAsia="en-GB"/>
            </w:rPr>
          </w:pPr>
          <w:hyperlink w:anchor="_Toc423436276" w:history="1">
            <w:r w:rsidR="00514B53" w:rsidRPr="00211764">
              <w:rPr>
                <w:rStyle w:val="Hyperlink"/>
                <w:b/>
                <w:noProof/>
                <w:lang w:val="en-GB"/>
              </w:rPr>
              <w:t>3.4 Environment</w:t>
            </w:r>
            <w:r w:rsidR="00514B53">
              <w:rPr>
                <w:noProof/>
                <w:webHidden/>
              </w:rPr>
              <w:tab/>
            </w:r>
            <w:r w:rsidR="00514B53">
              <w:rPr>
                <w:noProof/>
                <w:webHidden/>
              </w:rPr>
              <w:fldChar w:fldCharType="begin"/>
            </w:r>
            <w:r w:rsidR="00514B53">
              <w:rPr>
                <w:noProof/>
                <w:webHidden/>
              </w:rPr>
              <w:instrText xml:space="preserve"> PAGEREF _Toc423436276 \h </w:instrText>
            </w:r>
            <w:r w:rsidR="00514B53">
              <w:rPr>
                <w:noProof/>
                <w:webHidden/>
              </w:rPr>
            </w:r>
            <w:r w:rsidR="00514B53">
              <w:rPr>
                <w:noProof/>
                <w:webHidden/>
              </w:rPr>
              <w:fldChar w:fldCharType="separate"/>
            </w:r>
            <w:r w:rsidR="00FF7FD2">
              <w:rPr>
                <w:noProof/>
                <w:webHidden/>
              </w:rPr>
              <w:t>31</w:t>
            </w:r>
            <w:r w:rsidR="00514B53">
              <w:rPr>
                <w:noProof/>
                <w:webHidden/>
              </w:rPr>
              <w:fldChar w:fldCharType="end"/>
            </w:r>
          </w:hyperlink>
        </w:p>
        <w:p w14:paraId="3AFC4BF4" w14:textId="77777777" w:rsidR="00514B53" w:rsidRDefault="00912E29">
          <w:pPr>
            <w:pStyle w:val="TOC3"/>
            <w:tabs>
              <w:tab w:val="right" w:leader="dot" w:pos="9607"/>
            </w:tabs>
            <w:rPr>
              <w:noProof/>
              <w:sz w:val="22"/>
              <w:szCs w:val="22"/>
              <w:lang w:val="en-GB" w:eastAsia="en-GB"/>
            </w:rPr>
          </w:pPr>
          <w:hyperlink w:anchor="_Toc423436277" w:history="1">
            <w:r w:rsidR="00514B53" w:rsidRPr="00211764">
              <w:rPr>
                <w:rStyle w:val="Hyperlink"/>
                <w:b/>
                <w:noProof/>
                <w:lang w:val="en-GB"/>
              </w:rPr>
              <w:t>3.5 Health, safety and security</w:t>
            </w:r>
            <w:r w:rsidR="00514B53">
              <w:rPr>
                <w:noProof/>
                <w:webHidden/>
              </w:rPr>
              <w:tab/>
            </w:r>
            <w:r w:rsidR="00514B53">
              <w:rPr>
                <w:noProof/>
                <w:webHidden/>
              </w:rPr>
              <w:fldChar w:fldCharType="begin"/>
            </w:r>
            <w:r w:rsidR="00514B53">
              <w:rPr>
                <w:noProof/>
                <w:webHidden/>
              </w:rPr>
              <w:instrText xml:space="preserve"> PAGEREF _Toc423436277 \h </w:instrText>
            </w:r>
            <w:r w:rsidR="00514B53">
              <w:rPr>
                <w:noProof/>
                <w:webHidden/>
              </w:rPr>
            </w:r>
            <w:r w:rsidR="00514B53">
              <w:rPr>
                <w:noProof/>
                <w:webHidden/>
              </w:rPr>
              <w:fldChar w:fldCharType="separate"/>
            </w:r>
            <w:r w:rsidR="00FF7FD2">
              <w:rPr>
                <w:noProof/>
                <w:webHidden/>
              </w:rPr>
              <w:t>37</w:t>
            </w:r>
            <w:r w:rsidR="00514B53">
              <w:rPr>
                <w:noProof/>
                <w:webHidden/>
              </w:rPr>
              <w:fldChar w:fldCharType="end"/>
            </w:r>
          </w:hyperlink>
        </w:p>
        <w:p w14:paraId="7BFAAD26" w14:textId="77777777" w:rsidR="00514B53" w:rsidRDefault="00912E29">
          <w:pPr>
            <w:pStyle w:val="TOC3"/>
            <w:tabs>
              <w:tab w:val="right" w:leader="dot" w:pos="9607"/>
            </w:tabs>
            <w:rPr>
              <w:noProof/>
              <w:sz w:val="22"/>
              <w:szCs w:val="22"/>
              <w:lang w:val="en-GB" w:eastAsia="en-GB"/>
            </w:rPr>
          </w:pPr>
          <w:hyperlink w:anchor="_Toc423436278" w:history="1">
            <w:r w:rsidR="00514B53" w:rsidRPr="00211764">
              <w:rPr>
                <w:rStyle w:val="Hyperlink"/>
                <w:b/>
                <w:noProof/>
                <w:lang w:val="en-GB"/>
              </w:rPr>
              <w:t>3.6 Energy, transport and communication networks</w:t>
            </w:r>
            <w:r w:rsidR="00514B53">
              <w:rPr>
                <w:noProof/>
                <w:webHidden/>
              </w:rPr>
              <w:tab/>
            </w:r>
            <w:r w:rsidR="00514B53">
              <w:rPr>
                <w:noProof/>
                <w:webHidden/>
              </w:rPr>
              <w:fldChar w:fldCharType="begin"/>
            </w:r>
            <w:r w:rsidR="00514B53">
              <w:rPr>
                <w:noProof/>
                <w:webHidden/>
              </w:rPr>
              <w:instrText xml:space="preserve"> PAGEREF _Toc423436278 \h </w:instrText>
            </w:r>
            <w:r w:rsidR="00514B53">
              <w:rPr>
                <w:noProof/>
                <w:webHidden/>
              </w:rPr>
            </w:r>
            <w:r w:rsidR="00514B53">
              <w:rPr>
                <w:noProof/>
                <w:webHidden/>
              </w:rPr>
              <w:fldChar w:fldCharType="separate"/>
            </w:r>
            <w:r w:rsidR="00FF7FD2">
              <w:rPr>
                <w:noProof/>
                <w:webHidden/>
              </w:rPr>
              <w:t>42</w:t>
            </w:r>
            <w:r w:rsidR="00514B53">
              <w:rPr>
                <w:noProof/>
                <w:webHidden/>
              </w:rPr>
              <w:fldChar w:fldCharType="end"/>
            </w:r>
          </w:hyperlink>
        </w:p>
        <w:p w14:paraId="5AD17F04" w14:textId="77777777" w:rsidR="00514B53" w:rsidRDefault="00912E29">
          <w:pPr>
            <w:pStyle w:val="TOC3"/>
            <w:tabs>
              <w:tab w:val="right" w:leader="dot" w:pos="9607"/>
            </w:tabs>
            <w:rPr>
              <w:noProof/>
              <w:sz w:val="22"/>
              <w:szCs w:val="22"/>
              <w:lang w:val="en-GB" w:eastAsia="en-GB"/>
            </w:rPr>
          </w:pPr>
          <w:hyperlink w:anchor="_Toc423436279" w:history="1">
            <w:r w:rsidR="00514B53" w:rsidRPr="00211764">
              <w:rPr>
                <w:rStyle w:val="Hyperlink"/>
                <w:b/>
                <w:noProof/>
                <w:lang w:val="en-GB"/>
              </w:rPr>
              <w:t>3.7 Culture, civil society and self-government</w:t>
            </w:r>
            <w:r w:rsidR="00514B53">
              <w:rPr>
                <w:noProof/>
                <w:webHidden/>
              </w:rPr>
              <w:tab/>
            </w:r>
            <w:r w:rsidR="00514B53">
              <w:rPr>
                <w:noProof/>
                <w:webHidden/>
              </w:rPr>
              <w:fldChar w:fldCharType="begin"/>
            </w:r>
            <w:r w:rsidR="00514B53">
              <w:rPr>
                <w:noProof/>
                <w:webHidden/>
              </w:rPr>
              <w:instrText xml:space="preserve"> PAGEREF _Toc423436279 \h </w:instrText>
            </w:r>
            <w:r w:rsidR="00514B53">
              <w:rPr>
                <w:noProof/>
                <w:webHidden/>
              </w:rPr>
            </w:r>
            <w:r w:rsidR="00514B53">
              <w:rPr>
                <w:noProof/>
                <w:webHidden/>
              </w:rPr>
              <w:fldChar w:fldCharType="separate"/>
            </w:r>
            <w:r w:rsidR="00FF7FD2">
              <w:rPr>
                <w:noProof/>
                <w:webHidden/>
              </w:rPr>
              <w:t>47</w:t>
            </w:r>
            <w:r w:rsidR="00514B53">
              <w:rPr>
                <w:noProof/>
                <w:webHidden/>
              </w:rPr>
              <w:fldChar w:fldCharType="end"/>
            </w:r>
          </w:hyperlink>
        </w:p>
        <w:p w14:paraId="3202B22B" w14:textId="77777777" w:rsidR="00514B53" w:rsidRDefault="00912E29">
          <w:pPr>
            <w:pStyle w:val="TOC1"/>
            <w:tabs>
              <w:tab w:val="right" w:leader="dot" w:pos="9607"/>
            </w:tabs>
            <w:rPr>
              <w:noProof/>
              <w:color w:val="auto"/>
              <w:sz w:val="22"/>
              <w:szCs w:val="22"/>
              <w:lang w:val="en-GB" w:eastAsia="en-GB"/>
            </w:rPr>
          </w:pPr>
          <w:hyperlink w:anchor="_Toc423436280" w:history="1">
            <w:r w:rsidR="00514B53" w:rsidRPr="00211764">
              <w:rPr>
                <w:rStyle w:val="Hyperlink"/>
                <w:noProof/>
                <w:lang w:val="en-GB"/>
              </w:rPr>
              <w:t>4.    Black Sea Basin strategic analysis and consultations</w:t>
            </w:r>
            <w:r w:rsidR="00514B53">
              <w:rPr>
                <w:noProof/>
                <w:webHidden/>
              </w:rPr>
              <w:tab/>
            </w:r>
            <w:r w:rsidR="00514B53">
              <w:rPr>
                <w:noProof/>
                <w:webHidden/>
              </w:rPr>
              <w:fldChar w:fldCharType="begin"/>
            </w:r>
            <w:r w:rsidR="00514B53">
              <w:rPr>
                <w:noProof/>
                <w:webHidden/>
              </w:rPr>
              <w:instrText xml:space="preserve"> PAGEREF _Toc423436280 \h </w:instrText>
            </w:r>
            <w:r w:rsidR="00514B53">
              <w:rPr>
                <w:noProof/>
                <w:webHidden/>
              </w:rPr>
            </w:r>
            <w:r w:rsidR="00514B53">
              <w:rPr>
                <w:noProof/>
                <w:webHidden/>
              </w:rPr>
              <w:fldChar w:fldCharType="separate"/>
            </w:r>
            <w:r w:rsidR="00FF7FD2">
              <w:rPr>
                <w:noProof/>
                <w:webHidden/>
              </w:rPr>
              <w:t>50</w:t>
            </w:r>
            <w:r w:rsidR="00514B53">
              <w:rPr>
                <w:noProof/>
                <w:webHidden/>
              </w:rPr>
              <w:fldChar w:fldCharType="end"/>
            </w:r>
          </w:hyperlink>
        </w:p>
        <w:p w14:paraId="2C79DCCF" w14:textId="77777777" w:rsidR="00514B53" w:rsidRDefault="00912E29">
          <w:pPr>
            <w:pStyle w:val="TOC3"/>
            <w:tabs>
              <w:tab w:val="right" w:leader="dot" w:pos="9607"/>
            </w:tabs>
            <w:rPr>
              <w:noProof/>
              <w:sz w:val="22"/>
              <w:szCs w:val="22"/>
              <w:lang w:val="en-GB" w:eastAsia="en-GB"/>
            </w:rPr>
          </w:pPr>
          <w:hyperlink w:anchor="_Toc423436281" w:history="1">
            <w:r w:rsidR="00514B53" w:rsidRPr="00211764">
              <w:rPr>
                <w:rStyle w:val="Hyperlink"/>
                <w:b/>
                <w:noProof/>
                <w:lang w:val="en-GB"/>
              </w:rPr>
              <w:t>4.1 Past experience analysis</w:t>
            </w:r>
            <w:r w:rsidR="00514B53">
              <w:rPr>
                <w:noProof/>
                <w:webHidden/>
              </w:rPr>
              <w:tab/>
            </w:r>
            <w:r w:rsidR="00514B53">
              <w:rPr>
                <w:noProof/>
                <w:webHidden/>
              </w:rPr>
              <w:fldChar w:fldCharType="begin"/>
            </w:r>
            <w:r w:rsidR="00514B53">
              <w:rPr>
                <w:noProof/>
                <w:webHidden/>
              </w:rPr>
              <w:instrText xml:space="preserve"> PAGEREF _Toc423436281 \h </w:instrText>
            </w:r>
            <w:r w:rsidR="00514B53">
              <w:rPr>
                <w:noProof/>
                <w:webHidden/>
              </w:rPr>
            </w:r>
            <w:r w:rsidR="00514B53">
              <w:rPr>
                <w:noProof/>
                <w:webHidden/>
              </w:rPr>
              <w:fldChar w:fldCharType="separate"/>
            </w:r>
            <w:r w:rsidR="00FF7FD2">
              <w:rPr>
                <w:noProof/>
                <w:webHidden/>
              </w:rPr>
              <w:t>50</w:t>
            </w:r>
            <w:r w:rsidR="00514B53">
              <w:rPr>
                <w:noProof/>
                <w:webHidden/>
              </w:rPr>
              <w:fldChar w:fldCharType="end"/>
            </w:r>
          </w:hyperlink>
        </w:p>
        <w:p w14:paraId="5A18CC16" w14:textId="77777777" w:rsidR="00514B53" w:rsidRDefault="00912E29">
          <w:pPr>
            <w:pStyle w:val="TOC3"/>
            <w:tabs>
              <w:tab w:val="right" w:leader="dot" w:pos="9607"/>
            </w:tabs>
            <w:rPr>
              <w:noProof/>
              <w:sz w:val="22"/>
              <w:szCs w:val="22"/>
              <w:lang w:val="en-GB" w:eastAsia="en-GB"/>
            </w:rPr>
          </w:pPr>
          <w:hyperlink w:anchor="_Toc423436282" w:history="1">
            <w:r w:rsidR="00514B53" w:rsidRPr="00211764">
              <w:rPr>
                <w:rStyle w:val="Hyperlink"/>
                <w:b/>
                <w:noProof/>
                <w:lang w:val="en-GB"/>
              </w:rPr>
              <w:t>4.2 Stakeholder consultations</w:t>
            </w:r>
            <w:r w:rsidR="00514B53">
              <w:rPr>
                <w:noProof/>
                <w:webHidden/>
              </w:rPr>
              <w:tab/>
            </w:r>
            <w:r w:rsidR="00514B53">
              <w:rPr>
                <w:noProof/>
                <w:webHidden/>
              </w:rPr>
              <w:fldChar w:fldCharType="begin"/>
            </w:r>
            <w:r w:rsidR="00514B53">
              <w:rPr>
                <w:noProof/>
                <w:webHidden/>
              </w:rPr>
              <w:instrText xml:space="preserve"> PAGEREF _Toc423436282 \h </w:instrText>
            </w:r>
            <w:r w:rsidR="00514B53">
              <w:rPr>
                <w:noProof/>
                <w:webHidden/>
              </w:rPr>
            </w:r>
            <w:r w:rsidR="00514B53">
              <w:rPr>
                <w:noProof/>
                <w:webHidden/>
              </w:rPr>
              <w:fldChar w:fldCharType="separate"/>
            </w:r>
            <w:r w:rsidR="00FF7FD2">
              <w:rPr>
                <w:noProof/>
                <w:webHidden/>
              </w:rPr>
              <w:t>52</w:t>
            </w:r>
            <w:r w:rsidR="00514B53">
              <w:rPr>
                <w:noProof/>
                <w:webHidden/>
              </w:rPr>
              <w:fldChar w:fldCharType="end"/>
            </w:r>
          </w:hyperlink>
        </w:p>
        <w:p w14:paraId="045A4E80" w14:textId="77777777" w:rsidR="00514B53" w:rsidRDefault="00912E29">
          <w:pPr>
            <w:pStyle w:val="TOC3"/>
            <w:tabs>
              <w:tab w:val="right" w:leader="dot" w:pos="9607"/>
            </w:tabs>
            <w:rPr>
              <w:noProof/>
              <w:sz w:val="22"/>
              <w:szCs w:val="22"/>
              <w:lang w:val="en-GB" w:eastAsia="en-GB"/>
            </w:rPr>
          </w:pPr>
          <w:hyperlink w:anchor="_Toc423436283" w:history="1">
            <w:r w:rsidR="00514B53" w:rsidRPr="00211764">
              <w:rPr>
                <w:rStyle w:val="Hyperlink"/>
                <w:b/>
                <w:noProof/>
                <w:lang w:val="en-GB"/>
              </w:rPr>
              <w:t>4.3 Consistency with other EU programmes</w:t>
            </w:r>
            <w:r w:rsidR="00514B53">
              <w:rPr>
                <w:noProof/>
                <w:webHidden/>
              </w:rPr>
              <w:tab/>
            </w:r>
            <w:r w:rsidR="00514B53">
              <w:rPr>
                <w:noProof/>
                <w:webHidden/>
              </w:rPr>
              <w:fldChar w:fldCharType="begin"/>
            </w:r>
            <w:r w:rsidR="00514B53">
              <w:rPr>
                <w:noProof/>
                <w:webHidden/>
              </w:rPr>
              <w:instrText xml:space="preserve"> PAGEREF _Toc423436283 \h </w:instrText>
            </w:r>
            <w:r w:rsidR="00514B53">
              <w:rPr>
                <w:noProof/>
                <w:webHidden/>
              </w:rPr>
            </w:r>
            <w:r w:rsidR="00514B53">
              <w:rPr>
                <w:noProof/>
                <w:webHidden/>
              </w:rPr>
              <w:fldChar w:fldCharType="separate"/>
            </w:r>
            <w:r w:rsidR="00FF7FD2">
              <w:rPr>
                <w:noProof/>
                <w:webHidden/>
              </w:rPr>
              <w:t>54</w:t>
            </w:r>
            <w:r w:rsidR="00514B53">
              <w:rPr>
                <w:noProof/>
                <w:webHidden/>
              </w:rPr>
              <w:fldChar w:fldCharType="end"/>
            </w:r>
          </w:hyperlink>
        </w:p>
        <w:p w14:paraId="17822433" w14:textId="77777777" w:rsidR="00514B53" w:rsidRDefault="00912E29">
          <w:pPr>
            <w:pStyle w:val="TOC3"/>
            <w:tabs>
              <w:tab w:val="right" w:leader="dot" w:pos="9607"/>
            </w:tabs>
            <w:rPr>
              <w:noProof/>
              <w:sz w:val="22"/>
              <w:szCs w:val="22"/>
              <w:lang w:val="en-GB" w:eastAsia="en-GB"/>
            </w:rPr>
          </w:pPr>
          <w:hyperlink w:anchor="_Toc423436284" w:history="1">
            <w:r w:rsidR="00514B53" w:rsidRPr="00211764">
              <w:rPr>
                <w:rStyle w:val="Hyperlink"/>
                <w:b/>
                <w:noProof/>
                <w:lang w:val="en-GB"/>
              </w:rPr>
              <w:t>4.4 Summary of strategy identification</w:t>
            </w:r>
            <w:r w:rsidR="00514B53">
              <w:rPr>
                <w:noProof/>
                <w:webHidden/>
              </w:rPr>
              <w:tab/>
            </w:r>
            <w:r w:rsidR="00514B53">
              <w:rPr>
                <w:noProof/>
                <w:webHidden/>
              </w:rPr>
              <w:fldChar w:fldCharType="begin"/>
            </w:r>
            <w:r w:rsidR="00514B53">
              <w:rPr>
                <w:noProof/>
                <w:webHidden/>
              </w:rPr>
              <w:instrText xml:space="preserve"> PAGEREF _Toc423436284 \h </w:instrText>
            </w:r>
            <w:r w:rsidR="00514B53">
              <w:rPr>
                <w:noProof/>
                <w:webHidden/>
              </w:rPr>
            </w:r>
            <w:r w:rsidR="00514B53">
              <w:rPr>
                <w:noProof/>
                <w:webHidden/>
              </w:rPr>
              <w:fldChar w:fldCharType="separate"/>
            </w:r>
            <w:r w:rsidR="00FF7FD2">
              <w:rPr>
                <w:noProof/>
                <w:webHidden/>
              </w:rPr>
              <w:t>57</w:t>
            </w:r>
            <w:r w:rsidR="00514B53">
              <w:rPr>
                <w:noProof/>
                <w:webHidden/>
              </w:rPr>
              <w:fldChar w:fldCharType="end"/>
            </w:r>
          </w:hyperlink>
        </w:p>
        <w:p w14:paraId="76B365A2" w14:textId="77777777" w:rsidR="00514B53" w:rsidRDefault="00912E29">
          <w:pPr>
            <w:pStyle w:val="TOC1"/>
            <w:tabs>
              <w:tab w:val="right" w:leader="dot" w:pos="9607"/>
            </w:tabs>
            <w:rPr>
              <w:noProof/>
              <w:color w:val="auto"/>
              <w:sz w:val="22"/>
              <w:szCs w:val="22"/>
              <w:lang w:val="en-GB" w:eastAsia="en-GB"/>
            </w:rPr>
          </w:pPr>
          <w:hyperlink w:anchor="_Toc423436285" w:history="1">
            <w:r w:rsidR="00514B53" w:rsidRPr="00211764">
              <w:rPr>
                <w:rStyle w:val="Hyperlink"/>
                <w:noProof/>
                <w:lang w:val="en-GB"/>
              </w:rPr>
              <w:t>5.     Black Sea Basin ENI CBC programme strategy</w:t>
            </w:r>
            <w:r w:rsidR="00514B53">
              <w:rPr>
                <w:noProof/>
                <w:webHidden/>
              </w:rPr>
              <w:tab/>
            </w:r>
            <w:r w:rsidR="00514B53">
              <w:rPr>
                <w:noProof/>
                <w:webHidden/>
              </w:rPr>
              <w:fldChar w:fldCharType="begin"/>
            </w:r>
            <w:r w:rsidR="00514B53">
              <w:rPr>
                <w:noProof/>
                <w:webHidden/>
              </w:rPr>
              <w:instrText xml:space="preserve"> PAGEREF _Toc423436285 \h </w:instrText>
            </w:r>
            <w:r w:rsidR="00514B53">
              <w:rPr>
                <w:noProof/>
                <w:webHidden/>
              </w:rPr>
            </w:r>
            <w:r w:rsidR="00514B53">
              <w:rPr>
                <w:noProof/>
                <w:webHidden/>
              </w:rPr>
              <w:fldChar w:fldCharType="separate"/>
            </w:r>
            <w:r w:rsidR="00FF7FD2">
              <w:rPr>
                <w:noProof/>
                <w:webHidden/>
              </w:rPr>
              <w:t>58</w:t>
            </w:r>
            <w:r w:rsidR="00514B53">
              <w:rPr>
                <w:noProof/>
                <w:webHidden/>
              </w:rPr>
              <w:fldChar w:fldCharType="end"/>
            </w:r>
          </w:hyperlink>
        </w:p>
        <w:p w14:paraId="5B4EDF07" w14:textId="77777777" w:rsidR="00514B53" w:rsidRDefault="00912E29">
          <w:pPr>
            <w:pStyle w:val="TOC3"/>
            <w:tabs>
              <w:tab w:val="right" w:leader="dot" w:pos="9607"/>
            </w:tabs>
            <w:rPr>
              <w:noProof/>
              <w:sz w:val="22"/>
              <w:szCs w:val="22"/>
              <w:lang w:val="en-GB" w:eastAsia="en-GB"/>
            </w:rPr>
          </w:pPr>
          <w:hyperlink w:anchor="_Toc423436286" w:history="1">
            <w:r w:rsidR="00514B53" w:rsidRPr="00211764">
              <w:rPr>
                <w:rStyle w:val="Hyperlink"/>
                <w:b/>
                <w:noProof/>
                <w:lang w:val="en-US"/>
              </w:rPr>
              <w:t>5.1 Wider objective</w:t>
            </w:r>
            <w:r w:rsidR="00514B53">
              <w:rPr>
                <w:noProof/>
                <w:webHidden/>
              </w:rPr>
              <w:tab/>
            </w:r>
            <w:r w:rsidR="00514B53">
              <w:rPr>
                <w:noProof/>
                <w:webHidden/>
              </w:rPr>
              <w:fldChar w:fldCharType="begin"/>
            </w:r>
            <w:r w:rsidR="00514B53">
              <w:rPr>
                <w:noProof/>
                <w:webHidden/>
              </w:rPr>
              <w:instrText xml:space="preserve"> PAGEREF _Toc423436286 \h </w:instrText>
            </w:r>
            <w:r w:rsidR="00514B53">
              <w:rPr>
                <w:noProof/>
                <w:webHidden/>
              </w:rPr>
            </w:r>
            <w:r w:rsidR="00514B53">
              <w:rPr>
                <w:noProof/>
                <w:webHidden/>
              </w:rPr>
              <w:fldChar w:fldCharType="separate"/>
            </w:r>
            <w:r w:rsidR="00FF7FD2">
              <w:rPr>
                <w:noProof/>
                <w:webHidden/>
              </w:rPr>
              <w:t>58</w:t>
            </w:r>
            <w:r w:rsidR="00514B53">
              <w:rPr>
                <w:noProof/>
                <w:webHidden/>
              </w:rPr>
              <w:fldChar w:fldCharType="end"/>
            </w:r>
          </w:hyperlink>
        </w:p>
        <w:p w14:paraId="7BCEEE06" w14:textId="77777777" w:rsidR="00514B53" w:rsidRDefault="00912E29">
          <w:pPr>
            <w:pStyle w:val="TOC3"/>
            <w:tabs>
              <w:tab w:val="right" w:leader="dot" w:pos="9607"/>
            </w:tabs>
            <w:rPr>
              <w:noProof/>
              <w:sz w:val="22"/>
              <w:szCs w:val="22"/>
              <w:lang w:val="en-GB" w:eastAsia="en-GB"/>
            </w:rPr>
          </w:pPr>
          <w:hyperlink w:anchor="_Toc423436287" w:history="1">
            <w:r w:rsidR="00514B53" w:rsidRPr="00211764">
              <w:rPr>
                <w:rStyle w:val="Hyperlink"/>
                <w:b/>
                <w:noProof/>
                <w:lang w:val="en-US"/>
              </w:rPr>
              <w:t>5.2 Horizontal issues and modalities</w:t>
            </w:r>
            <w:r w:rsidR="00514B53">
              <w:rPr>
                <w:noProof/>
                <w:webHidden/>
              </w:rPr>
              <w:tab/>
            </w:r>
            <w:r w:rsidR="00514B53">
              <w:rPr>
                <w:noProof/>
                <w:webHidden/>
              </w:rPr>
              <w:fldChar w:fldCharType="begin"/>
            </w:r>
            <w:r w:rsidR="00514B53">
              <w:rPr>
                <w:noProof/>
                <w:webHidden/>
              </w:rPr>
              <w:instrText xml:space="preserve"> PAGEREF _Toc423436287 \h </w:instrText>
            </w:r>
            <w:r w:rsidR="00514B53">
              <w:rPr>
                <w:noProof/>
                <w:webHidden/>
              </w:rPr>
            </w:r>
            <w:r w:rsidR="00514B53">
              <w:rPr>
                <w:noProof/>
                <w:webHidden/>
              </w:rPr>
              <w:fldChar w:fldCharType="separate"/>
            </w:r>
            <w:r w:rsidR="00FF7FD2">
              <w:rPr>
                <w:noProof/>
                <w:webHidden/>
              </w:rPr>
              <w:t>58</w:t>
            </w:r>
            <w:r w:rsidR="00514B53">
              <w:rPr>
                <w:noProof/>
                <w:webHidden/>
              </w:rPr>
              <w:fldChar w:fldCharType="end"/>
            </w:r>
          </w:hyperlink>
        </w:p>
        <w:p w14:paraId="4C8E5E41" w14:textId="77777777" w:rsidR="00514B53" w:rsidRDefault="00912E29">
          <w:pPr>
            <w:pStyle w:val="TOC3"/>
            <w:tabs>
              <w:tab w:val="right" w:leader="dot" w:pos="9607"/>
            </w:tabs>
            <w:rPr>
              <w:noProof/>
              <w:sz w:val="22"/>
              <w:szCs w:val="22"/>
              <w:lang w:val="en-GB" w:eastAsia="en-GB"/>
            </w:rPr>
          </w:pPr>
          <w:hyperlink w:anchor="_Toc423436288" w:history="1">
            <w:r w:rsidR="00514B53" w:rsidRPr="00211764">
              <w:rPr>
                <w:rStyle w:val="Hyperlink"/>
                <w:b/>
                <w:noProof/>
                <w:lang w:val="en-GB"/>
              </w:rPr>
              <w:t>5.3 Thematic objectives and priorities</w:t>
            </w:r>
            <w:r w:rsidR="00514B53">
              <w:rPr>
                <w:noProof/>
                <w:webHidden/>
              </w:rPr>
              <w:tab/>
            </w:r>
            <w:r w:rsidR="00514B53">
              <w:rPr>
                <w:noProof/>
                <w:webHidden/>
              </w:rPr>
              <w:fldChar w:fldCharType="begin"/>
            </w:r>
            <w:r w:rsidR="00514B53">
              <w:rPr>
                <w:noProof/>
                <w:webHidden/>
              </w:rPr>
              <w:instrText xml:space="preserve"> PAGEREF _Toc423436288 \h </w:instrText>
            </w:r>
            <w:r w:rsidR="00514B53">
              <w:rPr>
                <w:noProof/>
                <w:webHidden/>
              </w:rPr>
            </w:r>
            <w:r w:rsidR="00514B53">
              <w:rPr>
                <w:noProof/>
                <w:webHidden/>
              </w:rPr>
              <w:fldChar w:fldCharType="separate"/>
            </w:r>
            <w:r w:rsidR="00FF7FD2">
              <w:rPr>
                <w:noProof/>
                <w:webHidden/>
              </w:rPr>
              <w:t>58</w:t>
            </w:r>
            <w:r w:rsidR="00514B53">
              <w:rPr>
                <w:noProof/>
                <w:webHidden/>
              </w:rPr>
              <w:fldChar w:fldCharType="end"/>
            </w:r>
          </w:hyperlink>
        </w:p>
        <w:p w14:paraId="0CC2CA0B" w14:textId="77777777" w:rsidR="00514B53" w:rsidRDefault="00912E29">
          <w:pPr>
            <w:pStyle w:val="TOC3"/>
            <w:tabs>
              <w:tab w:val="right" w:leader="dot" w:pos="9607"/>
            </w:tabs>
            <w:rPr>
              <w:noProof/>
              <w:sz w:val="22"/>
              <w:szCs w:val="22"/>
              <w:lang w:val="en-GB" w:eastAsia="en-GB"/>
            </w:rPr>
          </w:pPr>
          <w:hyperlink w:anchor="_Toc423436289" w:history="1">
            <w:r w:rsidR="00514B53" w:rsidRPr="00211764">
              <w:rPr>
                <w:rStyle w:val="Hyperlink"/>
                <w:b/>
                <w:noProof/>
                <w:lang w:val="en-GB"/>
              </w:rPr>
              <w:t>5.4 Objectively verifiable indicators</w:t>
            </w:r>
            <w:r w:rsidR="00514B53">
              <w:rPr>
                <w:noProof/>
                <w:webHidden/>
              </w:rPr>
              <w:tab/>
            </w:r>
            <w:r w:rsidR="00514B53">
              <w:rPr>
                <w:noProof/>
                <w:webHidden/>
              </w:rPr>
              <w:fldChar w:fldCharType="begin"/>
            </w:r>
            <w:r w:rsidR="00514B53">
              <w:rPr>
                <w:noProof/>
                <w:webHidden/>
              </w:rPr>
              <w:instrText xml:space="preserve"> PAGEREF _Toc423436289 \h </w:instrText>
            </w:r>
            <w:r w:rsidR="00514B53">
              <w:rPr>
                <w:noProof/>
                <w:webHidden/>
              </w:rPr>
            </w:r>
            <w:r w:rsidR="00514B53">
              <w:rPr>
                <w:noProof/>
                <w:webHidden/>
              </w:rPr>
              <w:fldChar w:fldCharType="separate"/>
            </w:r>
            <w:r w:rsidR="00FF7FD2">
              <w:rPr>
                <w:noProof/>
                <w:webHidden/>
              </w:rPr>
              <w:t>64</w:t>
            </w:r>
            <w:r w:rsidR="00514B53">
              <w:rPr>
                <w:noProof/>
                <w:webHidden/>
              </w:rPr>
              <w:fldChar w:fldCharType="end"/>
            </w:r>
          </w:hyperlink>
        </w:p>
        <w:p w14:paraId="27CDC716" w14:textId="77777777" w:rsidR="00514B53" w:rsidRDefault="00912E29">
          <w:pPr>
            <w:pStyle w:val="TOC3"/>
            <w:tabs>
              <w:tab w:val="right" w:leader="dot" w:pos="9607"/>
            </w:tabs>
            <w:rPr>
              <w:noProof/>
              <w:sz w:val="22"/>
              <w:szCs w:val="22"/>
              <w:lang w:val="en-GB" w:eastAsia="en-GB"/>
            </w:rPr>
          </w:pPr>
          <w:hyperlink w:anchor="_Toc423436290" w:history="1">
            <w:r w:rsidR="00514B53" w:rsidRPr="00211764">
              <w:rPr>
                <w:rStyle w:val="Hyperlink"/>
                <w:b/>
                <w:noProof/>
                <w:lang w:val="en-GB"/>
              </w:rPr>
              <w:t>5.5 Risk analysis and mitigating measures</w:t>
            </w:r>
            <w:r w:rsidR="00514B53">
              <w:rPr>
                <w:noProof/>
                <w:webHidden/>
              </w:rPr>
              <w:tab/>
            </w:r>
            <w:r w:rsidR="00514B53">
              <w:rPr>
                <w:noProof/>
                <w:webHidden/>
              </w:rPr>
              <w:fldChar w:fldCharType="begin"/>
            </w:r>
            <w:r w:rsidR="00514B53">
              <w:rPr>
                <w:noProof/>
                <w:webHidden/>
              </w:rPr>
              <w:instrText xml:space="preserve"> PAGEREF _Toc423436290 \h </w:instrText>
            </w:r>
            <w:r w:rsidR="00514B53">
              <w:rPr>
                <w:noProof/>
                <w:webHidden/>
              </w:rPr>
            </w:r>
            <w:r w:rsidR="00514B53">
              <w:rPr>
                <w:noProof/>
                <w:webHidden/>
              </w:rPr>
              <w:fldChar w:fldCharType="separate"/>
            </w:r>
            <w:r w:rsidR="00FF7FD2">
              <w:rPr>
                <w:noProof/>
                <w:webHidden/>
              </w:rPr>
              <w:t>67</w:t>
            </w:r>
            <w:r w:rsidR="00514B53">
              <w:rPr>
                <w:noProof/>
                <w:webHidden/>
              </w:rPr>
              <w:fldChar w:fldCharType="end"/>
            </w:r>
          </w:hyperlink>
        </w:p>
        <w:p w14:paraId="1C5B6E96" w14:textId="77777777" w:rsidR="00514B53" w:rsidRDefault="00912E29">
          <w:pPr>
            <w:pStyle w:val="TOC3"/>
            <w:tabs>
              <w:tab w:val="right" w:leader="dot" w:pos="9607"/>
            </w:tabs>
            <w:rPr>
              <w:noProof/>
              <w:sz w:val="22"/>
              <w:szCs w:val="22"/>
              <w:lang w:val="en-GB" w:eastAsia="en-GB"/>
            </w:rPr>
          </w:pPr>
          <w:hyperlink w:anchor="_Toc423436291" w:history="1">
            <w:r w:rsidR="00514B53" w:rsidRPr="00211764">
              <w:rPr>
                <w:rStyle w:val="Hyperlink"/>
                <w:b/>
                <w:noProof/>
                <w:lang w:val="en-GB"/>
              </w:rPr>
              <w:t>5.6 Programme logical framework</w:t>
            </w:r>
            <w:r w:rsidR="00514B53">
              <w:rPr>
                <w:noProof/>
                <w:webHidden/>
              </w:rPr>
              <w:tab/>
            </w:r>
            <w:r w:rsidR="00514B53">
              <w:rPr>
                <w:noProof/>
                <w:webHidden/>
              </w:rPr>
              <w:fldChar w:fldCharType="begin"/>
            </w:r>
            <w:r w:rsidR="00514B53">
              <w:rPr>
                <w:noProof/>
                <w:webHidden/>
              </w:rPr>
              <w:instrText xml:space="preserve"> PAGEREF _Toc423436291 \h </w:instrText>
            </w:r>
            <w:r w:rsidR="00514B53">
              <w:rPr>
                <w:noProof/>
                <w:webHidden/>
              </w:rPr>
            </w:r>
            <w:r w:rsidR="00514B53">
              <w:rPr>
                <w:noProof/>
                <w:webHidden/>
              </w:rPr>
              <w:fldChar w:fldCharType="separate"/>
            </w:r>
            <w:r w:rsidR="00FF7FD2">
              <w:rPr>
                <w:noProof/>
                <w:webHidden/>
              </w:rPr>
              <w:t>68</w:t>
            </w:r>
            <w:r w:rsidR="00514B53">
              <w:rPr>
                <w:noProof/>
                <w:webHidden/>
              </w:rPr>
              <w:fldChar w:fldCharType="end"/>
            </w:r>
          </w:hyperlink>
        </w:p>
        <w:p w14:paraId="7AAE30ED" w14:textId="77777777" w:rsidR="00514B53" w:rsidRDefault="00912E29">
          <w:pPr>
            <w:pStyle w:val="TOC3"/>
            <w:tabs>
              <w:tab w:val="right" w:leader="dot" w:pos="9607"/>
            </w:tabs>
            <w:rPr>
              <w:noProof/>
              <w:sz w:val="22"/>
              <w:szCs w:val="22"/>
              <w:lang w:val="en-GB" w:eastAsia="en-GB"/>
            </w:rPr>
          </w:pPr>
          <w:hyperlink w:anchor="_Toc423436292" w:history="1">
            <w:r w:rsidR="00514B53" w:rsidRPr="00211764">
              <w:rPr>
                <w:rStyle w:val="Hyperlink"/>
                <w:b/>
                <w:noProof/>
                <w:lang w:val="en-GB"/>
              </w:rPr>
              <w:t>5.7 Nature of projects and types of support</w:t>
            </w:r>
            <w:r w:rsidR="00514B53">
              <w:rPr>
                <w:noProof/>
                <w:webHidden/>
              </w:rPr>
              <w:tab/>
            </w:r>
            <w:r w:rsidR="00514B53">
              <w:rPr>
                <w:noProof/>
                <w:webHidden/>
              </w:rPr>
              <w:fldChar w:fldCharType="begin"/>
            </w:r>
            <w:r w:rsidR="00514B53">
              <w:rPr>
                <w:noProof/>
                <w:webHidden/>
              </w:rPr>
              <w:instrText xml:space="preserve"> PAGEREF _Toc423436292 \h </w:instrText>
            </w:r>
            <w:r w:rsidR="00514B53">
              <w:rPr>
                <w:noProof/>
                <w:webHidden/>
              </w:rPr>
            </w:r>
            <w:r w:rsidR="00514B53">
              <w:rPr>
                <w:noProof/>
                <w:webHidden/>
              </w:rPr>
              <w:fldChar w:fldCharType="separate"/>
            </w:r>
            <w:r w:rsidR="00FF7FD2">
              <w:rPr>
                <w:noProof/>
                <w:webHidden/>
              </w:rPr>
              <w:t>72</w:t>
            </w:r>
            <w:r w:rsidR="00514B53">
              <w:rPr>
                <w:noProof/>
                <w:webHidden/>
              </w:rPr>
              <w:fldChar w:fldCharType="end"/>
            </w:r>
          </w:hyperlink>
        </w:p>
        <w:p w14:paraId="0797FC65" w14:textId="77777777" w:rsidR="00514B53" w:rsidRDefault="00912E29">
          <w:pPr>
            <w:pStyle w:val="TOC3"/>
            <w:tabs>
              <w:tab w:val="right" w:leader="dot" w:pos="9607"/>
            </w:tabs>
            <w:rPr>
              <w:noProof/>
              <w:sz w:val="22"/>
              <w:szCs w:val="22"/>
              <w:lang w:val="en-GB" w:eastAsia="en-GB"/>
            </w:rPr>
          </w:pPr>
          <w:hyperlink w:anchor="_Toc423436293" w:history="1">
            <w:r w:rsidR="00514B53" w:rsidRPr="00211764">
              <w:rPr>
                <w:rStyle w:val="Hyperlink"/>
                <w:b/>
                <w:noProof/>
                <w:lang w:val="en-GB"/>
              </w:rPr>
              <w:t>5.8 Mainstreaming of cross-cutting issues</w:t>
            </w:r>
            <w:r w:rsidR="00514B53">
              <w:rPr>
                <w:noProof/>
                <w:webHidden/>
              </w:rPr>
              <w:tab/>
            </w:r>
            <w:r w:rsidR="00514B53">
              <w:rPr>
                <w:noProof/>
                <w:webHidden/>
              </w:rPr>
              <w:fldChar w:fldCharType="begin"/>
            </w:r>
            <w:r w:rsidR="00514B53">
              <w:rPr>
                <w:noProof/>
                <w:webHidden/>
              </w:rPr>
              <w:instrText xml:space="preserve"> PAGEREF _Toc423436293 \h </w:instrText>
            </w:r>
            <w:r w:rsidR="00514B53">
              <w:rPr>
                <w:noProof/>
                <w:webHidden/>
              </w:rPr>
            </w:r>
            <w:r w:rsidR="00514B53">
              <w:rPr>
                <w:noProof/>
                <w:webHidden/>
              </w:rPr>
              <w:fldChar w:fldCharType="separate"/>
            </w:r>
            <w:r w:rsidR="00FF7FD2">
              <w:rPr>
                <w:noProof/>
                <w:webHidden/>
              </w:rPr>
              <w:t>73</w:t>
            </w:r>
            <w:r w:rsidR="00514B53">
              <w:rPr>
                <w:noProof/>
                <w:webHidden/>
              </w:rPr>
              <w:fldChar w:fldCharType="end"/>
            </w:r>
          </w:hyperlink>
        </w:p>
        <w:p w14:paraId="6CBA71C0" w14:textId="77777777" w:rsidR="00514B53" w:rsidRDefault="00912E29">
          <w:pPr>
            <w:pStyle w:val="TOC3"/>
            <w:tabs>
              <w:tab w:val="right" w:leader="dot" w:pos="9607"/>
            </w:tabs>
            <w:rPr>
              <w:noProof/>
              <w:sz w:val="22"/>
              <w:szCs w:val="22"/>
              <w:lang w:val="en-GB" w:eastAsia="en-GB"/>
            </w:rPr>
          </w:pPr>
          <w:hyperlink w:anchor="_Toc423436294" w:history="1">
            <w:r w:rsidR="00514B53" w:rsidRPr="00211764">
              <w:rPr>
                <w:rStyle w:val="Hyperlink"/>
                <w:b/>
                <w:noProof/>
                <w:lang w:val="en-GB"/>
              </w:rPr>
              <w:t>5.9 Complementarities and synergies</w:t>
            </w:r>
            <w:r w:rsidR="00514B53">
              <w:rPr>
                <w:noProof/>
                <w:webHidden/>
              </w:rPr>
              <w:tab/>
            </w:r>
            <w:r w:rsidR="00514B53">
              <w:rPr>
                <w:noProof/>
                <w:webHidden/>
              </w:rPr>
              <w:fldChar w:fldCharType="begin"/>
            </w:r>
            <w:r w:rsidR="00514B53">
              <w:rPr>
                <w:noProof/>
                <w:webHidden/>
              </w:rPr>
              <w:instrText xml:space="preserve"> PAGEREF _Toc423436294 \h </w:instrText>
            </w:r>
            <w:r w:rsidR="00514B53">
              <w:rPr>
                <w:noProof/>
                <w:webHidden/>
              </w:rPr>
            </w:r>
            <w:r w:rsidR="00514B53">
              <w:rPr>
                <w:noProof/>
                <w:webHidden/>
              </w:rPr>
              <w:fldChar w:fldCharType="separate"/>
            </w:r>
            <w:r w:rsidR="00FF7FD2">
              <w:rPr>
                <w:noProof/>
                <w:webHidden/>
              </w:rPr>
              <w:t>75</w:t>
            </w:r>
            <w:r w:rsidR="00514B53">
              <w:rPr>
                <w:noProof/>
                <w:webHidden/>
              </w:rPr>
              <w:fldChar w:fldCharType="end"/>
            </w:r>
          </w:hyperlink>
        </w:p>
        <w:p w14:paraId="47AAC265" w14:textId="77777777" w:rsidR="00514B53" w:rsidRDefault="00912E29">
          <w:pPr>
            <w:pStyle w:val="TOC1"/>
            <w:tabs>
              <w:tab w:val="right" w:leader="dot" w:pos="9607"/>
            </w:tabs>
            <w:rPr>
              <w:noProof/>
              <w:color w:val="auto"/>
              <w:sz w:val="22"/>
              <w:szCs w:val="22"/>
              <w:lang w:val="en-GB" w:eastAsia="en-GB"/>
            </w:rPr>
          </w:pPr>
          <w:hyperlink w:anchor="_Toc423436295" w:history="1">
            <w:r w:rsidR="00514B53" w:rsidRPr="00211764">
              <w:rPr>
                <w:rStyle w:val="Hyperlink"/>
                <w:noProof/>
                <w:lang w:val="en-GB"/>
              </w:rPr>
              <w:t>6.    Programme structures and national bodies</w:t>
            </w:r>
            <w:r w:rsidR="00514B53">
              <w:rPr>
                <w:noProof/>
                <w:webHidden/>
              </w:rPr>
              <w:tab/>
            </w:r>
            <w:r w:rsidR="00514B53">
              <w:rPr>
                <w:noProof/>
                <w:webHidden/>
              </w:rPr>
              <w:fldChar w:fldCharType="begin"/>
            </w:r>
            <w:r w:rsidR="00514B53">
              <w:rPr>
                <w:noProof/>
                <w:webHidden/>
              </w:rPr>
              <w:instrText xml:space="preserve"> PAGEREF _Toc423436295 \h </w:instrText>
            </w:r>
            <w:r w:rsidR="00514B53">
              <w:rPr>
                <w:noProof/>
                <w:webHidden/>
              </w:rPr>
            </w:r>
            <w:r w:rsidR="00514B53">
              <w:rPr>
                <w:noProof/>
                <w:webHidden/>
              </w:rPr>
              <w:fldChar w:fldCharType="separate"/>
            </w:r>
            <w:r w:rsidR="00FF7FD2">
              <w:rPr>
                <w:noProof/>
                <w:webHidden/>
              </w:rPr>
              <w:t>78</w:t>
            </w:r>
            <w:r w:rsidR="00514B53">
              <w:rPr>
                <w:noProof/>
                <w:webHidden/>
              </w:rPr>
              <w:fldChar w:fldCharType="end"/>
            </w:r>
          </w:hyperlink>
        </w:p>
        <w:p w14:paraId="7CF068E4" w14:textId="77777777" w:rsidR="00514B53" w:rsidRDefault="00912E29">
          <w:pPr>
            <w:pStyle w:val="TOC3"/>
            <w:tabs>
              <w:tab w:val="right" w:leader="dot" w:pos="9607"/>
            </w:tabs>
            <w:rPr>
              <w:noProof/>
              <w:sz w:val="22"/>
              <w:szCs w:val="22"/>
              <w:lang w:val="en-GB" w:eastAsia="en-GB"/>
            </w:rPr>
          </w:pPr>
          <w:hyperlink w:anchor="_Toc423436296" w:history="1">
            <w:r w:rsidR="00514B53" w:rsidRPr="00211764">
              <w:rPr>
                <w:rStyle w:val="Hyperlink"/>
                <w:b/>
                <w:noProof/>
                <w:lang w:val="en-GB"/>
              </w:rPr>
              <w:t>6.1 Joint Monitoring Committee (JMC)</w:t>
            </w:r>
            <w:r w:rsidR="00514B53">
              <w:rPr>
                <w:noProof/>
                <w:webHidden/>
              </w:rPr>
              <w:tab/>
            </w:r>
            <w:r w:rsidR="00514B53">
              <w:rPr>
                <w:noProof/>
                <w:webHidden/>
              </w:rPr>
              <w:fldChar w:fldCharType="begin"/>
            </w:r>
            <w:r w:rsidR="00514B53">
              <w:rPr>
                <w:noProof/>
                <w:webHidden/>
              </w:rPr>
              <w:instrText xml:space="preserve"> PAGEREF _Toc423436296 \h </w:instrText>
            </w:r>
            <w:r w:rsidR="00514B53">
              <w:rPr>
                <w:noProof/>
                <w:webHidden/>
              </w:rPr>
            </w:r>
            <w:r w:rsidR="00514B53">
              <w:rPr>
                <w:noProof/>
                <w:webHidden/>
              </w:rPr>
              <w:fldChar w:fldCharType="separate"/>
            </w:r>
            <w:r w:rsidR="00FF7FD2">
              <w:rPr>
                <w:noProof/>
                <w:webHidden/>
              </w:rPr>
              <w:t>78</w:t>
            </w:r>
            <w:r w:rsidR="00514B53">
              <w:rPr>
                <w:noProof/>
                <w:webHidden/>
              </w:rPr>
              <w:fldChar w:fldCharType="end"/>
            </w:r>
          </w:hyperlink>
        </w:p>
        <w:p w14:paraId="2DF4E89E" w14:textId="77777777" w:rsidR="00514B53" w:rsidRDefault="00912E29">
          <w:pPr>
            <w:pStyle w:val="TOC3"/>
            <w:tabs>
              <w:tab w:val="right" w:leader="dot" w:pos="9607"/>
            </w:tabs>
            <w:rPr>
              <w:noProof/>
              <w:sz w:val="22"/>
              <w:szCs w:val="22"/>
              <w:lang w:val="en-GB" w:eastAsia="en-GB"/>
            </w:rPr>
          </w:pPr>
          <w:hyperlink w:anchor="_Toc423436297" w:history="1">
            <w:r w:rsidR="00514B53" w:rsidRPr="00211764">
              <w:rPr>
                <w:rStyle w:val="Hyperlink"/>
                <w:b/>
                <w:noProof/>
                <w:lang w:val="en-GB"/>
              </w:rPr>
              <w:t>6.2 Managing Authority (MA)</w:t>
            </w:r>
            <w:r w:rsidR="00514B53">
              <w:rPr>
                <w:noProof/>
                <w:webHidden/>
              </w:rPr>
              <w:tab/>
            </w:r>
            <w:r w:rsidR="00514B53">
              <w:rPr>
                <w:noProof/>
                <w:webHidden/>
              </w:rPr>
              <w:fldChar w:fldCharType="begin"/>
            </w:r>
            <w:r w:rsidR="00514B53">
              <w:rPr>
                <w:noProof/>
                <w:webHidden/>
              </w:rPr>
              <w:instrText xml:space="preserve"> PAGEREF _Toc423436297 \h </w:instrText>
            </w:r>
            <w:r w:rsidR="00514B53">
              <w:rPr>
                <w:noProof/>
                <w:webHidden/>
              </w:rPr>
            </w:r>
            <w:r w:rsidR="00514B53">
              <w:rPr>
                <w:noProof/>
                <w:webHidden/>
              </w:rPr>
              <w:fldChar w:fldCharType="separate"/>
            </w:r>
            <w:r w:rsidR="00FF7FD2">
              <w:rPr>
                <w:noProof/>
                <w:webHidden/>
              </w:rPr>
              <w:t>80</w:t>
            </w:r>
            <w:r w:rsidR="00514B53">
              <w:rPr>
                <w:noProof/>
                <w:webHidden/>
              </w:rPr>
              <w:fldChar w:fldCharType="end"/>
            </w:r>
          </w:hyperlink>
        </w:p>
        <w:p w14:paraId="278CBD8E" w14:textId="77777777" w:rsidR="00514B53" w:rsidRDefault="00912E29">
          <w:pPr>
            <w:pStyle w:val="TOC3"/>
            <w:tabs>
              <w:tab w:val="right" w:leader="dot" w:pos="9607"/>
            </w:tabs>
            <w:rPr>
              <w:noProof/>
              <w:sz w:val="22"/>
              <w:szCs w:val="22"/>
              <w:lang w:val="en-GB" w:eastAsia="en-GB"/>
            </w:rPr>
          </w:pPr>
          <w:hyperlink w:anchor="_Toc423436298" w:history="1">
            <w:r w:rsidR="00514B53" w:rsidRPr="00211764">
              <w:rPr>
                <w:rStyle w:val="Hyperlink"/>
                <w:b/>
                <w:noProof/>
                <w:lang w:val="en-GB"/>
              </w:rPr>
              <w:t>6.3 Audit Authority (AA) and Group of Auditors (GoAs)</w:t>
            </w:r>
            <w:r w:rsidR="00514B53">
              <w:rPr>
                <w:noProof/>
                <w:webHidden/>
              </w:rPr>
              <w:tab/>
            </w:r>
            <w:r w:rsidR="00514B53">
              <w:rPr>
                <w:noProof/>
                <w:webHidden/>
              </w:rPr>
              <w:fldChar w:fldCharType="begin"/>
            </w:r>
            <w:r w:rsidR="00514B53">
              <w:rPr>
                <w:noProof/>
                <w:webHidden/>
              </w:rPr>
              <w:instrText xml:space="preserve"> PAGEREF _Toc423436298 \h </w:instrText>
            </w:r>
            <w:r w:rsidR="00514B53">
              <w:rPr>
                <w:noProof/>
                <w:webHidden/>
              </w:rPr>
            </w:r>
            <w:r w:rsidR="00514B53">
              <w:rPr>
                <w:noProof/>
                <w:webHidden/>
              </w:rPr>
              <w:fldChar w:fldCharType="separate"/>
            </w:r>
            <w:r w:rsidR="00FF7FD2">
              <w:rPr>
                <w:noProof/>
                <w:webHidden/>
              </w:rPr>
              <w:t>82</w:t>
            </w:r>
            <w:r w:rsidR="00514B53">
              <w:rPr>
                <w:noProof/>
                <w:webHidden/>
              </w:rPr>
              <w:fldChar w:fldCharType="end"/>
            </w:r>
          </w:hyperlink>
        </w:p>
        <w:p w14:paraId="5D50C75A" w14:textId="77777777" w:rsidR="00514B53" w:rsidRDefault="00912E29">
          <w:pPr>
            <w:pStyle w:val="TOC3"/>
            <w:tabs>
              <w:tab w:val="right" w:leader="dot" w:pos="9607"/>
            </w:tabs>
            <w:rPr>
              <w:noProof/>
              <w:sz w:val="22"/>
              <w:szCs w:val="22"/>
              <w:lang w:val="en-GB" w:eastAsia="en-GB"/>
            </w:rPr>
          </w:pPr>
          <w:hyperlink w:anchor="_Toc423436299" w:history="1">
            <w:r w:rsidR="00514B53" w:rsidRPr="00211764">
              <w:rPr>
                <w:rStyle w:val="Hyperlink"/>
                <w:b/>
                <w:noProof/>
                <w:lang w:val="en-GB"/>
              </w:rPr>
              <w:t>6.4 National Authorities (NAs)</w:t>
            </w:r>
            <w:r w:rsidR="00514B53">
              <w:rPr>
                <w:noProof/>
                <w:webHidden/>
              </w:rPr>
              <w:tab/>
            </w:r>
            <w:r w:rsidR="00514B53">
              <w:rPr>
                <w:noProof/>
                <w:webHidden/>
              </w:rPr>
              <w:fldChar w:fldCharType="begin"/>
            </w:r>
            <w:r w:rsidR="00514B53">
              <w:rPr>
                <w:noProof/>
                <w:webHidden/>
              </w:rPr>
              <w:instrText xml:space="preserve"> PAGEREF _Toc423436299 \h </w:instrText>
            </w:r>
            <w:r w:rsidR="00514B53">
              <w:rPr>
                <w:noProof/>
                <w:webHidden/>
              </w:rPr>
            </w:r>
            <w:r w:rsidR="00514B53">
              <w:rPr>
                <w:noProof/>
                <w:webHidden/>
              </w:rPr>
              <w:fldChar w:fldCharType="separate"/>
            </w:r>
            <w:r w:rsidR="00FF7FD2">
              <w:rPr>
                <w:noProof/>
                <w:webHidden/>
              </w:rPr>
              <w:t>84</w:t>
            </w:r>
            <w:r w:rsidR="00514B53">
              <w:rPr>
                <w:noProof/>
                <w:webHidden/>
              </w:rPr>
              <w:fldChar w:fldCharType="end"/>
            </w:r>
          </w:hyperlink>
        </w:p>
        <w:p w14:paraId="7EFCAE91" w14:textId="77777777" w:rsidR="00514B53" w:rsidRDefault="00912E29">
          <w:pPr>
            <w:pStyle w:val="TOC3"/>
            <w:tabs>
              <w:tab w:val="right" w:leader="dot" w:pos="9607"/>
            </w:tabs>
            <w:rPr>
              <w:noProof/>
              <w:sz w:val="22"/>
              <w:szCs w:val="22"/>
              <w:lang w:val="en-GB" w:eastAsia="en-GB"/>
            </w:rPr>
          </w:pPr>
          <w:hyperlink w:anchor="_Toc423436300" w:history="1">
            <w:r w:rsidR="00514B53" w:rsidRPr="00211764">
              <w:rPr>
                <w:rStyle w:val="Hyperlink"/>
                <w:b/>
                <w:noProof/>
                <w:lang w:val="en-GB"/>
              </w:rPr>
              <w:t>6.5 Control Contact Points (CCPs)</w:t>
            </w:r>
            <w:r w:rsidR="00514B53">
              <w:rPr>
                <w:noProof/>
                <w:webHidden/>
              </w:rPr>
              <w:tab/>
            </w:r>
            <w:r w:rsidR="00514B53">
              <w:rPr>
                <w:noProof/>
                <w:webHidden/>
              </w:rPr>
              <w:fldChar w:fldCharType="begin"/>
            </w:r>
            <w:r w:rsidR="00514B53">
              <w:rPr>
                <w:noProof/>
                <w:webHidden/>
              </w:rPr>
              <w:instrText xml:space="preserve"> PAGEREF _Toc423436300 \h </w:instrText>
            </w:r>
            <w:r w:rsidR="00514B53">
              <w:rPr>
                <w:noProof/>
                <w:webHidden/>
              </w:rPr>
            </w:r>
            <w:r w:rsidR="00514B53">
              <w:rPr>
                <w:noProof/>
                <w:webHidden/>
              </w:rPr>
              <w:fldChar w:fldCharType="separate"/>
            </w:r>
            <w:r w:rsidR="00FF7FD2">
              <w:rPr>
                <w:noProof/>
                <w:webHidden/>
              </w:rPr>
              <w:t>86</w:t>
            </w:r>
            <w:r w:rsidR="00514B53">
              <w:rPr>
                <w:noProof/>
                <w:webHidden/>
              </w:rPr>
              <w:fldChar w:fldCharType="end"/>
            </w:r>
          </w:hyperlink>
        </w:p>
        <w:p w14:paraId="3EC1FFF0" w14:textId="77777777" w:rsidR="00514B53" w:rsidRDefault="00912E29">
          <w:pPr>
            <w:pStyle w:val="TOC3"/>
            <w:tabs>
              <w:tab w:val="right" w:leader="dot" w:pos="9607"/>
            </w:tabs>
            <w:rPr>
              <w:noProof/>
              <w:sz w:val="22"/>
              <w:szCs w:val="22"/>
              <w:lang w:val="en-GB" w:eastAsia="en-GB"/>
            </w:rPr>
          </w:pPr>
          <w:hyperlink w:anchor="_Toc423436301" w:history="1">
            <w:r w:rsidR="00514B53" w:rsidRPr="00211764">
              <w:rPr>
                <w:rStyle w:val="Hyperlink"/>
                <w:b/>
                <w:noProof/>
                <w:lang w:val="en-GB"/>
              </w:rPr>
              <w:t>6.6 Joint Technical Secretariat (JTS)</w:t>
            </w:r>
            <w:r w:rsidR="00514B53">
              <w:rPr>
                <w:noProof/>
                <w:webHidden/>
              </w:rPr>
              <w:tab/>
            </w:r>
            <w:r w:rsidR="00514B53">
              <w:rPr>
                <w:noProof/>
                <w:webHidden/>
              </w:rPr>
              <w:fldChar w:fldCharType="begin"/>
            </w:r>
            <w:r w:rsidR="00514B53">
              <w:rPr>
                <w:noProof/>
                <w:webHidden/>
              </w:rPr>
              <w:instrText xml:space="preserve"> PAGEREF _Toc423436301 \h </w:instrText>
            </w:r>
            <w:r w:rsidR="00514B53">
              <w:rPr>
                <w:noProof/>
                <w:webHidden/>
              </w:rPr>
            </w:r>
            <w:r w:rsidR="00514B53">
              <w:rPr>
                <w:noProof/>
                <w:webHidden/>
              </w:rPr>
              <w:fldChar w:fldCharType="separate"/>
            </w:r>
            <w:r w:rsidR="00FF7FD2">
              <w:rPr>
                <w:noProof/>
                <w:webHidden/>
              </w:rPr>
              <w:t>87</w:t>
            </w:r>
            <w:r w:rsidR="00514B53">
              <w:rPr>
                <w:noProof/>
                <w:webHidden/>
              </w:rPr>
              <w:fldChar w:fldCharType="end"/>
            </w:r>
          </w:hyperlink>
        </w:p>
        <w:p w14:paraId="33847F6B" w14:textId="77777777" w:rsidR="00514B53" w:rsidRDefault="00912E29">
          <w:pPr>
            <w:pStyle w:val="TOC3"/>
            <w:tabs>
              <w:tab w:val="right" w:leader="dot" w:pos="9607"/>
            </w:tabs>
            <w:rPr>
              <w:noProof/>
              <w:sz w:val="22"/>
              <w:szCs w:val="22"/>
              <w:lang w:val="en-GB" w:eastAsia="en-GB"/>
            </w:rPr>
          </w:pPr>
          <w:hyperlink w:anchor="_Toc423436302" w:history="1">
            <w:r w:rsidR="00514B53" w:rsidRPr="00211764">
              <w:rPr>
                <w:rStyle w:val="Hyperlink"/>
                <w:b/>
                <w:noProof/>
                <w:lang w:val="en-GB"/>
              </w:rPr>
              <w:t>6.7 Other structures supporting national authorities</w:t>
            </w:r>
            <w:r w:rsidR="00514B53">
              <w:rPr>
                <w:noProof/>
                <w:webHidden/>
              </w:rPr>
              <w:tab/>
            </w:r>
            <w:r w:rsidR="00514B53">
              <w:rPr>
                <w:noProof/>
                <w:webHidden/>
              </w:rPr>
              <w:fldChar w:fldCharType="begin"/>
            </w:r>
            <w:r w:rsidR="00514B53">
              <w:rPr>
                <w:noProof/>
                <w:webHidden/>
              </w:rPr>
              <w:instrText xml:space="preserve"> PAGEREF _Toc423436302 \h </w:instrText>
            </w:r>
            <w:r w:rsidR="00514B53">
              <w:rPr>
                <w:noProof/>
                <w:webHidden/>
              </w:rPr>
            </w:r>
            <w:r w:rsidR="00514B53">
              <w:rPr>
                <w:noProof/>
                <w:webHidden/>
              </w:rPr>
              <w:fldChar w:fldCharType="separate"/>
            </w:r>
            <w:r w:rsidR="00FF7FD2">
              <w:rPr>
                <w:noProof/>
                <w:webHidden/>
              </w:rPr>
              <w:t>88</w:t>
            </w:r>
            <w:r w:rsidR="00514B53">
              <w:rPr>
                <w:noProof/>
                <w:webHidden/>
              </w:rPr>
              <w:fldChar w:fldCharType="end"/>
            </w:r>
          </w:hyperlink>
        </w:p>
        <w:p w14:paraId="7D18EE8E" w14:textId="77777777" w:rsidR="00514B53" w:rsidRDefault="00912E29">
          <w:pPr>
            <w:pStyle w:val="TOC3"/>
            <w:tabs>
              <w:tab w:val="right" w:leader="dot" w:pos="9607"/>
            </w:tabs>
            <w:rPr>
              <w:noProof/>
              <w:sz w:val="22"/>
              <w:szCs w:val="22"/>
              <w:lang w:val="en-GB" w:eastAsia="en-GB"/>
            </w:rPr>
          </w:pPr>
          <w:hyperlink w:anchor="_Toc423436303" w:history="1">
            <w:r w:rsidR="00514B53" w:rsidRPr="00211764">
              <w:rPr>
                <w:rStyle w:val="Hyperlink"/>
                <w:b/>
                <w:noProof/>
                <w:lang w:val="en-GB"/>
              </w:rPr>
              <w:t>6.8 Selection Committee (SC)</w:t>
            </w:r>
            <w:r w:rsidR="00514B53">
              <w:rPr>
                <w:noProof/>
                <w:webHidden/>
              </w:rPr>
              <w:tab/>
            </w:r>
            <w:r w:rsidR="00514B53">
              <w:rPr>
                <w:noProof/>
                <w:webHidden/>
              </w:rPr>
              <w:fldChar w:fldCharType="begin"/>
            </w:r>
            <w:r w:rsidR="00514B53">
              <w:rPr>
                <w:noProof/>
                <w:webHidden/>
              </w:rPr>
              <w:instrText xml:space="preserve"> PAGEREF _Toc423436303 \h </w:instrText>
            </w:r>
            <w:r w:rsidR="00514B53">
              <w:rPr>
                <w:noProof/>
                <w:webHidden/>
              </w:rPr>
            </w:r>
            <w:r w:rsidR="00514B53">
              <w:rPr>
                <w:noProof/>
                <w:webHidden/>
              </w:rPr>
              <w:fldChar w:fldCharType="separate"/>
            </w:r>
            <w:r w:rsidR="00FF7FD2">
              <w:rPr>
                <w:noProof/>
                <w:webHidden/>
              </w:rPr>
              <w:t>89</w:t>
            </w:r>
            <w:r w:rsidR="00514B53">
              <w:rPr>
                <w:noProof/>
                <w:webHidden/>
              </w:rPr>
              <w:fldChar w:fldCharType="end"/>
            </w:r>
          </w:hyperlink>
        </w:p>
        <w:p w14:paraId="4084B0C0" w14:textId="77777777" w:rsidR="00514B53" w:rsidRDefault="00912E29">
          <w:pPr>
            <w:pStyle w:val="TOC1"/>
            <w:tabs>
              <w:tab w:val="right" w:leader="dot" w:pos="9607"/>
            </w:tabs>
            <w:rPr>
              <w:noProof/>
              <w:color w:val="auto"/>
              <w:sz w:val="22"/>
              <w:szCs w:val="22"/>
              <w:lang w:val="en-GB" w:eastAsia="en-GB"/>
            </w:rPr>
          </w:pPr>
          <w:hyperlink w:anchor="_Toc423436304" w:history="1">
            <w:r w:rsidR="00514B53" w:rsidRPr="00211764">
              <w:rPr>
                <w:rStyle w:val="Hyperlink"/>
                <w:noProof/>
                <w:lang w:val="en-GB"/>
              </w:rPr>
              <w:t>7.    Project evaluation and selection procedures</w:t>
            </w:r>
            <w:r w:rsidR="00514B53">
              <w:rPr>
                <w:noProof/>
                <w:webHidden/>
              </w:rPr>
              <w:tab/>
            </w:r>
            <w:r w:rsidR="00514B53">
              <w:rPr>
                <w:noProof/>
                <w:webHidden/>
              </w:rPr>
              <w:fldChar w:fldCharType="begin"/>
            </w:r>
            <w:r w:rsidR="00514B53">
              <w:rPr>
                <w:noProof/>
                <w:webHidden/>
              </w:rPr>
              <w:instrText xml:space="preserve"> PAGEREF _Toc423436304 \h </w:instrText>
            </w:r>
            <w:r w:rsidR="00514B53">
              <w:rPr>
                <w:noProof/>
                <w:webHidden/>
              </w:rPr>
            </w:r>
            <w:r w:rsidR="00514B53">
              <w:rPr>
                <w:noProof/>
                <w:webHidden/>
              </w:rPr>
              <w:fldChar w:fldCharType="separate"/>
            </w:r>
            <w:r w:rsidR="00FF7FD2">
              <w:rPr>
                <w:noProof/>
                <w:webHidden/>
              </w:rPr>
              <w:t>90</w:t>
            </w:r>
            <w:r w:rsidR="00514B53">
              <w:rPr>
                <w:noProof/>
                <w:webHidden/>
              </w:rPr>
              <w:fldChar w:fldCharType="end"/>
            </w:r>
          </w:hyperlink>
        </w:p>
        <w:p w14:paraId="3D7D96A2" w14:textId="77777777" w:rsidR="00514B53" w:rsidRDefault="00912E29">
          <w:pPr>
            <w:pStyle w:val="TOC3"/>
            <w:tabs>
              <w:tab w:val="right" w:leader="dot" w:pos="9607"/>
            </w:tabs>
            <w:rPr>
              <w:noProof/>
              <w:sz w:val="22"/>
              <w:szCs w:val="22"/>
              <w:lang w:val="en-GB" w:eastAsia="en-GB"/>
            </w:rPr>
          </w:pPr>
          <w:hyperlink w:anchor="_Toc423436305" w:history="1">
            <w:r w:rsidR="00514B53" w:rsidRPr="00211764">
              <w:rPr>
                <w:rStyle w:val="Hyperlink"/>
                <w:b/>
                <w:noProof/>
                <w:lang w:val="en-GB"/>
              </w:rPr>
              <w:t>7.1 Actors involved, roles and responsibilities</w:t>
            </w:r>
            <w:r w:rsidR="00514B53">
              <w:rPr>
                <w:noProof/>
                <w:webHidden/>
              </w:rPr>
              <w:tab/>
            </w:r>
            <w:r w:rsidR="00514B53">
              <w:rPr>
                <w:noProof/>
                <w:webHidden/>
              </w:rPr>
              <w:fldChar w:fldCharType="begin"/>
            </w:r>
            <w:r w:rsidR="00514B53">
              <w:rPr>
                <w:noProof/>
                <w:webHidden/>
              </w:rPr>
              <w:instrText xml:space="preserve"> PAGEREF _Toc423436305 \h </w:instrText>
            </w:r>
            <w:r w:rsidR="00514B53">
              <w:rPr>
                <w:noProof/>
                <w:webHidden/>
              </w:rPr>
            </w:r>
            <w:r w:rsidR="00514B53">
              <w:rPr>
                <w:noProof/>
                <w:webHidden/>
              </w:rPr>
              <w:fldChar w:fldCharType="separate"/>
            </w:r>
            <w:r w:rsidR="00FF7FD2">
              <w:rPr>
                <w:noProof/>
                <w:webHidden/>
              </w:rPr>
              <w:t>90</w:t>
            </w:r>
            <w:r w:rsidR="00514B53">
              <w:rPr>
                <w:noProof/>
                <w:webHidden/>
              </w:rPr>
              <w:fldChar w:fldCharType="end"/>
            </w:r>
          </w:hyperlink>
        </w:p>
        <w:p w14:paraId="16089960" w14:textId="77777777" w:rsidR="00514B53" w:rsidRDefault="00912E29">
          <w:pPr>
            <w:pStyle w:val="TOC3"/>
            <w:tabs>
              <w:tab w:val="right" w:leader="dot" w:pos="9607"/>
            </w:tabs>
            <w:rPr>
              <w:noProof/>
              <w:sz w:val="22"/>
              <w:szCs w:val="22"/>
              <w:lang w:val="en-GB" w:eastAsia="en-GB"/>
            </w:rPr>
          </w:pPr>
          <w:hyperlink w:anchor="_Toc423436306" w:history="1">
            <w:r w:rsidR="00514B53" w:rsidRPr="00211764">
              <w:rPr>
                <w:rStyle w:val="Hyperlink"/>
                <w:b/>
                <w:noProof/>
                <w:lang w:val="en-GB"/>
              </w:rPr>
              <w:t>7.2 Description of the evaluation and selection process</w:t>
            </w:r>
            <w:r w:rsidR="00514B53">
              <w:rPr>
                <w:noProof/>
                <w:webHidden/>
              </w:rPr>
              <w:tab/>
            </w:r>
            <w:r w:rsidR="00514B53">
              <w:rPr>
                <w:noProof/>
                <w:webHidden/>
              </w:rPr>
              <w:fldChar w:fldCharType="begin"/>
            </w:r>
            <w:r w:rsidR="00514B53">
              <w:rPr>
                <w:noProof/>
                <w:webHidden/>
              </w:rPr>
              <w:instrText xml:space="preserve"> PAGEREF _Toc423436306 \h </w:instrText>
            </w:r>
            <w:r w:rsidR="00514B53">
              <w:rPr>
                <w:noProof/>
                <w:webHidden/>
              </w:rPr>
            </w:r>
            <w:r w:rsidR="00514B53">
              <w:rPr>
                <w:noProof/>
                <w:webHidden/>
              </w:rPr>
              <w:fldChar w:fldCharType="separate"/>
            </w:r>
            <w:r w:rsidR="00FF7FD2">
              <w:rPr>
                <w:noProof/>
                <w:webHidden/>
              </w:rPr>
              <w:t>90</w:t>
            </w:r>
            <w:r w:rsidR="00514B53">
              <w:rPr>
                <w:noProof/>
                <w:webHidden/>
              </w:rPr>
              <w:fldChar w:fldCharType="end"/>
            </w:r>
          </w:hyperlink>
        </w:p>
        <w:p w14:paraId="62F0A727" w14:textId="77777777" w:rsidR="00514B53" w:rsidRDefault="00912E29">
          <w:pPr>
            <w:pStyle w:val="TOC1"/>
            <w:tabs>
              <w:tab w:val="right" w:leader="dot" w:pos="9607"/>
            </w:tabs>
            <w:rPr>
              <w:noProof/>
              <w:color w:val="auto"/>
              <w:sz w:val="22"/>
              <w:szCs w:val="22"/>
              <w:lang w:val="en-GB" w:eastAsia="en-GB"/>
            </w:rPr>
          </w:pPr>
          <w:hyperlink w:anchor="_Toc423436307" w:history="1">
            <w:r w:rsidR="00514B53" w:rsidRPr="00211764">
              <w:rPr>
                <w:rStyle w:val="Hyperlink"/>
                <w:noProof/>
                <w:lang w:val="en-GB"/>
              </w:rPr>
              <w:t>8.    Programme implementation</w:t>
            </w:r>
            <w:r w:rsidR="00514B53">
              <w:rPr>
                <w:noProof/>
                <w:webHidden/>
              </w:rPr>
              <w:tab/>
            </w:r>
            <w:r w:rsidR="00514B53">
              <w:rPr>
                <w:noProof/>
                <w:webHidden/>
              </w:rPr>
              <w:fldChar w:fldCharType="begin"/>
            </w:r>
            <w:r w:rsidR="00514B53">
              <w:rPr>
                <w:noProof/>
                <w:webHidden/>
              </w:rPr>
              <w:instrText xml:space="preserve"> PAGEREF _Toc423436307 \h </w:instrText>
            </w:r>
            <w:r w:rsidR="00514B53">
              <w:rPr>
                <w:noProof/>
                <w:webHidden/>
              </w:rPr>
            </w:r>
            <w:r w:rsidR="00514B53">
              <w:rPr>
                <w:noProof/>
                <w:webHidden/>
              </w:rPr>
              <w:fldChar w:fldCharType="separate"/>
            </w:r>
            <w:r w:rsidR="00FF7FD2">
              <w:rPr>
                <w:noProof/>
                <w:webHidden/>
              </w:rPr>
              <w:t>94</w:t>
            </w:r>
            <w:r w:rsidR="00514B53">
              <w:rPr>
                <w:noProof/>
                <w:webHidden/>
              </w:rPr>
              <w:fldChar w:fldCharType="end"/>
            </w:r>
          </w:hyperlink>
        </w:p>
        <w:p w14:paraId="4549749C" w14:textId="77777777" w:rsidR="00514B53" w:rsidRDefault="00912E29">
          <w:pPr>
            <w:pStyle w:val="TOC3"/>
            <w:tabs>
              <w:tab w:val="right" w:leader="dot" w:pos="9607"/>
            </w:tabs>
            <w:rPr>
              <w:noProof/>
              <w:sz w:val="22"/>
              <w:szCs w:val="22"/>
              <w:lang w:val="en-GB" w:eastAsia="en-GB"/>
            </w:rPr>
          </w:pPr>
          <w:hyperlink w:anchor="_Toc423436308" w:history="1">
            <w:r w:rsidR="00514B53" w:rsidRPr="00211764">
              <w:rPr>
                <w:rStyle w:val="Hyperlink"/>
                <w:b/>
                <w:noProof/>
                <w:lang w:val="en-GB"/>
              </w:rPr>
              <w:t>8.1 Summary description of the management and control systems</w:t>
            </w:r>
            <w:r w:rsidR="00514B53">
              <w:rPr>
                <w:noProof/>
                <w:webHidden/>
              </w:rPr>
              <w:tab/>
            </w:r>
            <w:r w:rsidR="00514B53">
              <w:rPr>
                <w:noProof/>
                <w:webHidden/>
              </w:rPr>
              <w:fldChar w:fldCharType="begin"/>
            </w:r>
            <w:r w:rsidR="00514B53">
              <w:rPr>
                <w:noProof/>
                <w:webHidden/>
              </w:rPr>
              <w:instrText xml:space="preserve"> PAGEREF _Toc423436308 \h </w:instrText>
            </w:r>
            <w:r w:rsidR="00514B53">
              <w:rPr>
                <w:noProof/>
                <w:webHidden/>
              </w:rPr>
            </w:r>
            <w:r w:rsidR="00514B53">
              <w:rPr>
                <w:noProof/>
                <w:webHidden/>
              </w:rPr>
              <w:fldChar w:fldCharType="separate"/>
            </w:r>
            <w:r w:rsidR="00FF7FD2">
              <w:rPr>
                <w:noProof/>
                <w:webHidden/>
              </w:rPr>
              <w:t>94</w:t>
            </w:r>
            <w:r w:rsidR="00514B53">
              <w:rPr>
                <w:noProof/>
                <w:webHidden/>
              </w:rPr>
              <w:fldChar w:fldCharType="end"/>
            </w:r>
          </w:hyperlink>
        </w:p>
        <w:p w14:paraId="2E0B5EAA" w14:textId="77777777" w:rsidR="00514B53" w:rsidRDefault="00912E29">
          <w:pPr>
            <w:pStyle w:val="TOC3"/>
            <w:tabs>
              <w:tab w:val="right" w:leader="dot" w:pos="9607"/>
            </w:tabs>
            <w:rPr>
              <w:noProof/>
              <w:sz w:val="22"/>
              <w:szCs w:val="22"/>
              <w:lang w:val="en-GB" w:eastAsia="en-GB"/>
            </w:rPr>
          </w:pPr>
          <w:hyperlink w:anchor="_Toc423436309" w:history="1">
            <w:r w:rsidR="00514B53" w:rsidRPr="00211764">
              <w:rPr>
                <w:rStyle w:val="Hyperlink"/>
                <w:b/>
                <w:noProof/>
                <w:lang w:val="en-GB"/>
              </w:rPr>
              <w:t>8.2 Time-frame for programme implementation</w:t>
            </w:r>
            <w:r w:rsidR="00514B53">
              <w:rPr>
                <w:noProof/>
                <w:webHidden/>
              </w:rPr>
              <w:tab/>
            </w:r>
            <w:r w:rsidR="00514B53">
              <w:rPr>
                <w:noProof/>
                <w:webHidden/>
              </w:rPr>
              <w:fldChar w:fldCharType="begin"/>
            </w:r>
            <w:r w:rsidR="00514B53">
              <w:rPr>
                <w:noProof/>
                <w:webHidden/>
              </w:rPr>
              <w:instrText xml:space="preserve"> PAGEREF _Toc423436309 \h </w:instrText>
            </w:r>
            <w:r w:rsidR="00514B53">
              <w:rPr>
                <w:noProof/>
                <w:webHidden/>
              </w:rPr>
            </w:r>
            <w:r w:rsidR="00514B53">
              <w:rPr>
                <w:noProof/>
                <w:webHidden/>
              </w:rPr>
              <w:fldChar w:fldCharType="separate"/>
            </w:r>
            <w:r w:rsidR="00FF7FD2">
              <w:rPr>
                <w:noProof/>
                <w:webHidden/>
              </w:rPr>
              <w:t>101</w:t>
            </w:r>
            <w:r w:rsidR="00514B53">
              <w:rPr>
                <w:noProof/>
                <w:webHidden/>
              </w:rPr>
              <w:fldChar w:fldCharType="end"/>
            </w:r>
          </w:hyperlink>
        </w:p>
        <w:p w14:paraId="053B5902" w14:textId="77777777" w:rsidR="00514B53" w:rsidRDefault="00912E29">
          <w:pPr>
            <w:pStyle w:val="TOC3"/>
            <w:tabs>
              <w:tab w:val="right" w:leader="dot" w:pos="9607"/>
            </w:tabs>
            <w:rPr>
              <w:noProof/>
              <w:sz w:val="22"/>
              <w:szCs w:val="22"/>
              <w:lang w:val="en-GB" w:eastAsia="en-GB"/>
            </w:rPr>
          </w:pPr>
          <w:hyperlink w:anchor="_Toc423436310" w:history="1">
            <w:r w:rsidR="00514B53" w:rsidRPr="00211764">
              <w:rPr>
                <w:rStyle w:val="Hyperlink"/>
                <w:b/>
                <w:noProof/>
                <w:lang w:val="en-GB"/>
              </w:rPr>
              <w:t>8.3 Technical assistance (TA)</w:t>
            </w:r>
            <w:r w:rsidR="00514B53">
              <w:rPr>
                <w:noProof/>
                <w:webHidden/>
              </w:rPr>
              <w:tab/>
            </w:r>
            <w:r w:rsidR="00514B53">
              <w:rPr>
                <w:noProof/>
                <w:webHidden/>
              </w:rPr>
              <w:fldChar w:fldCharType="begin"/>
            </w:r>
            <w:r w:rsidR="00514B53">
              <w:rPr>
                <w:noProof/>
                <w:webHidden/>
              </w:rPr>
              <w:instrText xml:space="preserve"> PAGEREF _Toc423436310 \h </w:instrText>
            </w:r>
            <w:r w:rsidR="00514B53">
              <w:rPr>
                <w:noProof/>
                <w:webHidden/>
              </w:rPr>
            </w:r>
            <w:r w:rsidR="00514B53">
              <w:rPr>
                <w:noProof/>
                <w:webHidden/>
              </w:rPr>
              <w:fldChar w:fldCharType="separate"/>
            </w:r>
            <w:r w:rsidR="00FF7FD2">
              <w:rPr>
                <w:noProof/>
                <w:webHidden/>
              </w:rPr>
              <w:t>101</w:t>
            </w:r>
            <w:r w:rsidR="00514B53">
              <w:rPr>
                <w:noProof/>
                <w:webHidden/>
              </w:rPr>
              <w:fldChar w:fldCharType="end"/>
            </w:r>
          </w:hyperlink>
        </w:p>
        <w:p w14:paraId="50D24C83" w14:textId="77777777" w:rsidR="00514B53" w:rsidRDefault="00912E29">
          <w:pPr>
            <w:pStyle w:val="TOC3"/>
            <w:tabs>
              <w:tab w:val="right" w:leader="dot" w:pos="9607"/>
            </w:tabs>
            <w:rPr>
              <w:noProof/>
              <w:sz w:val="22"/>
              <w:szCs w:val="22"/>
              <w:lang w:val="en-GB" w:eastAsia="en-GB"/>
            </w:rPr>
          </w:pPr>
          <w:hyperlink w:anchor="_Toc423436311" w:history="1">
            <w:r w:rsidR="00514B53" w:rsidRPr="00211764">
              <w:rPr>
                <w:rStyle w:val="Hyperlink"/>
                <w:b/>
                <w:noProof/>
                <w:lang w:val="en-GB"/>
              </w:rPr>
              <w:t>8.4 Monitoring and Evaluation</w:t>
            </w:r>
            <w:r w:rsidR="00514B53">
              <w:rPr>
                <w:noProof/>
                <w:webHidden/>
              </w:rPr>
              <w:tab/>
            </w:r>
            <w:r w:rsidR="00514B53">
              <w:rPr>
                <w:noProof/>
                <w:webHidden/>
              </w:rPr>
              <w:fldChar w:fldCharType="begin"/>
            </w:r>
            <w:r w:rsidR="00514B53">
              <w:rPr>
                <w:noProof/>
                <w:webHidden/>
              </w:rPr>
              <w:instrText xml:space="preserve"> PAGEREF _Toc423436311 \h </w:instrText>
            </w:r>
            <w:r w:rsidR="00514B53">
              <w:rPr>
                <w:noProof/>
                <w:webHidden/>
              </w:rPr>
            </w:r>
            <w:r w:rsidR="00514B53">
              <w:rPr>
                <w:noProof/>
                <w:webHidden/>
              </w:rPr>
              <w:fldChar w:fldCharType="separate"/>
            </w:r>
            <w:r w:rsidR="00FF7FD2">
              <w:rPr>
                <w:noProof/>
                <w:webHidden/>
              </w:rPr>
              <w:t>104</w:t>
            </w:r>
            <w:r w:rsidR="00514B53">
              <w:rPr>
                <w:noProof/>
                <w:webHidden/>
              </w:rPr>
              <w:fldChar w:fldCharType="end"/>
            </w:r>
          </w:hyperlink>
        </w:p>
        <w:p w14:paraId="2ECE0C91" w14:textId="77777777" w:rsidR="00514B53" w:rsidRDefault="00912E29">
          <w:pPr>
            <w:pStyle w:val="TOC3"/>
            <w:tabs>
              <w:tab w:val="right" w:leader="dot" w:pos="9607"/>
            </w:tabs>
            <w:rPr>
              <w:noProof/>
              <w:sz w:val="22"/>
              <w:szCs w:val="22"/>
              <w:lang w:val="en-GB" w:eastAsia="en-GB"/>
            </w:rPr>
          </w:pPr>
          <w:hyperlink w:anchor="_Toc423436312" w:history="1">
            <w:r w:rsidR="00514B53" w:rsidRPr="00211764">
              <w:rPr>
                <w:rStyle w:val="Hyperlink"/>
                <w:b/>
                <w:noProof/>
                <w:lang w:val="en-GB"/>
              </w:rPr>
              <w:t>8.5 Communication</w:t>
            </w:r>
            <w:r w:rsidR="00514B53">
              <w:rPr>
                <w:noProof/>
                <w:webHidden/>
              </w:rPr>
              <w:tab/>
            </w:r>
            <w:r w:rsidR="00514B53">
              <w:rPr>
                <w:noProof/>
                <w:webHidden/>
              </w:rPr>
              <w:fldChar w:fldCharType="begin"/>
            </w:r>
            <w:r w:rsidR="00514B53">
              <w:rPr>
                <w:noProof/>
                <w:webHidden/>
              </w:rPr>
              <w:instrText xml:space="preserve"> PAGEREF _Toc423436312 \h </w:instrText>
            </w:r>
            <w:r w:rsidR="00514B53">
              <w:rPr>
                <w:noProof/>
                <w:webHidden/>
              </w:rPr>
            </w:r>
            <w:r w:rsidR="00514B53">
              <w:rPr>
                <w:noProof/>
                <w:webHidden/>
              </w:rPr>
              <w:fldChar w:fldCharType="separate"/>
            </w:r>
            <w:r w:rsidR="00FF7FD2">
              <w:rPr>
                <w:noProof/>
                <w:webHidden/>
              </w:rPr>
              <w:t>105</w:t>
            </w:r>
            <w:r w:rsidR="00514B53">
              <w:rPr>
                <w:noProof/>
                <w:webHidden/>
              </w:rPr>
              <w:fldChar w:fldCharType="end"/>
            </w:r>
          </w:hyperlink>
        </w:p>
        <w:p w14:paraId="31C4DB63" w14:textId="77777777" w:rsidR="00514B53" w:rsidRDefault="00912E29">
          <w:pPr>
            <w:pStyle w:val="TOC3"/>
            <w:tabs>
              <w:tab w:val="right" w:leader="dot" w:pos="9607"/>
            </w:tabs>
            <w:rPr>
              <w:noProof/>
              <w:sz w:val="22"/>
              <w:szCs w:val="22"/>
              <w:lang w:val="en-GB" w:eastAsia="en-GB"/>
            </w:rPr>
          </w:pPr>
          <w:hyperlink w:anchor="_Toc423436313" w:history="1">
            <w:r w:rsidR="00514B53" w:rsidRPr="00211764">
              <w:rPr>
                <w:rStyle w:val="Hyperlink"/>
                <w:b/>
                <w:noProof/>
                <w:lang w:val="en-GB"/>
              </w:rPr>
              <w:t>8.6 Strategic Environmental Assessment</w:t>
            </w:r>
            <w:r w:rsidR="00514B53">
              <w:rPr>
                <w:noProof/>
                <w:webHidden/>
              </w:rPr>
              <w:tab/>
            </w:r>
            <w:r w:rsidR="00514B53">
              <w:rPr>
                <w:noProof/>
                <w:webHidden/>
              </w:rPr>
              <w:fldChar w:fldCharType="begin"/>
            </w:r>
            <w:r w:rsidR="00514B53">
              <w:rPr>
                <w:noProof/>
                <w:webHidden/>
              </w:rPr>
              <w:instrText xml:space="preserve"> PAGEREF _Toc423436313 \h </w:instrText>
            </w:r>
            <w:r w:rsidR="00514B53">
              <w:rPr>
                <w:noProof/>
                <w:webHidden/>
              </w:rPr>
            </w:r>
            <w:r w:rsidR="00514B53">
              <w:rPr>
                <w:noProof/>
                <w:webHidden/>
              </w:rPr>
              <w:fldChar w:fldCharType="separate"/>
            </w:r>
            <w:r w:rsidR="00FF7FD2">
              <w:rPr>
                <w:noProof/>
                <w:webHidden/>
              </w:rPr>
              <w:t>105</w:t>
            </w:r>
            <w:r w:rsidR="00514B53">
              <w:rPr>
                <w:noProof/>
                <w:webHidden/>
              </w:rPr>
              <w:fldChar w:fldCharType="end"/>
            </w:r>
          </w:hyperlink>
        </w:p>
        <w:p w14:paraId="68212E18" w14:textId="77777777" w:rsidR="00514B53" w:rsidRDefault="00912E29">
          <w:pPr>
            <w:pStyle w:val="TOC3"/>
            <w:tabs>
              <w:tab w:val="left" w:pos="1100"/>
              <w:tab w:val="right" w:leader="dot" w:pos="9607"/>
            </w:tabs>
            <w:rPr>
              <w:noProof/>
              <w:sz w:val="22"/>
              <w:szCs w:val="22"/>
              <w:lang w:val="en-GB" w:eastAsia="en-GB"/>
            </w:rPr>
          </w:pPr>
          <w:hyperlink w:anchor="_Toc423436314" w:history="1">
            <w:r w:rsidR="00514B53" w:rsidRPr="00211764">
              <w:rPr>
                <w:rStyle w:val="Hyperlink"/>
                <w:b/>
                <w:noProof/>
                <w:lang w:val="en-GB"/>
              </w:rPr>
              <w:t>8.7</w:t>
            </w:r>
            <w:r w:rsidR="00514B53">
              <w:rPr>
                <w:noProof/>
                <w:sz w:val="22"/>
                <w:szCs w:val="22"/>
                <w:lang w:val="en-GB" w:eastAsia="en-GB"/>
              </w:rPr>
              <w:tab/>
            </w:r>
            <w:r w:rsidR="00514B53" w:rsidRPr="00211764">
              <w:rPr>
                <w:rStyle w:val="Hyperlink"/>
                <w:b/>
                <w:noProof/>
                <w:lang w:val="en-GB"/>
              </w:rPr>
              <w:t>Financial plan</w:t>
            </w:r>
            <w:r w:rsidR="00514B53">
              <w:rPr>
                <w:noProof/>
                <w:webHidden/>
              </w:rPr>
              <w:tab/>
            </w:r>
            <w:r w:rsidR="00514B53">
              <w:rPr>
                <w:noProof/>
                <w:webHidden/>
              </w:rPr>
              <w:fldChar w:fldCharType="begin"/>
            </w:r>
            <w:r w:rsidR="00514B53">
              <w:rPr>
                <w:noProof/>
                <w:webHidden/>
              </w:rPr>
              <w:instrText xml:space="preserve"> PAGEREF _Toc423436314 \h </w:instrText>
            </w:r>
            <w:r w:rsidR="00514B53">
              <w:rPr>
                <w:noProof/>
                <w:webHidden/>
              </w:rPr>
            </w:r>
            <w:r w:rsidR="00514B53">
              <w:rPr>
                <w:noProof/>
                <w:webHidden/>
              </w:rPr>
              <w:fldChar w:fldCharType="separate"/>
            </w:r>
            <w:r w:rsidR="00FF7FD2">
              <w:rPr>
                <w:noProof/>
                <w:webHidden/>
              </w:rPr>
              <w:t>109</w:t>
            </w:r>
            <w:r w:rsidR="00514B53">
              <w:rPr>
                <w:noProof/>
                <w:webHidden/>
              </w:rPr>
              <w:fldChar w:fldCharType="end"/>
            </w:r>
          </w:hyperlink>
        </w:p>
        <w:p w14:paraId="5BF23359" w14:textId="77777777" w:rsidR="00514B53" w:rsidRDefault="00912E29">
          <w:pPr>
            <w:pStyle w:val="TOC3"/>
            <w:tabs>
              <w:tab w:val="right" w:leader="dot" w:pos="9607"/>
            </w:tabs>
            <w:rPr>
              <w:noProof/>
              <w:sz w:val="22"/>
              <w:szCs w:val="22"/>
              <w:lang w:val="en-GB" w:eastAsia="en-GB"/>
            </w:rPr>
          </w:pPr>
          <w:hyperlink w:anchor="_Toc423436315" w:history="1">
            <w:r w:rsidR="00514B53" w:rsidRPr="00211764">
              <w:rPr>
                <w:rStyle w:val="Hyperlink"/>
                <w:b/>
                <w:noProof/>
                <w:lang w:val="en-GB"/>
              </w:rPr>
              <w:t>8.8 Rules on eligibility of expenditure</w:t>
            </w:r>
            <w:r w:rsidR="00514B53">
              <w:rPr>
                <w:noProof/>
                <w:webHidden/>
              </w:rPr>
              <w:tab/>
            </w:r>
            <w:r w:rsidR="00514B53">
              <w:rPr>
                <w:noProof/>
                <w:webHidden/>
              </w:rPr>
              <w:fldChar w:fldCharType="begin"/>
            </w:r>
            <w:r w:rsidR="00514B53">
              <w:rPr>
                <w:noProof/>
                <w:webHidden/>
              </w:rPr>
              <w:instrText xml:space="preserve"> PAGEREF _Toc423436315 \h </w:instrText>
            </w:r>
            <w:r w:rsidR="00514B53">
              <w:rPr>
                <w:noProof/>
                <w:webHidden/>
              </w:rPr>
            </w:r>
            <w:r w:rsidR="00514B53">
              <w:rPr>
                <w:noProof/>
                <w:webHidden/>
              </w:rPr>
              <w:fldChar w:fldCharType="separate"/>
            </w:r>
            <w:r w:rsidR="00FF7FD2">
              <w:rPr>
                <w:noProof/>
                <w:webHidden/>
              </w:rPr>
              <w:t>112</w:t>
            </w:r>
            <w:r w:rsidR="00514B53">
              <w:rPr>
                <w:noProof/>
                <w:webHidden/>
              </w:rPr>
              <w:fldChar w:fldCharType="end"/>
            </w:r>
          </w:hyperlink>
        </w:p>
        <w:p w14:paraId="75A8B4FF" w14:textId="77777777" w:rsidR="00514B53" w:rsidRDefault="00912E29">
          <w:pPr>
            <w:pStyle w:val="TOC3"/>
            <w:tabs>
              <w:tab w:val="right" w:leader="dot" w:pos="9607"/>
            </w:tabs>
            <w:rPr>
              <w:noProof/>
              <w:sz w:val="22"/>
              <w:szCs w:val="22"/>
              <w:lang w:val="en-GB" w:eastAsia="en-GB"/>
            </w:rPr>
          </w:pPr>
          <w:hyperlink w:anchor="_Toc423436316" w:history="1">
            <w:r w:rsidR="00514B53" w:rsidRPr="00211764">
              <w:rPr>
                <w:rStyle w:val="Hyperlink"/>
                <w:b/>
                <w:noProof/>
                <w:lang w:val="en-GB"/>
              </w:rPr>
              <w:t>8.9 Use of euro</w:t>
            </w:r>
            <w:r w:rsidR="00514B53">
              <w:rPr>
                <w:noProof/>
                <w:webHidden/>
              </w:rPr>
              <w:tab/>
            </w:r>
            <w:r w:rsidR="00514B53">
              <w:rPr>
                <w:noProof/>
                <w:webHidden/>
              </w:rPr>
              <w:fldChar w:fldCharType="begin"/>
            </w:r>
            <w:r w:rsidR="00514B53">
              <w:rPr>
                <w:noProof/>
                <w:webHidden/>
              </w:rPr>
              <w:instrText xml:space="preserve"> PAGEREF _Toc423436316 \h </w:instrText>
            </w:r>
            <w:r w:rsidR="00514B53">
              <w:rPr>
                <w:noProof/>
                <w:webHidden/>
              </w:rPr>
            </w:r>
            <w:r w:rsidR="00514B53">
              <w:rPr>
                <w:noProof/>
                <w:webHidden/>
              </w:rPr>
              <w:fldChar w:fldCharType="separate"/>
            </w:r>
            <w:r w:rsidR="00FF7FD2">
              <w:rPr>
                <w:noProof/>
                <w:webHidden/>
              </w:rPr>
              <w:t>113</w:t>
            </w:r>
            <w:r w:rsidR="00514B53">
              <w:rPr>
                <w:noProof/>
                <w:webHidden/>
              </w:rPr>
              <w:fldChar w:fldCharType="end"/>
            </w:r>
          </w:hyperlink>
        </w:p>
        <w:p w14:paraId="64348868" w14:textId="77777777" w:rsidR="00514B53" w:rsidRDefault="00912E29">
          <w:pPr>
            <w:pStyle w:val="TOC3"/>
            <w:tabs>
              <w:tab w:val="right" w:leader="dot" w:pos="9607"/>
            </w:tabs>
            <w:rPr>
              <w:noProof/>
              <w:sz w:val="22"/>
              <w:szCs w:val="22"/>
              <w:lang w:val="en-GB" w:eastAsia="en-GB"/>
            </w:rPr>
          </w:pPr>
          <w:hyperlink w:anchor="_Toc423436317" w:history="1">
            <w:r w:rsidR="00514B53" w:rsidRPr="00211764">
              <w:rPr>
                <w:rStyle w:val="Hyperlink"/>
                <w:b/>
                <w:noProof/>
                <w:lang w:val="en-GB"/>
              </w:rPr>
              <w:t>8.10 Apportionment of liabilities among participating countries</w:t>
            </w:r>
            <w:r w:rsidR="00514B53">
              <w:rPr>
                <w:noProof/>
                <w:webHidden/>
              </w:rPr>
              <w:tab/>
            </w:r>
            <w:r w:rsidR="00514B53">
              <w:rPr>
                <w:noProof/>
                <w:webHidden/>
              </w:rPr>
              <w:fldChar w:fldCharType="begin"/>
            </w:r>
            <w:r w:rsidR="00514B53">
              <w:rPr>
                <w:noProof/>
                <w:webHidden/>
              </w:rPr>
              <w:instrText xml:space="preserve"> PAGEREF _Toc423436317 \h </w:instrText>
            </w:r>
            <w:r w:rsidR="00514B53">
              <w:rPr>
                <w:noProof/>
                <w:webHidden/>
              </w:rPr>
            </w:r>
            <w:r w:rsidR="00514B53">
              <w:rPr>
                <w:noProof/>
                <w:webHidden/>
              </w:rPr>
              <w:fldChar w:fldCharType="separate"/>
            </w:r>
            <w:r w:rsidR="00FF7FD2">
              <w:rPr>
                <w:noProof/>
                <w:webHidden/>
              </w:rPr>
              <w:t>114</w:t>
            </w:r>
            <w:r w:rsidR="00514B53">
              <w:rPr>
                <w:noProof/>
                <w:webHidden/>
              </w:rPr>
              <w:fldChar w:fldCharType="end"/>
            </w:r>
          </w:hyperlink>
        </w:p>
        <w:p w14:paraId="4E61DBAA" w14:textId="77777777" w:rsidR="00514B53" w:rsidRDefault="00912E29">
          <w:pPr>
            <w:pStyle w:val="TOC3"/>
            <w:tabs>
              <w:tab w:val="right" w:leader="dot" w:pos="9607"/>
            </w:tabs>
            <w:rPr>
              <w:noProof/>
              <w:sz w:val="22"/>
              <w:szCs w:val="22"/>
              <w:lang w:val="en-GB" w:eastAsia="en-GB"/>
            </w:rPr>
          </w:pPr>
          <w:hyperlink w:anchor="_Toc423436318" w:history="1">
            <w:r w:rsidR="00514B53" w:rsidRPr="00211764">
              <w:rPr>
                <w:rStyle w:val="Hyperlink"/>
                <w:b/>
                <w:noProof/>
                <w:lang w:val="en-GB"/>
              </w:rPr>
              <w:t>8.11 Rules of transfer, use and monitoring of co-financing</w:t>
            </w:r>
            <w:r w:rsidR="00514B53">
              <w:rPr>
                <w:noProof/>
                <w:webHidden/>
              </w:rPr>
              <w:tab/>
            </w:r>
            <w:r w:rsidR="00514B53">
              <w:rPr>
                <w:noProof/>
                <w:webHidden/>
              </w:rPr>
              <w:fldChar w:fldCharType="begin"/>
            </w:r>
            <w:r w:rsidR="00514B53">
              <w:rPr>
                <w:noProof/>
                <w:webHidden/>
              </w:rPr>
              <w:instrText xml:space="preserve"> PAGEREF _Toc423436318 \h </w:instrText>
            </w:r>
            <w:r w:rsidR="00514B53">
              <w:rPr>
                <w:noProof/>
                <w:webHidden/>
              </w:rPr>
            </w:r>
            <w:r w:rsidR="00514B53">
              <w:rPr>
                <w:noProof/>
                <w:webHidden/>
              </w:rPr>
              <w:fldChar w:fldCharType="separate"/>
            </w:r>
            <w:r w:rsidR="00FF7FD2">
              <w:rPr>
                <w:noProof/>
                <w:webHidden/>
              </w:rPr>
              <w:t>114</w:t>
            </w:r>
            <w:r w:rsidR="00514B53">
              <w:rPr>
                <w:noProof/>
                <w:webHidden/>
              </w:rPr>
              <w:fldChar w:fldCharType="end"/>
            </w:r>
          </w:hyperlink>
        </w:p>
        <w:p w14:paraId="1B34F974" w14:textId="77777777" w:rsidR="00514B53" w:rsidRDefault="00912E29">
          <w:pPr>
            <w:pStyle w:val="TOC3"/>
            <w:tabs>
              <w:tab w:val="right" w:leader="dot" w:pos="9607"/>
            </w:tabs>
            <w:rPr>
              <w:noProof/>
              <w:sz w:val="22"/>
              <w:szCs w:val="22"/>
              <w:lang w:val="en-GB" w:eastAsia="en-GB"/>
            </w:rPr>
          </w:pPr>
          <w:hyperlink w:anchor="_Toc423436319" w:history="1">
            <w:r w:rsidR="00514B53" w:rsidRPr="00211764">
              <w:rPr>
                <w:rStyle w:val="Hyperlink"/>
                <w:b/>
                <w:noProof/>
                <w:lang w:val="en-GB"/>
              </w:rPr>
              <w:t>8.12 Reporting and exchange of computerised data between the Managing Authority and the EC</w:t>
            </w:r>
            <w:r w:rsidR="00514B53">
              <w:rPr>
                <w:noProof/>
                <w:webHidden/>
              </w:rPr>
              <w:tab/>
            </w:r>
            <w:r w:rsidR="00514B53">
              <w:rPr>
                <w:noProof/>
                <w:webHidden/>
              </w:rPr>
              <w:fldChar w:fldCharType="begin"/>
            </w:r>
            <w:r w:rsidR="00514B53">
              <w:rPr>
                <w:noProof/>
                <w:webHidden/>
              </w:rPr>
              <w:instrText xml:space="preserve"> PAGEREF _Toc423436319 \h </w:instrText>
            </w:r>
            <w:r w:rsidR="00514B53">
              <w:rPr>
                <w:noProof/>
                <w:webHidden/>
              </w:rPr>
            </w:r>
            <w:r w:rsidR="00514B53">
              <w:rPr>
                <w:noProof/>
                <w:webHidden/>
              </w:rPr>
              <w:fldChar w:fldCharType="separate"/>
            </w:r>
            <w:r w:rsidR="00FF7FD2">
              <w:rPr>
                <w:noProof/>
                <w:webHidden/>
              </w:rPr>
              <w:t>115</w:t>
            </w:r>
            <w:r w:rsidR="00514B53">
              <w:rPr>
                <w:noProof/>
                <w:webHidden/>
              </w:rPr>
              <w:fldChar w:fldCharType="end"/>
            </w:r>
          </w:hyperlink>
        </w:p>
        <w:p w14:paraId="5A5291CF" w14:textId="77777777" w:rsidR="00514B53" w:rsidRDefault="00912E29">
          <w:pPr>
            <w:pStyle w:val="TOC3"/>
            <w:tabs>
              <w:tab w:val="right" w:leader="dot" w:pos="9607"/>
            </w:tabs>
            <w:rPr>
              <w:noProof/>
              <w:sz w:val="22"/>
              <w:szCs w:val="22"/>
              <w:lang w:val="en-GB" w:eastAsia="en-GB"/>
            </w:rPr>
          </w:pPr>
          <w:hyperlink w:anchor="_Toc423436320" w:history="1">
            <w:r w:rsidR="00514B53" w:rsidRPr="00211764">
              <w:rPr>
                <w:rStyle w:val="Hyperlink"/>
                <w:b/>
                <w:noProof/>
                <w:lang w:val="en-GB"/>
              </w:rPr>
              <w:t>8.13 Programme language</w:t>
            </w:r>
            <w:r w:rsidR="00514B53">
              <w:rPr>
                <w:noProof/>
                <w:webHidden/>
              </w:rPr>
              <w:tab/>
            </w:r>
            <w:r w:rsidR="00514B53">
              <w:rPr>
                <w:noProof/>
                <w:webHidden/>
              </w:rPr>
              <w:fldChar w:fldCharType="begin"/>
            </w:r>
            <w:r w:rsidR="00514B53">
              <w:rPr>
                <w:noProof/>
                <w:webHidden/>
              </w:rPr>
              <w:instrText xml:space="preserve"> PAGEREF _Toc423436320 \h </w:instrText>
            </w:r>
            <w:r w:rsidR="00514B53">
              <w:rPr>
                <w:noProof/>
                <w:webHidden/>
              </w:rPr>
            </w:r>
            <w:r w:rsidR="00514B53">
              <w:rPr>
                <w:noProof/>
                <w:webHidden/>
              </w:rPr>
              <w:fldChar w:fldCharType="separate"/>
            </w:r>
            <w:r w:rsidR="00FF7FD2">
              <w:rPr>
                <w:noProof/>
                <w:webHidden/>
              </w:rPr>
              <w:t>115</w:t>
            </w:r>
            <w:r w:rsidR="00514B53">
              <w:rPr>
                <w:noProof/>
                <w:webHidden/>
              </w:rPr>
              <w:fldChar w:fldCharType="end"/>
            </w:r>
          </w:hyperlink>
        </w:p>
        <w:p w14:paraId="2CB094A8" w14:textId="77777777" w:rsidR="00514B53" w:rsidRDefault="00912E29">
          <w:pPr>
            <w:pStyle w:val="TOC1"/>
            <w:tabs>
              <w:tab w:val="left" w:pos="480"/>
              <w:tab w:val="right" w:leader="dot" w:pos="9607"/>
            </w:tabs>
            <w:rPr>
              <w:noProof/>
              <w:color w:val="auto"/>
              <w:sz w:val="22"/>
              <w:szCs w:val="22"/>
              <w:lang w:val="en-GB" w:eastAsia="en-GB"/>
            </w:rPr>
          </w:pPr>
          <w:hyperlink w:anchor="_Toc423436321" w:history="1">
            <w:r w:rsidR="00514B53" w:rsidRPr="00211764">
              <w:rPr>
                <w:rStyle w:val="Hyperlink"/>
                <w:rFonts w:ascii="Verdana" w:hAnsi="Verdana"/>
                <w:noProof/>
                <w:lang w:val="en-GB"/>
              </w:rPr>
              <w:t>◦</w:t>
            </w:r>
            <w:r w:rsidR="00514B53">
              <w:rPr>
                <w:noProof/>
                <w:color w:val="auto"/>
                <w:sz w:val="22"/>
                <w:szCs w:val="22"/>
                <w:lang w:val="en-GB" w:eastAsia="en-GB"/>
              </w:rPr>
              <w:tab/>
            </w:r>
            <w:r w:rsidR="00514B53" w:rsidRPr="00211764">
              <w:rPr>
                <w:rStyle w:val="Hyperlink"/>
                <w:noProof/>
                <w:lang w:val="en-GB"/>
              </w:rPr>
              <w:t>ANNEXES</w:t>
            </w:r>
            <w:r w:rsidR="00514B53">
              <w:rPr>
                <w:noProof/>
                <w:webHidden/>
              </w:rPr>
              <w:tab/>
            </w:r>
            <w:r w:rsidR="00514B53">
              <w:rPr>
                <w:noProof/>
                <w:webHidden/>
              </w:rPr>
              <w:fldChar w:fldCharType="begin"/>
            </w:r>
            <w:r w:rsidR="00514B53">
              <w:rPr>
                <w:noProof/>
                <w:webHidden/>
              </w:rPr>
              <w:instrText xml:space="preserve"> PAGEREF _Toc423436321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0D43BE70" w14:textId="77777777" w:rsidR="00514B53" w:rsidRDefault="00912E29">
          <w:pPr>
            <w:pStyle w:val="TOC3"/>
            <w:tabs>
              <w:tab w:val="right" w:leader="dot" w:pos="9607"/>
            </w:tabs>
            <w:rPr>
              <w:noProof/>
              <w:sz w:val="22"/>
              <w:szCs w:val="22"/>
              <w:lang w:val="en-GB" w:eastAsia="en-GB"/>
            </w:rPr>
          </w:pPr>
          <w:hyperlink w:anchor="_Toc423436322" w:history="1">
            <w:r w:rsidR="00514B53" w:rsidRPr="00211764">
              <w:rPr>
                <w:rStyle w:val="Hyperlink"/>
                <w:noProof/>
                <w:lang w:val="en-GB"/>
              </w:rPr>
              <w:t>Annex 1 – Summary of mapping of projects awarded under the Black Sea Basin 2007-2013 and of the survey on current priorities and future needs</w:t>
            </w:r>
            <w:r w:rsidR="00514B53">
              <w:rPr>
                <w:noProof/>
                <w:webHidden/>
              </w:rPr>
              <w:tab/>
            </w:r>
            <w:r w:rsidR="00514B53">
              <w:rPr>
                <w:noProof/>
                <w:webHidden/>
              </w:rPr>
              <w:fldChar w:fldCharType="begin"/>
            </w:r>
            <w:r w:rsidR="00514B53">
              <w:rPr>
                <w:noProof/>
                <w:webHidden/>
              </w:rPr>
              <w:instrText xml:space="preserve"> PAGEREF _Toc423436322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7AED7426" w14:textId="77777777" w:rsidR="00514B53" w:rsidRDefault="00912E29">
          <w:pPr>
            <w:pStyle w:val="TOC3"/>
            <w:tabs>
              <w:tab w:val="right" w:leader="dot" w:pos="9607"/>
            </w:tabs>
            <w:rPr>
              <w:noProof/>
              <w:sz w:val="22"/>
              <w:szCs w:val="22"/>
              <w:lang w:val="en-GB" w:eastAsia="en-GB"/>
            </w:rPr>
          </w:pPr>
          <w:hyperlink w:anchor="_Toc423436323" w:history="1">
            <w:r w:rsidR="00514B53" w:rsidRPr="00211764">
              <w:rPr>
                <w:rStyle w:val="Hyperlink"/>
                <w:noProof/>
                <w:lang w:val="en-GB"/>
              </w:rPr>
              <w:t>Annex 2 - Combined outcomes of SWOT and past experience analyses</w:t>
            </w:r>
            <w:r w:rsidR="00514B53">
              <w:rPr>
                <w:noProof/>
                <w:webHidden/>
              </w:rPr>
              <w:tab/>
            </w:r>
            <w:r w:rsidR="00514B53">
              <w:rPr>
                <w:noProof/>
                <w:webHidden/>
              </w:rPr>
              <w:fldChar w:fldCharType="begin"/>
            </w:r>
            <w:r w:rsidR="00514B53">
              <w:rPr>
                <w:noProof/>
                <w:webHidden/>
              </w:rPr>
              <w:instrText xml:space="preserve"> PAGEREF _Toc423436323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028DCF1E" w14:textId="77777777" w:rsidR="00514B53" w:rsidRDefault="00912E29">
          <w:pPr>
            <w:pStyle w:val="TOC3"/>
            <w:tabs>
              <w:tab w:val="right" w:leader="dot" w:pos="9607"/>
            </w:tabs>
            <w:rPr>
              <w:noProof/>
              <w:sz w:val="22"/>
              <w:szCs w:val="22"/>
              <w:lang w:val="en-GB" w:eastAsia="en-GB"/>
            </w:rPr>
          </w:pPr>
          <w:hyperlink w:anchor="_Toc423436324" w:history="1">
            <w:r w:rsidR="00514B53" w:rsidRPr="00211764">
              <w:rPr>
                <w:rStyle w:val="Hyperlink"/>
                <w:noProof/>
                <w:lang w:val="en-GB"/>
              </w:rPr>
              <w:t>Annex 3 – Monitoring and evaluation system and plan</w:t>
            </w:r>
            <w:r w:rsidR="00514B53">
              <w:rPr>
                <w:noProof/>
                <w:webHidden/>
              </w:rPr>
              <w:tab/>
            </w:r>
            <w:r w:rsidR="00514B53">
              <w:rPr>
                <w:noProof/>
                <w:webHidden/>
              </w:rPr>
              <w:fldChar w:fldCharType="begin"/>
            </w:r>
            <w:r w:rsidR="00514B53">
              <w:rPr>
                <w:noProof/>
                <w:webHidden/>
              </w:rPr>
              <w:instrText xml:space="preserve"> PAGEREF _Toc423436324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154F6860" w14:textId="77777777" w:rsidR="00514B53" w:rsidRDefault="00912E29">
          <w:pPr>
            <w:pStyle w:val="TOC3"/>
            <w:tabs>
              <w:tab w:val="right" w:leader="dot" w:pos="9607"/>
            </w:tabs>
            <w:rPr>
              <w:noProof/>
              <w:sz w:val="22"/>
              <w:szCs w:val="22"/>
              <w:lang w:val="en-GB" w:eastAsia="en-GB"/>
            </w:rPr>
          </w:pPr>
          <w:hyperlink w:anchor="_Toc423436325" w:history="1">
            <w:r w:rsidR="00514B53" w:rsidRPr="00211764">
              <w:rPr>
                <w:rStyle w:val="Hyperlink"/>
                <w:noProof/>
                <w:lang w:val="en-GB"/>
              </w:rPr>
              <w:t>Annex 4 – Communication strategy and Annual information and communication plan 2016</w:t>
            </w:r>
            <w:r w:rsidR="00514B53">
              <w:rPr>
                <w:noProof/>
                <w:webHidden/>
              </w:rPr>
              <w:tab/>
            </w:r>
            <w:r w:rsidR="00514B53">
              <w:rPr>
                <w:noProof/>
                <w:webHidden/>
              </w:rPr>
              <w:fldChar w:fldCharType="begin"/>
            </w:r>
            <w:r w:rsidR="00514B53">
              <w:rPr>
                <w:noProof/>
                <w:webHidden/>
              </w:rPr>
              <w:instrText xml:space="preserve"> PAGEREF _Toc423436325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2263E061" w14:textId="77777777" w:rsidR="00514B53" w:rsidRDefault="00912E29">
          <w:pPr>
            <w:pStyle w:val="TOC3"/>
            <w:tabs>
              <w:tab w:val="right" w:leader="dot" w:pos="9607"/>
            </w:tabs>
            <w:rPr>
              <w:noProof/>
              <w:sz w:val="22"/>
              <w:szCs w:val="22"/>
              <w:lang w:val="en-GB" w:eastAsia="en-GB"/>
            </w:rPr>
          </w:pPr>
          <w:hyperlink w:anchor="_Toc423436326" w:history="1">
            <w:r w:rsidR="00514B53" w:rsidRPr="00211764">
              <w:rPr>
                <w:rStyle w:val="Hyperlink"/>
                <w:noProof/>
                <w:lang w:val="en-GB"/>
              </w:rPr>
              <w:t>Annex 5 – Report on Strategic Environmental Assessment</w:t>
            </w:r>
            <w:r w:rsidR="00514B53">
              <w:rPr>
                <w:noProof/>
                <w:webHidden/>
              </w:rPr>
              <w:tab/>
            </w:r>
            <w:r w:rsidR="00514B53">
              <w:rPr>
                <w:noProof/>
                <w:webHidden/>
              </w:rPr>
              <w:fldChar w:fldCharType="begin"/>
            </w:r>
            <w:r w:rsidR="00514B53">
              <w:rPr>
                <w:noProof/>
                <w:webHidden/>
              </w:rPr>
              <w:instrText xml:space="preserve"> PAGEREF _Toc423436326 \h </w:instrText>
            </w:r>
            <w:r w:rsidR="00514B53">
              <w:rPr>
                <w:noProof/>
                <w:webHidden/>
              </w:rPr>
            </w:r>
            <w:r w:rsidR="00514B53">
              <w:rPr>
                <w:noProof/>
                <w:webHidden/>
              </w:rPr>
              <w:fldChar w:fldCharType="separate"/>
            </w:r>
            <w:r w:rsidR="00FF7FD2">
              <w:rPr>
                <w:noProof/>
                <w:webHidden/>
              </w:rPr>
              <w:t>116</w:t>
            </w:r>
            <w:r w:rsidR="00514B53">
              <w:rPr>
                <w:noProof/>
                <w:webHidden/>
              </w:rPr>
              <w:fldChar w:fldCharType="end"/>
            </w:r>
          </w:hyperlink>
        </w:p>
        <w:p w14:paraId="6CA3A7E0" w14:textId="77777777" w:rsidR="00514B53" w:rsidRDefault="00912E29">
          <w:pPr>
            <w:pStyle w:val="TOC1"/>
            <w:tabs>
              <w:tab w:val="left" w:pos="480"/>
              <w:tab w:val="right" w:leader="dot" w:pos="9607"/>
            </w:tabs>
            <w:rPr>
              <w:noProof/>
              <w:color w:val="auto"/>
              <w:sz w:val="22"/>
              <w:szCs w:val="22"/>
              <w:lang w:val="en-GB" w:eastAsia="en-GB"/>
            </w:rPr>
          </w:pPr>
          <w:hyperlink w:anchor="_Toc423436327" w:history="1">
            <w:r w:rsidR="00514B53" w:rsidRPr="00211764">
              <w:rPr>
                <w:rStyle w:val="Hyperlink"/>
                <w:rFonts w:ascii="Verdana" w:hAnsi="Verdana"/>
                <w:noProof/>
                <w:lang w:val="en-GB"/>
              </w:rPr>
              <w:t>◦</w:t>
            </w:r>
            <w:r w:rsidR="00514B53">
              <w:rPr>
                <w:noProof/>
                <w:color w:val="auto"/>
                <w:sz w:val="22"/>
                <w:szCs w:val="22"/>
                <w:lang w:val="en-GB" w:eastAsia="en-GB"/>
              </w:rPr>
              <w:tab/>
            </w:r>
            <w:r w:rsidR="00514B53" w:rsidRPr="00211764">
              <w:rPr>
                <w:rStyle w:val="Hyperlink"/>
                <w:noProof/>
              </w:rPr>
              <w:t>Notes and Sources</w:t>
            </w:r>
            <w:r w:rsidR="00514B53">
              <w:rPr>
                <w:noProof/>
                <w:webHidden/>
              </w:rPr>
              <w:tab/>
            </w:r>
            <w:r w:rsidR="00514B53">
              <w:rPr>
                <w:noProof/>
                <w:webHidden/>
              </w:rPr>
              <w:fldChar w:fldCharType="begin"/>
            </w:r>
            <w:r w:rsidR="00514B53">
              <w:rPr>
                <w:noProof/>
                <w:webHidden/>
              </w:rPr>
              <w:instrText xml:space="preserve"> PAGEREF _Toc423436327 \h </w:instrText>
            </w:r>
            <w:r w:rsidR="00514B53">
              <w:rPr>
                <w:noProof/>
                <w:webHidden/>
              </w:rPr>
            </w:r>
            <w:r w:rsidR="00514B53">
              <w:rPr>
                <w:noProof/>
                <w:webHidden/>
              </w:rPr>
              <w:fldChar w:fldCharType="separate"/>
            </w:r>
            <w:r w:rsidR="00FF7FD2">
              <w:rPr>
                <w:noProof/>
                <w:webHidden/>
              </w:rPr>
              <w:t>117</w:t>
            </w:r>
            <w:r w:rsidR="00514B53">
              <w:rPr>
                <w:noProof/>
                <w:webHidden/>
              </w:rPr>
              <w:fldChar w:fldCharType="end"/>
            </w:r>
          </w:hyperlink>
        </w:p>
        <w:p w14:paraId="360FB1A6" w14:textId="123CF55C" w:rsidR="006536FE" w:rsidRPr="003128F1" w:rsidRDefault="00AB0047" w:rsidP="00730F98">
          <w:pPr>
            <w:pStyle w:val="TOC1"/>
            <w:tabs>
              <w:tab w:val="left" w:pos="480"/>
              <w:tab w:val="right" w:leader="dot" w:pos="9607"/>
            </w:tabs>
            <w:spacing w:line="240" w:lineRule="auto"/>
            <w:rPr>
              <w:rFonts w:eastAsia="Times New Roman" w:cs="Times New Roman"/>
              <w:b/>
              <w:sz w:val="22"/>
              <w:szCs w:val="22"/>
              <w:lang w:val="en-GB"/>
            </w:rPr>
          </w:pPr>
          <w:r w:rsidRPr="003825CA">
            <w:rPr>
              <w:bCs/>
              <w:noProof/>
              <w:sz w:val="22"/>
              <w:szCs w:val="22"/>
            </w:rPr>
            <w:fldChar w:fldCharType="end"/>
          </w:r>
          <w:r w:rsidR="006536FE" w:rsidRPr="00F04553">
            <w:rPr>
              <w:bCs/>
              <w:noProof/>
              <w:sz w:val="22"/>
              <w:szCs w:val="22"/>
              <w:lang w:val="en-GB"/>
            </w:rPr>
            <w:br w:type="column"/>
          </w:r>
          <w:r w:rsidR="006536FE" w:rsidRPr="003128F1">
            <w:rPr>
              <w:rFonts w:eastAsia="Times New Roman" w:cs="Times New Roman"/>
              <w:b/>
              <w:sz w:val="22"/>
              <w:szCs w:val="22"/>
              <w:lang w:val="en-GB"/>
            </w:rPr>
            <w:lastRenderedPageBreak/>
            <w:t>LIST OF ACRONYMS</w:t>
          </w:r>
        </w:p>
        <w:p w14:paraId="131EF9CF" w14:textId="77777777" w:rsidR="006536FE" w:rsidRPr="00C531A6" w:rsidRDefault="006536FE" w:rsidP="00730F98">
          <w:pPr>
            <w:spacing w:before="120" w:after="0" w:line="240" w:lineRule="auto"/>
            <w:jc w:val="both"/>
            <w:rPr>
              <w:rFonts w:eastAsia="Times New Roman" w:cs="Times New Roman"/>
              <w:sz w:val="22"/>
              <w:szCs w:val="22"/>
              <w:lang w:val="en-GB"/>
            </w:rPr>
          </w:pPr>
        </w:p>
        <w:p w14:paraId="26623F23" w14:textId="77777777" w:rsidR="00816989"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AA</w:t>
          </w:r>
          <w:r w:rsidRPr="00F04553">
            <w:rPr>
              <w:rFonts w:cs="Times New Roman"/>
              <w:sz w:val="22"/>
              <w:szCs w:val="22"/>
              <w:lang w:val="en-GB"/>
            </w:rPr>
            <w:t xml:space="preserve"> Audit Authority </w:t>
          </w:r>
        </w:p>
        <w:p w14:paraId="221CD964"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BSB</w:t>
          </w:r>
          <w:r w:rsidRPr="00F04553">
            <w:rPr>
              <w:rFonts w:cs="Times New Roman"/>
              <w:sz w:val="22"/>
              <w:szCs w:val="22"/>
              <w:lang w:val="en-GB"/>
            </w:rPr>
            <w:t xml:space="preserve"> Black Sea Basin</w:t>
          </w:r>
        </w:p>
        <w:p w14:paraId="47CC833B" w14:textId="77777777" w:rsidR="00816989" w:rsidRPr="00F04553" w:rsidRDefault="00816989"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BSEC</w:t>
          </w:r>
          <w:r w:rsidRPr="00F04553">
            <w:rPr>
              <w:rFonts w:cs="Times New Roman"/>
              <w:sz w:val="22"/>
              <w:szCs w:val="22"/>
              <w:lang w:val="en-GB"/>
            </w:rPr>
            <w:t xml:space="preserve"> Black Sea Economic Cooperation</w:t>
          </w:r>
        </w:p>
        <w:p w14:paraId="0BD3473A"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CBC</w:t>
          </w:r>
          <w:r w:rsidRPr="00F04553">
            <w:rPr>
              <w:rFonts w:cs="Times New Roman"/>
              <w:sz w:val="22"/>
              <w:szCs w:val="22"/>
              <w:lang w:val="en-GB"/>
            </w:rPr>
            <w:t xml:space="preserve"> Cross Border Cooperation</w:t>
          </w:r>
        </w:p>
        <w:p w14:paraId="436038EA"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 xml:space="preserve">CCP </w:t>
          </w:r>
          <w:r w:rsidRPr="00F04553">
            <w:rPr>
              <w:rFonts w:cs="Times New Roman"/>
              <w:sz w:val="22"/>
              <w:szCs w:val="22"/>
              <w:lang w:val="en-GB"/>
            </w:rPr>
            <w:t>Control Contact Point</w:t>
          </w:r>
        </w:p>
        <w:p w14:paraId="5D742F5D"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EC</w:t>
          </w:r>
          <w:r w:rsidRPr="00F04553">
            <w:rPr>
              <w:rFonts w:cs="Times New Roman"/>
              <w:sz w:val="22"/>
              <w:szCs w:val="22"/>
              <w:lang w:val="en-GB"/>
            </w:rPr>
            <w:t xml:space="preserve"> European Commission</w:t>
          </w:r>
        </w:p>
        <w:p w14:paraId="4D49F221"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 xml:space="preserve">ENI </w:t>
          </w:r>
          <w:r w:rsidRPr="00F04553">
            <w:rPr>
              <w:rFonts w:cs="Times New Roman"/>
              <w:sz w:val="22"/>
              <w:szCs w:val="22"/>
              <w:lang w:val="en-GB"/>
            </w:rPr>
            <w:t>European Neighbourhood Instrument</w:t>
          </w:r>
        </w:p>
        <w:p w14:paraId="28DAB2AF"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 xml:space="preserve">ENPI </w:t>
          </w:r>
          <w:r w:rsidRPr="00F04553">
            <w:rPr>
              <w:rFonts w:cs="Times New Roman"/>
              <w:sz w:val="22"/>
              <w:szCs w:val="22"/>
              <w:lang w:val="en-GB"/>
            </w:rPr>
            <w:t>European Neighbourhood and Partnership Instrument</w:t>
          </w:r>
        </w:p>
        <w:p w14:paraId="69059D1E"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EU</w:t>
          </w:r>
          <w:r w:rsidRPr="00F04553">
            <w:rPr>
              <w:rFonts w:cs="Times New Roman"/>
              <w:sz w:val="22"/>
              <w:szCs w:val="22"/>
              <w:lang w:val="en-GB"/>
            </w:rPr>
            <w:t xml:space="preserve"> European Union</w:t>
          </w:r>
        </w:p>
        <w:p w14:paraId="176974EC"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proofErr w:type="spellStart"/>
          <w:r w:rsidRPr="00F04553">
            <w:rPr>
              <w:rFonts w:cs="Times New Roman"/>
              <w:b/>
              <w:sz w:val="22"/>
              <w:szCs w:val="22"/>
              <w:lang w:val="en-GB"/>
            </w:rPr>
            <w:t>GoA</w:t>
          </w:r>
          <w:proofErr w:type="spellEnd"/>
          <w:r w:rsidRPr="00F04553">
            <w:rPr>
              <w:rFonts w:cs="Times New Roman"/>
              <w:sz w:val="22"/>
              <w:szCs w:val="22"/>
              <w:lang w:val="en-GB"/>
            </w:rPr>
            <w:t xml:space="preserve"> Group of Auditors</w:t>
          </w:r>
        </w:p>
        <w:p w14:paraId="43B7403A"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GDP</w:t>
          </w:r>
          <w:r w:rsidRPr="00F04553">
            <w:rPr>
              <w:rFonts w:cs="Times New Roman"/>
              <w:sz w:val="22"/>
              <w:szCs w:val="22"/>
              <w:lang w:val="en-GB"/>
            </w:rPr>
            <w:t xml:space="preserve"> Gross Domestic Product</w:t>
          </w:r>
        </w:p>
        <w:p w14:paraId="6827B747"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ICT</w:t>
          </w:r>
          <w:r w:rsidRPr="00F04553">
            <w:rPr>
              <w:rFonts w:cs="Times New Roman"/>
              <w:sz w:val="22"/>
              <w:szCs w:val="22"/>
              <w:lang w:val="en-GB"/>
            </w:rPr>
            <w:t xml:space="preserve"> Informat</w:t>
          </w:r>
          <w:r w:rsidR="00360115" w:rsidRPr="00F04553">
            <w:rPr>
              <w:rFonts w:cs="Times New Roman"/>
              <w:sz w:val="22"/>
              <w:szCs w:val="22"/>
              <w:lang w:val="en-GB"/>
            </w:rPr>
            <w:t>ion and Communication Technologies</w:t>
          </w:r>
        </w:p>
        <w:p w14:paraId="56AF0033"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JMC</w:t>
          </w:r>
          <w:r w:rsidRPr="00F04553">
            <w:rPr>
              <w:rFonts w:cs="Times New Roman"/>
              <w:sz w:val="22"/>
              <w:szCs w:val="22"/>
              <w:lang w:val="en-GB"/>
            </w:rPr>
            <w:t xml:space="preserve"> Joint Monitoring Committee</w:t>
          </w:r>
        </w:p>
        <w:p w14:paraId="12A78377"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JTS</w:t>
          </w:r>
          <w:r w:rsidRPr="00F04553">
            <w:rPr>
              <w:rFonts w:cs="Times New Roman"/>
              <w:sz w:val="22"/>
              <w:szCs w:val="22"/>
              <w:lang w:val="en-GB"/>
            </w:rPr>
            <w:t xml:space="preserve"> Joint Technical Secretariat</w:t>
          </w:r>
        </w:p>
        <w:p w14:paraId="3F6B2507"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MA</w:t>
          </w:r>
          <w:r w:rsidRPr="00F04553">
            <w:rPr>
              <w:rFonts w:cs="Times New Roman"/>
              <w:sz w:val="22"/>
              <w:szCs w:val="22"/>
              <w:lang w:val="en-GB"/>
            </w:rPr>
            <w:t xml:space="preserve"> Managing Authority</w:t>
          </w:r>
        </w:p>
        <w:p w14:paraId="0C784B3F"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NA</w:t>
          </w:r>
          <w:r w:rsidRPr="00F04553">
            <w:rPr>
              <w:rFonts w:cs="Times New Roman"/>
              <w:sz w:val="22"/>
              <w:szCs w:val="22"/>
              <w:lang w:val="en-GB"/>
            </w:rPr>
            <w:t xml:space="preserve"> National Authority</w:t>
          </w:r>
        </w:p>
        <w:p w14:paraId="7DEB7139"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 xml:space="preserve">NGO </w:t>
          </w:r>
          <w:proofErr w:type="spellStart"/>
          <w:r w:rsidRPr="00F04553">
            <w:rPr>
              <w:rFonts w:cs="Times New Roman"/>
              <w:sz w:val="22"/>
              <w:szCs w:val="22"/>
              <w:lang w:val="en-GB"/>
            </w:rPr>
            <w:t>Non Governmental</w:t>
          </w:r>
          <w:proofErr w:type="spellEnd"/>
          <w:r w:rsidRPr="00F04553">
            <w:rPr>
              <w:rFonts w:cs="Times New Roman"/>
              <w:sz w:val="22"/>
              <w:szCs w:val="22"/>
              <w:lang w:val="en-GB"/>
            </w:rPr>
            <w:t xml:space="preserve"> Organisation</w:t>
          </w:r>
        </w:p>
        <w:p w14:paraId="4C638088" w14:textId="77777777" w:rsidR="00B755D3" w:rsidRPr="00F04553" w:rsidRDefault="00B755D3" w:rsidP="00730F98">
          <w:pPr>
            <w:widowControl w:val="0"/>
            <w:autoSpaceDE w:val="0"/>
            <w:autoSpaceDN w:val="0"/>
            <w:adjustRightInd w:val="0"/>
            <w:spacing w:after="0" w:line="240" w:lineRule="auto"/>
            <w:rPr>
              <w:rFonts w:cs="Times New Roman"/>
              <w:b/>
              <w:sz w:val="22"/>
              <w:szCs w:val="22"/>
              <w:lang w:val="en-GB"/>
            </w:rPr>
          </w:pPr>
          <w:r w:rsidRPr="00F04553">
            <w:rPr>
              <w:rFonts w:cs="Times New Roman"/>
              <w:b/>
              <w:sz w:val="22"/>
              <w:szCs w:val="22"/>
              <w:lang w:val="en-GB"/>
            </w:rPr>
            <w:t xml:space="preserve">OECD </w:t>
          </w:r>
          <w:r w:rsidR="00610F84" w:rsidRPr="00F04553">
            <w:rPr>
              <w:rFonts w:cs="Times New Roman"/>
              <w:sz w:val="22"/>
              <w:szCs w:val="22"/>
              <w:lang w:val="en-GB"/>
            </w:rPr>
            <w:t>Organisation for Economic Cooperation and Development</w:t>
          </w:r>
        </w:p>
        <w:p w14:paraId="2046BFBE"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R&amp;D</w:t>
          </w:r>
          <w:r w:rsidRPr="00F04553">
            <w:rPr>
              <w:rFonts w:cs="Times New Roman"/>
              <w:sz w:val="22"/>
              <w:szCs w:val="22"/>
              <w:lang w:val="en-GB"/>
            </w:rPr>
            <w:t xml:space="preserve"> Research and development</w:t>
          </w:r>
        </w:p>
        <w:p w14:paraId="5536A9CC"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SC</w:t>
          </w:r>
          <w:r w:rsidRPr="00F04553">
            <w:rPr>
              <w:rFonts w:cs="Times New Roman"/>
              <w:sz w:val="22"/>
              <w:szCs w:val="22"/>
              <w:lang w:val="en-GB"/>
            </w:rPr>
            <w:t xml:space="preserve"> Selection Committee</w:t>
          </w:r>
        </w:p>
        <w:p w14:paraId="2D1CE5C8"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SEA</w:t>
          </w:r>
          <w:r w:rsidRPr="00F04553">
            <w:rPr>
              <w:rFonts w:cs="Times New Roman"/>
              <w:sz w:val="22"/>
              <w:szCs w:val="22"/>
              <w:lang w:val="en-GB"/>
            </w:rPr>
            <w:t xml:space="preserve"> Strategic Environmental Assessment</w:t>
          </w:r>
        </w:p>
        <w:p w14:paraId="48A7E7FF"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SME</w:t>
          </w:r>
          <w:r w:rsidR="00C76893" w:rsidRPr="00F04553">
            <w:rPr>
              <w:rFonts w:cs="Times New Roman"/>
              <w:sz w:val="22"/>
              <w:szCs w:val="22"/>
              <w:lang w:val="en-GB"/>
            </w:rPr>
            <w:t xml:space="preserve"> Small and</w:t>
          </w:r>
          <w:r w:rsidRPr="00F04553">
            <w:rPr>
              <w:rFonts w:cs="Times New Roman"/>
              <w:sz w:val="22"/>
              <w:szCs w:val="22"/>
              <w:lang w:val="en-GB"/>
            </w:rPr>
            <w:t xml:space="preserve"> Medium Enterprise</w:t>
          </w:r>
          <w:r w:rsidR="00C76893" w:rsidRPr="00F04553">
            <w:rPr>
              <w:rFonts w:cs="Times New Roman"/>
              <w:sz w:val="22"/>
              <w:szCs w:val="22"/>
              <w:lang w:val="en-GB"/>
            </w:rPr>
            <w:t>s</w:t>
          </w:r>
        </w:p>
        <w:p w14:paraId="6C7C0045"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SWOT</w:t>
          </w:r>
          <w:r w:rsidRPr="00F04553">
            <w:rPr>
              <w:rFonts w:cs="Times New Roman"/>
              <w:sz w:val="22"/>
              <w:szCs w:val="22"/>
              <w:lang w:val="en-GB"/>
            </w:rPr>
            <w:t xml:space="preserve"> Strengths</w:t>
          </w:r>
          <w:r w:rsidR="00A2507B" w:rsidRPr="00F04553">
            <w:rPr>
              <w:rFonts w:cs="Times New Roman"/>
              <w:sz w:val="22"/>
              <w:szCs w:val="22"/>
              <w:lang w:val="en-GB"/>
            </w:rPr>
            <w:t>,</w:t>
          </w:r>
          <w:r w:rsidRPr="00F04553">
            <w:rPr>
              <w:rFonts w:cs="Times New Roman"/>
              <w:sz w:val="22"/>
              <w:szCs w:val="22"/>
              <w:lang w:val="en-GB"/>
            </w:rPr>
            <w:t xml:space="preserve"> Weakness</w:t>
          </w:r>
          <w:r w:rsidR="00A11EEE" w:rsidRPr="00F04553">
            <w:rPr>
              <w:rFonts w:cs="Times New Roman"/>
              <w:sz w:val="22"/>
              <w:szCs w:val="22"/>
              <w:lang w:val="en-GB"/>
            </w:rPr>
            <w:t>es</w:t>
          </w:r>
          <w:r w:rsidR="00A2507B" w:rsidRPr="00F04553">
            <w:rPr>
              <w:rFonts w:cs="Times New Roman"/>
              <w:sz w:val="22"/>
              <w:szCs w:val="22"/>
              <w:lang w:val="en-GB"/>
            </w:rPr>
            <w:t>,</w:t>
          </w:r>
          <w:r w:rsidRPr="00F04553">
            <w:rPr>
              <w:rFonts w:cs="Times New Roman"/>
              <w:sz w:val="22"/>
              <w:szCs w:val="22"/>
              <w:lang w:val="en-GB"/>
            </w:rPr>
            <w:t xml:space="preserve"> Opportunities</w:t>
          </w:r>
          <w:r w:rsidR="00A2507B" w:rsidRPr="00F04553">
            <w:rPr>
              <w:rFonts w:cs="Times New Roman"/>
              <w:sz w:val="22"/>
              <w:szCs w:val="22"/>
              <w:lang w:val="en-GB"/>
            </w:rPr>
            <w:t xml:space="preserve"> and</w:t>
          </w:r>
          <w:r w:rsidRPr="00F04553">
            <w:rPr>
              <w:rFonts w:cs="Times New Roman"/>
              <w:sz w:val="22"/>
              <w:szCs w:val="22"/>
              <w:lang w:val="en-GB"/>
            </w:rPr>
            <w:t xml:space="preserve"> T</w:t>
          </w:r>
          <w:r w:rsidR="00E84E47" w:rsidRPr="00F04553">
            <w:rPr>
              <w:rFonts w:cs="Times New Roman"/>
              <w:sz w:val="22"/>
              <w:szCs w:val="22"/>
              <w:lang w:val="en-GB"/>
            </w:rPr>
            <w:t>h</w:t>
          </w:r>
          <w:r w:rsidRPr="00F04553">
            <w:rPr>
              <w:rFonts w:cs="Times New Roman"/>
              <w:sz w:val="22"/>
              <w:szCs w:val="22"/>
              <w:lang w:val="en-GB"/>
            </w:rPr>
            <w:t>reats (Analysis)</w:t>
          </w:r>
        </w:p>
        <w:p w14:paraId="6C2340B7" w14:textId="77777777" w:rsidR="00690123" w:rsidRPr="00F04553" w:rsidRDefault="00690123"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UNDP</w:t>
          </w:r>
          <w:r w:rsidRPr="00F04553">
            <w:rPr>
              <w:rFonts w:cs="Times New Roman"/>
              <w:sz w:val="22"/>
              <w:szCs w:val="22"/>
              <w:lang w:val="en-GB"/>
            </w:rPr>
            <w:t xml:space="preserve"> United Nations Development Programme</w:t>
          </w:r>
        </w:p>
        <w:p w14:paraId="1F768AD1" w14:textId="77777777" w:rsidR="006536FE" w:rsidRPr="00F04553" w:rsidRDefault="006536FE" w:rsidP="00730F98">
          <w:pPr>
            <w:widowControl w:val="0"/>
            <w:autoSpaceDE w:val="0"/>
            <w:autoSpaceDN w:val="0"/>
            <w:adjustRightInd w:val="0"/>
            <w:spacing w:after="0" w:line="240" w:lineRule="auto"/>
            <w:rPr>
              <w:rFonts w:cs="Times New Roman"/>
              <w:sz w:val="22"/>
              <w:szCs w:val="22"/>
              <w:lang w:val="en-GB"/>
            </w:rPr>
          </w:pPr>
          <w:r w:rsidRPr="00F04553">
            <w:rPr>
              <w:rFonts w:cs="Times New Roman"/>
              <w:b/>
              <w:sz w:val="22"/>
              <w:szCs w:val="22"/>
              <w:lang w:val="en-GB"/>
            </w:rPr>
            <w:t>UNESCO</w:t>
          </w:r>
          <w:r w:rsidRPr="00F04553">
            <w:rPr>
              <w:rFonts w:cs="Times New Roman"/>
              <w:sz w:val="22"/>
              <w:szCs w:val="22"/>
              <w:lang w:val="en-GB"/>
            </w:rPr>
            <w:t xml:space="preserve"> United Nations Educational, Scientific and Cultural Organisation</w:t>
          </w:r>
        </w:p>
        <w:p w14:paraId="21B841C7" w14:textId="77777777" w:rsidR="00660327" w:rsidRPr="00C531A6" w:rsidRDefault="00660327" w:rsidP="00730F98">
          <w:pPr>
            <w:widowControl w:val="0"/>
            <w:autoSpaceDE w:val="0"/>
            <w:autoSpaceDN w:val="0"/>
            <w:adjustRightInd w:val="0"/>
            <w:spacing w:after="0" w:line="240" w:lineRule="auto"/>
            <w:rPr>
              <w:rFonts w:cs="Times New Roman"/>
              <w:sz w:val="22"/>
              <w:szCs w:val="22"/>
            </w:rPr>
          </w:pPr>
          <w:r w:rsidRPr="007F1F1B">
            <w:rPr>
              <w:rFonts w:cs="Times New Roman"/>
              <w:b/>
              <w:sz w:val="22"/>
              <w:szCs w:val="22"/>
            </w:rPr>
            <w:t>WHO</w:t>
          </w:r>
          <w:r>
            <w:rPr>
              <w:rFonts w:cs="Times New Roman"/>
              <w:sz w:val="22"/>
              <w:szCs w:val="22"/>
            </w:rPr>
            <w:t xml:space="preserve"> World </w:t>
          </w:r>
          <w:proofErr w:type="spellStart"/>
          <w:r>
            <w:rPr>
              <w:rFonts w:cs="Times New Roman"/>
              <w:sz w:val="22"/>
              <w:szCs w:val="22"/>
            </w:rPr>
            <w:t>Health</w:t>
          </w:r>
          <w:proofErr w:type="spellEnd"/>
          <w:r>
            <w:rPr>
              <w:rFonts w:cs="Times New Roman"/>
              <w:sz w:val="22"/>
              <w:szCs w:val="22"/>
            </w:rPr>
            <w:t xml:space="preserve"> Organisation</w:t>
          </w:r>
        </w:p>
        <w:p w14:paraId="34C03E91" w14:textId="77777777" w:rsidR="00612000" w:rsidRPr="00C531A6" w:rsidRDefault="00912E29" w:rsidP="00730F98">
          <w:pPr>
            <w:spacing w:before="120" w:after="0" w:line="240" w:lineRule="auto"/>
            <w:rPr>
              <w:sz w:val="22"/>
              <w:szCs w:val="22"/>
            </w:rPr>
            <w:sectPr w:rsidR="00612000" w:rsidRPr="00C531A6" w:rsidSect="00EE4D6C">
              <w:footerReference w:type="even" r:id="rId11"/>
              <w:footerReference w:type="default" r:id="rId12"/>
              <w:footnotePr>
                <w:numFmt w:val="lowerRoman"/>
                <w:numRestart w:val="eachPage"/>
              </w:footnotePr>
              <w:endnotePr>
                <w:numFmt w:val="decimal"/>
              </w:endnotePr>
              <w:pgSz w:w="12240" w:h="15840" w:code="1"/>
              <w:pgMar w:top="1021" w:right="1183" w:bottom="1021" w:left="1440" w:header="1134" w:footer="567" w:gutter="0"/>
              <w:pgNumType w:fmt="lowerRoman" w:start="1"/>
              <w:cols w:space="720"/>
              <w:titlePg/>
              <w:docGrid w:linePitch="360"/>
            </w:sectPr>
          </w:pPr>
        </w:p>
      </w:sdtContent>
    </w:sdt>
    <w:bookmarkStart w:id="0" w:name="_Toc423436260" w:displacedByCustomXml="next"/>
    <w:sdt>
      <w:sdtPr>
        <w:rPr>
          <w:lang w:val="en-GB"/>
        </w:rPr>
        <w:alias w:val="Title"/>
        <w:tag w:val=""/>
        <w:id w:val="-1041280957"/>
        <w:dataBinding w:prefixMappings="xmlns:ns0='http://purl.org/dc/elements/1.1/' xmlns:ns1='http://schemas.openxmlformats.org/package/2006/metadata/core-properties' " w:xpath="/ns1:coreProperties[1]/ns0:title[1]" w:storeItemID="{6C3C8BC8-F283-45AE-878A-BAB7291924A1}"/>
        <w:text w:multiLine="1"/>
      </w:sdtPr>
      <w:sdtEndPr/>
      <w:sdtContent>
        <w:p w14:paraId="4E2D2142" w14:textId="353B10E9" w:rsidR="005C165A" w:rsidRPr="001E5BE2" w:rsidRDefault="002A4AAA" w:rsidP="005C165A">
          <w:pPr>
            <w:pStyle w:val="Heading1"/>
            <w:spacing w:before="0" w:after="0" w:line="252" w:lineRule="auto"/>
            <w:rPr>
              <w:lang w:val="en-GB"/>
            </w:rPr>
          </w:pPr>
          <w:r w:rsidRPr="001E5BE2">
            <w:rPr>
              <w:lang w:val="en-GB"/>
            </w:rPr>
            <w:t>Joint Operational Programme Black Sea Basin 2014-2020</w:t>
          </w:r>
        </w:p>
      </w:sdtContent>
    </w:sdt>
    <w:bookmarkEnd w:id="0" w:displacedByCustomXml="prev"/>
    <w:bookmarkStart w:id="1" w:name="_Toc276156663" w:displacedByCustomXml="prev"/>
    <w:p w14:paraId="3461BFFD" w14:textId="77777777" w:rsidR="005C165A" w:rsidRDefault="005C165A" w:rsidP="005C165A">
      <w:pPr>
        <w:pStyle w:val="Heading1"/>
        <w:spacing w:before="120" w:after="0" w:line="264" w:lineRule="auto"/>
        <w:ind w:left="1440"/>
        <w:jc w:val="left"/>
        <w:rPr>
          <w:sz w:val="40"/>
          <w:szCs w:val="40"/>
          <w:lang w:val="en-GB"/>
        </w:rPr>
      </w:pPr>
    </w:p>
    <w:p w14:paraId="250F0CAD" w14:textId="77777777" w:rsidR="004B63F2" w:rsidRPr="00FD56B0" w:rsidRDefault="004B63F2" w:rsidP="002D1AFC">
      <w:pPr>
        <w:pStyle w:val="Heading1"/>
        <w:numPr>
          <w:ilvl w:val="1"/>
          <w:numId w:val="3"/>
        </w:numPr>
        <w:spacing w:before="120" w:after="0" w:line="264" w:lineRule="auto"/>
        <w:jc w:val="left"/>
        <w:rPr>
          <w:sz w:val="40"/>
          <w:szCs w:val="40"/>
          <w:lang w:val="en-GB"/>
        </w:rPr>
      </w:pPr>
      <w:bookmarkStart w:id="2" w:name="_Toc423436261"/>
      <w:r w:rsidRPr="00FD56B0">
        <w:rPr>
          <w:sz w:val="40"/>
          <w:szCs w:val="40"/>
          <w:lang w:val="en-GB"/>
        </w:rPr>
        <w:t>Executive summary</w:t>
      </w:r>
      <w:bookmarkEnd w:id="2"/>
      <w:r w:rsidRPr="00FD56B0">
        <w:rPr>
          <w:sz w:val="40"/>
          <w:szCs w:val="40"/>
          <w:lang w:val="en-GB"/>
        </w:rPr>
        <w:t xml:space="preserve"> </w:t>
      </w:r>
    </w:p>
    <w:p w14:paraId="4D66126D" w14:textId="77777777" w:rsidR="00EE745F" w:rsidRPr="004B36E7" w:rsidRDefault="00C602A1" w:rsidP="003A01F9">
      <w:pPr>
        <w:pStyle w:val="Heading3"/>
        <w:numPr>
          <w:ilvl w:val="0"/>
          <w:numId w:val="81"/>
        </w:numPr>
        <w:spacing w:before="360" w:after="120" w:line="252" w:lineRule="auto"/>
        <w:rPr>
          <w:b/>
          <w:sz w:val="28"/>
          <w:szCs w:val="28"/>
          <w:lang w:val="en-GB"/>
        </w:rPr>
      </w:pPr>
      <w:bookmarkStart w:id="3" w:name="_Toc423436262"/>
      <w:r>
        <w:rPr>
          <w:b/>
          <w:sz w:val="28"/>
          <w:szCs w:val="28"/>
          <w:lang w:val="en-GB"/>
        </w:rPr>
        <w:t xml:space="preserve">Introduction: </w:t>
      </w:r>
      <w:r w:rsidR="00C503ED">
        <w:rPr>
          <w:b/>
          <w:sz w:val="28"/>
          <w:szCs w:val="28"/>
          <w:lang w:val="en-GB"/>
        </w:rPr>
        <w:t>D</w:t>
      </w:r>
      <w:r>
        <w:rPr>
          <w:b/>
          <w:sz w:val="28"/>
          <w:szCs w:val="28"/>
          <w:lang w:val="en-GB"/>
        </w:rPr>
        <w:t xml:space="preserve">escription of </w:t>
      </w:r>
      <w:r w:rsidR="004B63F2" w:rsidRPr="004B36E7">
        <w:rPr>
          <w:b/>
          <w:sz w:val="28"/>
          <w:szCs w:val="28"/>
          <w:lang w:val="en-GB"/>
        </w:rPr>
        <w:t>programme preparation steps</w:t>
      </w:r>
      <w:bookmarkEnd w:id="3"/>
    </w:p>
    <w:p w14:paraId="5FDDC7AC" w14:textId="10029FDF" w:rsidR="00D85FDF" w:rsidRPr="00682784" w:rsidRDefault="00F93DA3" w:rsidP="00D85FDF">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The B</w:t>
      </w:r>
      <w:r w:rsidR="000E2331" w:rsidRPr="00682784">
        <w:rPr>
          <w:rFonts w:cs="Times New Roman"/>
          <w:sz w:val="22"/>
          <w:szCs w:val="22"/>
          <w:lang w:val="en-GB"/>
        </w:rPr>
        <w:t>lack Sea Basin P</w:t>
      </w:r>
      <w:r w:rsidRPr="00682784">
        <w:rPr>
          <w:rFonts w:cs="Times New Roman"/>
          <w:sz w:val="22"/>
          <w:szCs w:val="22"/>
          <w:lang w:val="en-GB"/>
        </w:rPr>
        <w:t xml:space="preserve">rogramme 2014-2020 is part of </w:t>
      </w:r>
      <w:r w:rsidR="00C503ED">
        <w:rPr>
          <w:rFonts w:cs="Times New Roman"/>
          <w:sz w:val="22"/>
          <w:szCs w:val="22"/>
          <w:lang w:val="en-GB"/>
        </w:rPr>
        <w:t xml:space="preserve">European Union’s </w:t>
      </w:r>
      <w:r w:rsidRPr="00682784">
        <w:rPr>
          <w:rFonts w:cs="Times New Roman"/>
          <w:sz w:val="22"/>
          <w:szCs w:val="22"/>
          <w:lang w:val="en-GB"/>
        </w:rPr>
        <w:t>Cross-Border Cooperation</w:t>
      </w:r>
      <w:r w:rsidR="002308F0" w:rsidRPr="00682784">
        <w:rPr>
          <w:rFonts w:cs="Times New Roman"/>
          <w:sz w:val="22"/>
          <w:szCs w:val="22"/>
          <w:lang w:val="en-GB"/>
        </w:rPr>
        <w:t xml:space="preserve"> (CBC</w:t>
      </w:r>
      <w:r w:rsidR="004928F9">
        <w:rPr>
          <w:rFonts w:cs="Times New Roman"/>
          <w:sz w:val="22"/>
          <w:szCs w:val="22"/>
          <w:lang w:val="en-GB"/>
        </w:rPr>
        <w:t xml:space="preserve">) </w:t>
      </w:r>
      <w:r w:rsidR="00C503ED">
        <w:rPr>
          <w:rFonts w:cs="Times New Roman"/>
          <w:sz w:val="22"/>
          <w:szCs w:val="22"/>
          <w:lang w:val="en-GB"/>
        </w:rPr>
        <w:t xml:space="preserve">under its </w:t>
      </w:r>
      <w:r w:rsidRPr="00682784">
        <w:rPr>
          <w:rFonts w:cs="Times New Roman"/>
          <w:sz w:val="22"/>
          <w:szCs w:val="22"/>
          <w:lang w:val="en-GB"/>
        </w:rPr>
        <w:t>European Neighbou</w:t>
      </w:r>
      <w:r w:rsidR="00D0175A" w:rsidRPr="00682784">
        <w:rPr>
          <w:rFonts w:cs="Times New Roman"/>
          <w:sz w:val="22"/>
          <w:szCs w:val="22"/>
          <w:lang w:val="en-GB"/>
        </w:rPr>
        <w:t xml:space="preserve">rhood </w:t>
      </w:r>
      <w:r w:rsidRPr="00682784">
        <w:rPr>
          <w:rFonts w:cs="Times New Roman"/>
          <w:sz w:val="22"/>
          <w:szCs w:val="22"/>
          <w:lang w:val="en-GB"/>
        </w:rPr>
        <w:t>Instrument</w:t>
      </w:r>
      <w:r w:rsidR="00D0175A" w:rsidRPr="00682784">
        <w:rPr>
          <w:rFonts w:cs="Times New Roman"/>
          <w:sz w:val="22"/>
          <w:szCs w:val="22"/>
          <w:lang w:val="en-GB"/>
        </w:rPr>
        <w:t xml:space="preserve"> (ENI)</w:t>
      </w:r>
      <w:r w:rsidRPr="00682784">
        <w:rPr>
          <w:rFonts w:cs="Times New Roman"/>
          <w:sz w:val="22"/>
          <w:szCs w:val="22"/>
          <w:lang w:val="en-GB"/>
        </w:rPr>
        <w:t>.</w:t>
      </w:r>
      <w:r w:rsidR="00790AF8" w:rsidRPr="00682784">
        <w:rPr>
          <w:rFonts w:cs="Times New Roman"/>
          <w:sz w:val="22"/>
          <w:szCs w:val="22"/>
          <w:lang w:val="en-GB"/>
        </w:rPr>
        <w:t xml:space="preserve"> </w:t>
      </w:r>
      <w:r w:rsidR="00D85FDF" w:rsidRPr="00682784">
        <w:rPr>
          <w:rFonts w:cs="Times New Roman"/>
          <w:sz w:val="22"/>
          <w:szCs w:val="22"/>
          <w:lang w:val="en-GB"/>
        </w:rPr>
        <w:t xml:space="preserve">CBC under ENI extends the principles of CBC </w:t>
      </w:r>
      <w:r w:rsidR="00C503ED">
        <w:rPr>
          <w:rFonts w:cs="Times New Roman"/>
          <w:sz w:val="22"/>
          <w:szCs w:val="22"/>
          <w:lang w:val="en-GB"/>
        </w:rPr>
        <w:t>among</w:t>
      </w:r>
      <w:r w:rsidR="00D85FDF" w:rsidRPr="00682784">
        <w:rPr>
          <w:rFonts w:cs="Times New Roman"/>
          <w:sz w:val="22"/>
          <w:szCs w:val="22"/>
          <w:lang w:val="en-GB"/>
        </w:rPr>
        <w:t xml:space="preserve"> EU</w:t>
      </w:r>
      <w:r w:rsidR="00C503ED">
        <w:rPr>
          <w:rFonts w:cs="Times New Roman"/>
          <w:sz w:val="22"/>
          <w:szCs w:val="22"/>
          <w:lang w:val="en-GB"/>
        </w:rPr>
        <w:t xml:space="preserve"> Member States</w:t>
      </w:r>
      <w:r w:rsidR="00D85FDF" w:rsidRPr="00682784">
        <w:rPr>
          <w:rFonts w:cs="Times New Roman"/>
          <w:sz w:val="22"/>
          <w:szCs w:val="22"/>
          <w:lang w:val="en-GB"/>
        </w:rPr>
        <w:t xml:space="preserve"> </w:t>
      </w:r>
      <w:r w:rsidR="004928F9">
        <w:rPr>
          <w:rFonts w:cs="Times New Roman"/>
          <w:sz w:val="22"/>
          <w:szCs w:val="22"/>
          <w:lang w:val="en-GB"/>
        </w:rPr>
        <w:t>via the</w:t>
      </w:r>
      <w:r w:rsidR="00C503ED">
        <w:rPr>
          <w:rFonts w:cs="Times New Roman"/>
          <w:sz w:val="22"/>
          <w:szCs w:val="22"/>
          <w:lang w:val="en-GB"/>
        </w:rPr>
        <w:t xml:space="preserve"> </w:t>
      </w:r>
      <w:r w:rsidR="00D85FDF" w:rsidRPr="00682784">
        <w:rPr>
          <w:rFonts w:cs="Times New Roman"/>
          <w:sz w:val="22"/>
          <w:szCs w:val="22"/>
          <w:lang w:val="en-GB"/>
        </w:rPr>
        <w:t>European Territorial Co-operation prog</w:t>
      </w:r>
      <w:r w:rsidR="00607F01" w:rsidRPr="00682784">
        <w:rPr>
          <w:rFonts w:cs="Times New Roman"/>
          <w:sz w:val="22"/>
          <w:szCs w:val="22"/>
          <w:lang w:val="en-GB"/>
        </w:rPr>
        <w:t>rammes. ENI CBC</w:t>
      </w:r>
      <w:r w:rsidR="00D85FDF" w:rsidRPr="00682784">
        <w:rPr>
          <w:rFonts w:cs="Times New Roman"/>
          <w:sz w:val="22"/>
          <w:szCs w:val="22"/>
          <w:lang w:val="en-GB"/>
        </w:rPr>
        <w:t xml:space="preserve"> receives funding from </w:t>
      </w:r>
      <w:r w:rsidR="009E17B7" w:rsidRPr="00682784">
        <w:rPr>
          <w:rFonts w:cs="Times New Roman"/>
          <w:sz w:val="22"/>
          <w:szCs w:val="22"/>
          <w:lang w:val="en-GB"/>
        </w:rPr>
        <w:t xml:space="preserve">ENI as well as from the </w:t>
      </w:r>
      <w:r w:rsidR="00D85FDF" w:rsidRPr="00682784">
        <w:rPr>
          <w:rFonts w:cs="Times New Roman"/>
          <w:sz w:val="22"/>
          <w:szCs w:val="22"/>
          <w:lang w:val="en-GB"/>
        </w:rPr>
        <w:t xml:space="preserve">European Regional Development Fund </w:t>
      </w:r>
      <w:r w:rsidR="009E17B7" w:rsidRPr="00682784">
        <w:rPr>
          <w:rFonts w:cs="Times New Roman"/>
          <w:sz w:val="22"/>
          <w:szCs w:val="22"/>
          <w:lang w:val="en-GB"/>
        </w:rPr>
        <w:t>and the Instrument for Pre-Accession</w:t>
      </w:r>
      <w:r w:rsidR="00182962">
        <w:rPr>
          <w:rFonts w:cs="Times New Roman"/>
          <w:sz w:val="22"/>
          <w:szCs w:val="22"/>
          <w:lang w:val="en-GB"/>
        </w:rPr>
        <w:t xml:space="preserve"> which </w:t>
      </w:r>
      <w:r w:rsidR="001E5BE2">
        <w:rPr>
          <w:rFonts w:cs="Times New Roman"/>
          <w:sz w:val="22"/>
          <w:szCs w:val="22"/>
          <w:lang w:val="en-GB"/>
        </w:rPr>
        <w:t>is</w:t>
      </w:r>
      <w:r w:rsidR="00182962">
        <w:rPr>
          <w:rFonts w:cs="Times New Roman"/>
          <w:sz w:val="22"/>
          <w:szCs w:val="22"/>
          <w:lang w:val="en-GB"/>
        </w:rPr>
        <w:t xml:space="preserve"> pooled together</w:t>
      </w:r>
      <w:r w:rsidR="009E17B7" w:rsidRPr="00682784">
        <w:rPr>
          <w:rFonts w:cs="Times New Roman"/>
          <w:sz w:val="22"/>
          <w:szCs w:val="22"/>
          <w:lang w:val="en-GB"/>
        </w:rPr>
        <w:t>. All sources of funding may be used on either side of the EU external border for actions of common benefit. The ENI Regulation</w:t>
      </w:r>
      <w:r w:rsidR="009E17B7" w:rsidRPr="00AC63BC">
        <w:rPr>
          <w:rFonts w:cs="Times New Roman"/>
          <w:vertAlign w:val="superscript"/>
        </w:rPr>
        <w:footnoteReference w:id="1"/>
      </w:r>
      <w:r w:rsidR="009E17B7" w:rsidRPr="00682784">
        <w:rPr>
          <w:rFonts w:cs="Times New Roman"/>
          <w:sz w:val="22"/>
          <w:szCs w:val="22"/>
          <w:lang w:val="en-GB"/>
        </w:rPr>
        <w:t xml:space="preserve"> sets out the basis for C</w:t>
      </w:r>
      <w:r w:rsidR="001E3BA3" w:rsidRPr="00682784">
        <w:rPr>
          <w:rFonts w:cs="Times New Roman"/>
          <w:sz w:val="22"/>
          <w:szCs w:val="22"/>
          <w:lang w:val="en-GB"/>
        </w:rPr>
        <w:t xml:space="preserve">BC, further defined in </w:t>
      </w:r>
      <w:r w:rsidR="004928F9">
        <w:rPr>
          <w:rFonts w:cs="Times New Roman"/>
          <w:sz w:val="22"/>
          <w:szCs w:val="22"/>
          <w:lang w:val="en-GB"/>
        </w:rPr>
        <w:t xml:space="preserve">the </w:t>
      </w:r>
      <w:r w:rsidR="001E3BA3" w:rsidRPr="00682784">
        <w:rPr>
          <w:rFonts w:cs="Times New Roman"/>
          <w:sz w:val="22"/>
          <w:szCs w:val="22"/>
          <w:lang w:val="en-GB"/>
        </w:rPr>
        <w:t>ENI CBC I</w:t>
      </w:r>
      <w:r w:rsidR="009E17B7" w:rsidRPr="00682784">
        <w:rPr>
          <w:rFonts w:cs="Times New Roman"/>
          <w:sz w:val="22"/>
          <w:szCs w:val="22"/>
          <w:lang w:val="en-GB"/>
        </w:rPr>
        <w:t>mple</w:t>
      </w:r>
      <w:r w:rsidR="001E3BA3" w:rsidRPr="00682784">
        <w:rPr>
          <w:rFonts w:cs="Times New Roman"/>
          <w:sz w:val="22"/>
          <w:szCs w:val="22"/>
          <w:lang w:val="en-GB"/>
        </w:rPr>
        <w:t>menting Regulation</w:t>
      </w:r>
      <w:r w:rsidR="009E17B7" w:rsidRPr="00AC63BC">
        <w:rPr>
          <w:rFonts w:cs="Times New Roman"/>
          <w:vertAlign w:val="superscript"/>
        </w:rPr>
        <w:footnoteReference w:id="2"/>
      </w:r>
      <w:r w:rsidR="009E17B7" w:rsidRPr="00682784">
        <w:rPr>
          <w:rFonts w:cs="Times New Roman"/>
          <w:sz w:val="22"/>
          <w:szCs w:val="22"/>
          <w:vertAlign w:val="superscript"/>
          <w:lang w:val="en-GB"/>
        </w:rPr>
        <w:t xml:space="preserve"> </w:t>
      </w:r>
      <w:r w:rsidR="00147C31" w:rsidRPr="00682784">
        <w:rPr>
          <w:rFonts w:cs="Times New Roman"/>
          <w:sz w:val="22"/>
          <w:szCs w:val="22"/>
          <w:lang w:val="en-GB"/>
        </w:rPr>
        <w:t xml:space="preserve">and </w:t>
      </w:r>
      <w:r w:rsidR="004928F9">
        <w:rPr>
          <w:rFonts w:cs="Times New Roman"/>
          <w:sz w:val="22"/>
          <w:szCs w:val="22"/>
          <w:lang w:val="en-GB"/>
        </w:rPr>
        <w:t xml:space="preserve">the </w:t>
      </w:r>
      <w:r w:rsidR="00147C31" w:rsidRPr="00682784">
        <w:rPr>
          <w:rFonts w:cs="Times New Roman"/>
          <w:sz w:val="22"/>
          <w:szCs w:val="22"/>
          <w:lang w:val="en-GB"/>
        </w:rPr>
        <w:t>ENI CBC P</w:t>
      </w:r>
      <w:r w:rsidR="00A459F0" w:rsidRPr="00682784">
        <w:rPr>
          <w:rFonts w:cs="Times New Roman"/>
          <w:sz w:val="22"/>
          <w:szCs w:val="22"/>
          <w:lang w:val="en-GB"/>
        </w:rPr>
        <w:t xml:space="preserve">rogramming </w:t>
      </w:r>
      <w:r w:rsidR="00C503ED">
        <w:rPr>
          <w:rFonts w:cs="Times New Roman"/>
          <w:sz w:val="22"/>
          <w:szCs w:val="22"/>
          <w:lang w:val="en-GB"/>
        </w:rPr>
        <w:t>D</w:t>
      </w:r>
      <w:r w:rsidR="009E17B7" w:rsidRPr="00682784">
        <w:rPr>
          <w:rFonts w:cs="Times New Roman"/>
          <w:sz w:val="22"/>
          <w:szCs w:val="22"/>
          <w:lang w:val="en-GB"/>
        </w:rPr>
        <w:t>ocument</w:t>
      </w:r>
      <w:r w:rsidR="00147C31">
        <w:rPr>
          <w:rStyle w:val="FootnoteReference"/>
          <w:rFonts w:cs="Times New Roman"/>
          <w:sz w:val="22"/>
          <w:szCs w:val="22"/>
        </w:rPr>
        <w:footnoteReference w:id="3"/>
      </w:r>
      <w:r w:rsidR="009E17B7" w:rsidRPr="00682784">
        <w:rPr>
          <w:rFonts w:cs="Times New Roman"/>
          <w:sz w:val="22"/>
          <w:szCs w:val="22"/>
          <w:lang w:val="en-GB"/>
        </w:rPr>
        <w:t>.</w:t>
      </w:r>
    </w:p>
    <w:p w14:paraId="5A41F6C9" w14:textId="77777777" w:rsidR="004A5B97" w:rsidRPr="00682784" w:rsidRDefault="00790AF8" w:rsidP="00534C25">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 xml:space="preserve">While </w:t>
      </w:r>
      <w:r w:rsidR="004928F9">
        <w:rPr>
          <w:rFonts w:cs="Times New Roman"/>
          <w:sz w:val="22"/>
          <w:szCs w:val="22"/>
          <w:lang w:val="en-GB"/>
        </w:rPr>
        <w:t xml:space="preserve">the </w:t>
      </w:r>
      <w:r w:rsidR="006A0C39" w:rsidRPr="00682784">
        <w:rPr>
          <w:rFonts w:cs="Times New Roman"/>
          <w:sz w:val="22"/>
          <w:szCs w:val="22"/>
          <w:lang w:val="en-GB"/>
        </w:rPr>
        <w:t xml:space="preserve">overall </w:t>
      </w:r>
      <w:r w:rsidRPr="00682784">
        <w:rPr>
          <w:rFonts w:cs="Times New Roman"/>
          <w:sz w:val="22"/>
          <w:szCs w:val="22"/>
          <w:lang w:val="en-GB"/>
        </w:rPr>
        <w:t>strategic</w:t>
      </w:r>
      <w:r w:rsidR="00185AEC" w:rsidRPr="00682784">
        <w:rPr>
          <w:rFonts w:cs="Times New Roman"/>
          <w:sz w:val="22"/>
          <w:szCs w:val="22"/>
          <w:lang w:val="en-GB"/>
        </w:rPr>
        <w:t xml:space="preserve"> objectives</w:t>
      </w:r>
      <w:r w:rsidRPr="00682784">
        <w:rPr>
          <w:rFonts w:cs="Times New Roman"/>
          <w:sz w:val="22"/>
          <w:szCs w:val="22"/>
          <w:lang w:val="en-GB"/>
        </w:rPr>
        <w:t xml:space="preserve"> for the programme </w:t>
      </w:r>
      <w:r w:rsidR="004928F9">
        <w:rPr>
          <w:rFonts w:cs="Times New Roman"/>
          <w:sz w:val="22"/>
          <w:szCs w:val="22"/>
          <w:lang w:val="en-GB"/>
        </w:rPr>
        <w:t>were</w:t>
      </w:r>
      <w:r w:rsidRPr="00682784">
        <w:rPr>
          <w:rFonts w:cs="Times New Roman"/>
          <w:sz w:val="22"/>
          <w:szCs w:val="22"/>
          <w:lang w:val="en-GB"/>
        </w:rPr>
        <w:t xml:space="preserve"> defined</w:t>
      </w:r>
      <w:r w:rsidR="000469F9">
        <w:rPr>
          <w:rFonts w:cs="Times New Roman"/>
          <w:sz w:val="22"/>
          <w:szCs w:val="22"/>
          <w:lang w:val="en-GB"/>
        </w:rPr>
        <w:t xml:space="preserve"> at EU level</w:t>
      </w:r>
      <w:r w:rsidR="003D3B15">
        <w:rPr>
          <w:rFonts w:cs="Times New Roman"/>
          <w:sz w:val="22"/>
          <w:szCs w:val="22"/>
          <w:lang w:val="en-GB"/>
        </w:rPr>
        <w:t>,</w:t>
      </w:r>
      <w:r w:rsidR="00185AEC" w:rsidRPr="00682784">
        <w:rPr>
          <w:rFonts w:cs="Times New Roman"/>
          <w:sz w:val="22"/>
          <w:szCs w:val="22"/>
          <w:lang w:val="en-GB"/>
        </w:rPr>
        <w:t xml:space="preserve"> </w:t>
      </w:r>
      <w:r w:rsidR="000A3851" w:rsidRPr="00682784">
        <w:rPr>
          <w:rFonts w:cs="Times New Roman"/>
          <w:sz w:val="22"/>
          <w:szCs w:val="22"/>
          <w:lang w:val="en-GB"/>
        </w:rPr>
        <w:t>detailed programming</w:t>
      </w:r>
      <w:r w:rsidR="004928F9">
        <w:rPr>
          <w:rFonts w:cs="Times New Roman"/>
          <w:sz w:val="22"/>
          <w:szCs w:val="22"/>
          <w:lang w:val="en-GB"/>
        </w:rPr>
        <w:t>,</w:t>
      </w:r>
      <w:r w:rsidR="000A3851" w:rsidRPr="00682784">
        <w:rPr>
          <w:rFonts w:cs="Times New Roman"/>
          <w:sz w:val="22"/>
          <w:szCs w:val="22"/>
          <w:lang w:val="en-GB"/>
        </w:rPr>
        <w:t xml:space="preserve"> including </w:t>
      </w:r>
      <w:r w:rsidR="006063E2" w:rsidRPr="00682784">
        <w:rPr>
          <w:rFonts w:cs="Times New Roman"/>
          <w:sz w:val="22"/>
          <w:szCs w:val="22"/>
          <w:lang w:val="en-GB"/>
        </w:rPr>
        <w:t>the</w:t>
      </w:r>
      <w:r w:rsidR="0088699A" w:rsidRPr="00682784">
        <w:rPr>
          <w:rFonts w:cs="Times New Roman"/>
          <w:sz w:val="22"/>
          <w:szCs w:val="22"/>
          <w:lang w:val="en-GB"/>
        </w:rPr>
        <w:t xml:space="preserve"> </w:t>
      </w:r>
      <w:r w:rsidR="00E93346" w:rsidRPr="00682784">
        <w:rPr>
          <w:rFonts w:cs="Times New Roman"/>
          <w:sz w:val="22"/>
          <w:szCs w:val="22"/>
          <w:lang w:val="en-GB"/>
        </w:rPr>
        <w:t>priorities</w:t>
      </w:r>
      <w:r w:rsidR="006A0C39" w:rsidRPr="00682784">
        <w:rPr>
          <w:rFonts w:cs="Times New Roman"/>
          <w:sz w:val="22"/>
          <w:szCs w:val="22"/>
          <w:lang w:val="en-GB"/>
        </w:rPr>
        <w:t xml:space="preserve"> of the Black Sea Basin </w:t>
      </w:r>
      <w:r w:rsidR="008C564B" w:rsidRPr="00682784">
        <w:rPr>
          <w:rFonts w:cs="Times New Roman"/>
          <w:sz w:val="22"/>
          <w:szCs w:val="22"/>
          <w:lang w:val="en-GB"/>
        </w:rPr>
        <w:t xml:space="preserve">ENI CBC </w:t>
      </w:r>
      <w:r w:rsidR="006A0C39" w:rsidRPr="00682784">
        <w:rPr>
          <w:rFonts w:cs="Times New Roman"/>
          <w:sz w:val="22"/>
          <w:szCs w:val="22"/>
          <w:lang w:val="en-GB"/>
        </w:rPr>
        <w:t>programme</w:t>
      </w:r>
      <w:r w:rsidR="00E93346" w:rsidRPr="00682784">
        <w:rPr>
          <w:rFonts w:cs="Times New Roman"/>
          <w:sz w:val="22"/>
          <w:szCs w:val="22"/>
          <w:lang w:val="en-GB"/>
        </w:rPr>
        <w:t xml:space="preserve"> </w:t>
      </w:r>
      <w:r w:rsidR="005355CB" w:rsidRPr="00682784">
        <w:rPr>
          <w:rFonts w:cs="Times New Roman"/>
          <w:sz w:val="22"/>
          <w:szCs w:val="22"/>
          <w:lang w:val="en-GB"/>
        </w:rPr>
        <w:t>2014-2020</w:t>
      </w:r>
      <w:r w:rsidR="004928F9">
        <w:rPr>
          <w:rFonts w:cs="Times New Roman"/>
          <w:sz w:val="22"/>
          <w:szCs w:val="22"/>
          <w:lang w:val="en-GB"/>
        </w:rPr>
        <w:t>,</w:t>
      </w:r>
      <w:r w:rsidR="005355CB" w:rsidRPr="00682784">
        <w:rPr>
          <w:rFonts w:cs="Times New Roman"/>
          <w:sz w:val="22"/>
          <w:szCs w:val="22"/>
          <w:lang w:val="en-GB"/>
        </w:rPr>
        <w:t xml:space="preserve"> </w:t>
      </w:r>
      <w:r w:rsidR="00C503ED">
        <w:rPr>
          <w:rFonts w:cs="Times New Roman"/>
          <w:sz w:val="22"/>
          <w:szCs w:val="22"/>
          <w:lang w:val="en-GB"/>
        </w:rPr>
        <w:t>were</w:t>
      </w:r>
      <w:r w:rsidR="00B87056" w:rsidRPr="00682784">
        <w:rPr>
          <w:rFonts w:cs="Times New Roman"/>
          <w:sz w:val="22"/>
          <w:szCs w:val="22"/>
          <w:lang w:val="en-GB"/>
        </w:rPr>
        <w:t xml:space="preserve"> develop</w:t>
      </w:r>
      <w:r w:rsidR="006A0C39" w:rsidRPr="00682784">
        <w:rPr>
          <w:rFonts w:cs="Times New Roman"/>
          <w:sz w:val="22"/>
          <w:szCs w:val="22"/>
          <w:lang w:val="en-GB"/>
        </w:rPr>
        <w:t>ed</w:t>
      </w:r>
      <w:r w:rsidR="002D52BC" w:rsidRPr="00682784">
        <w:rPr>
          <w:rFonts w:cs="Times New Roman"/>
          <w:sz w:val="22"/>
          <w:szCs w:val="22"/>
          <w:lang w:val="en-GB"/>
        </w:rPr>
        <w:t xml:space="preserve"> by</w:t>
      </w:r>
      <w:r w:rsidR="00185AEC" w:rsidRPr="00682784">
        <w:rPr>
          <w:rFonts w:cs="Times New Roman"/>
          <w:sz w:val="22"/>
          <w:szCs w:val="22"/>
          <w:lang w:val="en-GB"/>
        </w:rPr>
        <w:t xml:space="preserve"> the programme partners</w:t>
      </w:r>
      <w:r w:rsidR="006A0C39" w:rsidRPr="00682784">
        <w:rPr>
          <w:rFonts w:cs="Times New Roman"/>
          <w:sz w:val="22"/>
          <w:szCs w:val="22"/>
          <w:lang w:val="en-GB"/>
        </w:rPr>
        <w:t xml:space="preserve"> themselves</w:t>
      </w:r>
      <w:r w:rsidR="00185AEC" w:rsidRPr="00682784">
        <w:rPr>
          <w:rFonts w:cs="Times New Roman"/>
          <w:sz w:val="22"/>
          <w:szCs w:val="22"/>
          <w:lang w:val="en-GB"/>
        </w:rPr>
        <w:t xml:space="preserve"> working together </w:t>
      </w:r>
      <w:proofErr w:type="spellStart"/>
      <w:r w:rsidR="006B1F34" w:rsidRPr="00682784">
        <w:rPr>
          <w:rFonts w:cs="Times New Roman"/>
          <w:sz w:val="22"/>
          <w:szCs w:val="22"/>
          <w:lang w:val="en-GB"/>
        </w:rPr>
        <w:t>accross</w:t>
      </w:r>
      <w:proofErr w:type="spellEnd"/>
      <w:r w:rsidR="006B1F34" w:rsidRPr="00682784">
        <w:rPr>
          <w:rFonts w:cs="Times New Roman"/>
          <w:sz w:val="22"/>
          <w:szCs w:val="22"/>
          <w:lang w:val="en-GB"/>
        </w:rPr>
        <w:t xml:space="preserve"> border</w:t>
      </w:r>
      <w:r w:rsidR="009D17FA" w:rsidRPr="00682784">
        <w:rPr>
          <w:rFonts w:cs="Times New Roman"/>
          <w:sz w:val="22"/>
          <w:szCs w:val="22"/>
          <w:lang w:val="en-GB"/>
        </w:rPr>
        <w:t>s</w:t>
      </w:r>
      <w:r w:rsidR="002D52BC" w:rsidRPr="00682784">
        <w:rPr>
          <w:rFonts w:cs="Times New Roman"/>
          <w:sz w:val="22"/>
          <w:szCs w:val="22"/>
          <w:lang w:val="en-GB"/>
        </w:rPr>
        <w:t>.</w:t>
      </w:r>
      <w:r w:rsidR="006B1F34" w:rsidRPr="00682784">
        <w:rPr>
          <w:rFonts w:cs="Times New Roman"/>
          <w:sz w:val="22"/>
          <w:szCs w:val="22"/>
          <w:lang w:val="en-GB"/>
        </w:rPr>
        <w:t xml:space="preserve"> </w:t>
      </w:r>
      <w:r w:rsidR="00EF2C66" w:rsidRPr="00682784">
        <w:rPr>
          <w:rFonts w:cs="Times New Roman"/>
          <w:sz w:val="22"/>
          <w:szCs w:val="22"/>
          <w:lang w:val="en-GB"/>
        </w:rPr>
        <w:t xml:space="preserve">To this </w:t>
      </w:r>
      <w:r w:rsidR="00C503ED">
        <w:rPr>
          <w:rFonts w:cs="Times New Roman"/>
          <w:sz w:val="22"/>
          <w:szCs w:val="22"/>
          <w:lang w:val="en-GB"/>
        </w:rPr>
        <w:t>end,</w:t>
      </w:r>
      <w:r w:rsidR="00C503ED" w:rsidRPr="00682784">
        <w:rPr>
          <w:rFonts w:cs="Times New Roman"/>
          <w:sz w:val="22"/>
          <w:szCs w:val="22"/>
          <w:lang w:val="en-GB"/>
        </w:rPr>
        <w:t xml:space="preserve"> </w:t>
      </w:r>
      <w:r w:rsidR="00EF2C66" w:rsidRPr="00682784">
        <w:rPr>
          <w:rFonts w:cs="Times New Roman"/>
          <w:sz w:val="22"/>
          <w:szCs w:val="22"/>
          <w:lang w:val="en-GB"/>
        </w:rPr>
        <w:t>a Joint Programmin</w:t>
      </w:r>
      <w:r w:rsidR="004928F9">
        <w:rPr>
          <w:rFonts w:cs="Times New Roman"/>
          <w:sz w:val="22"/>
          <w:szCs w:val="22"/>
          <w:lang w:val="en-GB"/>
        </w:rPr>
        <w:t>g Committee</w:t>
      </w:r>
      <w:r w:rsidR="00430870" w:rsidRPr="00682784">
        <w:rPr>
          <w:rFonts w:cs="Times New Roman"/>
          <w:sz w:val="22"/>
          <w:szCs w:val="22"/>
          <w:lang w:val="en-GB"/>
        </w:rPr>
        <w:t xml:space="preserve"> </w:t>
      </w:r>
      <w:r w:rsidR="00C503ED" w:rsidRPr="00682784">
        <w:rPr>
          <w:rFonts w:cs="Times New Roman"/>
          <w:sz w:val="22"/>
          <w:szCs w:val="22"/>
          <w:lang w:val="en-GB"/>
        </w:rPr>
        <w:t>comp</w:t>
      </w:r>
      <w:r w:rsidR="00C503ED">
        <w:rPr>
          <w:rFonts w:cs="Times New Roman"/>
          <w:sz w:val="22"/>
          <w:szCs w:val="22"/>
          <w:lang w:val="en-GB"/>
        </w:rPr>
        <w:t>ris</w:t>
      </w:r>
      <w:r w:rsidR="004928F9">
        <w:rPr>
          <w:rFonts w:cs="Times New Roman"/>
          <w:sz w:val="22"/>
          <w:szCs w:val="22"/>
          <w:lang w:val="en-GB"/>
        </w:rPr>
        <w:t>ed</w:t>
      </w:r>
      <w:r w:rsidR="00430870" w:rsidRPr="00682784">
        <w:rPr>
          <w:rFonts w:cs="Times New Roman"/>
          <w:sz w:val="22"/>
          <w:szCs w:val="22"/>
          <w:lang w:val="en-GB"/>
        </w:rPr>
        <w:t xml:space="preserve"> </w:t>
      </w:r>
      <w:r w:rsidR="004928F9">
        <w:rPr>
          <w:rFonts w:cs="Times New Roman"/>
          <w:sz w:val="22"/>
          <w:szCs w:val="22"/>
          <w:lang w:val="en-GB"/>
        </w:rPr>
        <w:t xml:space="preserve">of </w:t>
      </w:r>
      <w:r w:rsidR="00EF2C66" w:rsidRPr="00682784">
        <w:rPr>
          <w:rFonts w:cs="Times New Roman"/>
          <w:sz w:val="22"/>
          <w:szCs w:val="22"/>
          <w:lang w:val="en-GB"/>
        </w:rPr>
        <w:t xml:space="preserve">representatives from </w:t>
      </w:r>
      <w:r w:rsidR="003C3A6A">
        <w:rPr>
          <w:rFonts w:cs="Times New Roman"/>
          <w:sz w:val="22"/>
          <w:szCs w:val="22"/>
          <w:lang w:val="en-GB"/>
        </w:rPr>
        <w:t xml:space="preserve">actively </w:t>
      </w:r>
      <w:r w:rsidR="00EF2C66" w:rsidRPr="00682784">
        <w:rPr>
          <w:rFonts w:cs="Times New Roman"/>
          <w:sz w:val="22"/>
          <w:szCs w:val="22"/>
          <w:lang w:val="en-GB"/>
        </w:rPr>
        <w:t>participating countries</w:t>
      </w:r>
      <w:r w:rsidR="00430870" w:rsidRPr="00682784">
        <w:rPr>
          <w:rFonts w:cs="Times New Roman"/>
          <w:sz w:val="22"/>
          <w:szCs w:val="22"/>
          <w:lang w:val="en-GB"/>
        </w:rPr>
        <w:t xml:space="preserve"> was established</w:t>
      </w:r>
      <w:r w:rsidR="00EF2C66" w:rsidRPr="00682784">
        <w:rPr>
          <w:rFonts w:cs="Times New Roman"/>
          <w:sz w:val="22"/>
          <w:szCs w:val="22"/>
          <w:lang w:val="en-GB"/>
        </w:rPr>
        <w:t xml:space="preserve"> and met seven times between </w:t>
      </w:r>
      <w:r w:rsidR="00430870" w:rsidRPr="00682784">
        <w:rPr>
          <w:rFonts w:cs="Times New Roman"/>
          <w:sz w:val="22"/>
          <w:szCs w:val="22"/>
          <w:lang w:val="en-GB"/>
        </w:rPr>
        <w:t>April 2013 and February 2015.</w:t>
      </w:r>
      <w:r w:rsidR="004A5B97" w:rsidRPr="00682784">
        <w:rPr>
          <w:rFonts w:cs="Times New Roman"/>
          <w:sz w:val="22"/>
          <w:szCs w:val="22"/>
          <w:lang w:val="en-GB"/>
        </w:rPr>
        <w:t xml:space="preserve"> </w:t>
      </w:r>
    </w:p>
    <w:p w14:paraId="1C263E6A" w14:textId="77777777" w:rsidR="00D232CC" w:rsidRDefault="004A5B97" w:rsidP="00534C25">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 xml:space="preserve">Nine countries </w:t>
      </w:r>
      <w:r w:rsidR="00C503ED">
        <w:rPr>
          <w:rFonts w:cs="Times New Roman"/>
          <w:sz w:val="22"/>
          <w:szCs w:val="22"/>
          <w:lang w:val="en-GB"/>
        </w:rPr>
        <w:t xml:space="preserve">actively </w:t>
      </w:r>
      <w:r w:rsidRPr="00682784">
        <w:rPr>
          <w:rFonts w:cs="Times New Roman"/>
          <w:sz w:val="22"/>
          <w:szCs w:val="22"/>
          <w:lang w:val="en-GB"/>
        </w:rPr>
        <w:t>participated</w:t>
      </w:r>
      <w:r w:rsidR="00A83FA5">
        <w:rPr>
          <w:rFonts w:cs="Times New Roman"/>
          <w:sz w:val="22"/>
          <w:szCs w:val="22"/>
          <w:lang w:val="en-GB"/>
        </w:rPr>
        <w:t xml:space="preserve"> </w:t>
      </w:r>
      <w:r w:rsidRPr="00682784">
        <w:rPr>
          <w:rFonts w:cs="Times New Roman"/>
          <w:sz w:val="22"/>
          <w:szCs w:val="22"/>
          <w:lang w:val="en-GB"/>
        </w:rPr>
        <w:t xml:space="preserve">in the programming </w:t>
      </w:r>
      <w:r w:rsidR="00A83FA5">
        <w:rPr>
          <w:rFonts w:cs="Times New Roman"/>
          <w:sz w:val="22"/>
          <w:szCs w:val="22"/>
          <w:lang w:val="en-GB"/>
        </w:rPr>
        <w:t>process</w:t>
      </w:r>
      <w:r w:rsidR="00CE3B9E">
        <w:rPr>
          <w:rFonts w:cs="Times New Roman"/>
          <w:sz w:val="22"/>
          <w:szCs w:val="22"/>
          <w:lang w:val="en-GB"/>
        </w:rPr>
        <w:t>,</w:t>
      </w:r>
      <w:r w:rsidRPr="00682784">
        <w:rPr>
          <w:rFonts w:cs="Times New Roman"/>
          <w:sz w:val="22"/>
          <w:szCs w:val="22"/>
          <w:lang w:val="en-GB"/>
        </w:rPr>
        <w:t xml:space="preserve"> </w:t>
      </w:r>
      <w:r w:rsidR="00B97173">
        <w:rPr>
          <w:rFonts w:cs="Times New Roman"/>
          <w:sz w:val="22"/>
          <w:szCs w:val="22"/>
          <w:lang w:val="en-GB"/>
        </w:rPr>
        <w:t xml:space="preserve">Republic of </w:t>
      </w:r>
      <w:r w:rsidRPr="00682784">
        <w:rPr>
          <w:rFonts w:cs="Times New Roman"/>
          <w:sz w:val="22"/>
          <w:szCs w:val="22"/>
          <w:lang w:val="en-GB"/>
        </w:rPr>
        <w:t>Armenia, Azerbaijan, Bulgaria, Georgia, Greece, Republic of Moldov</w:t>
      </w:r>
      <w:r w:rsidR="00BB17F6" w:rsidRPr="00682784">
        <w:rPr>
          <w:rFonts w:cs="Times New Roman"/>
          <w:sz w:val="22"/>
          <w:szCs w:val="22"/>
          <w:lang w:val="en-GB"/>
        </w:rPr>
        <w:t>a, Romania, Turkey</w:t>
      </w:r>
      <w:r w:rsidRPr="00682784">
        <w:rPr>
          <w:rFonts w:cs="Times New Roman"/>
          <w:sz w:val="22"/>
          <w:szCs w:val="22"/>
          <w:lang w:val="en-GB"/>
        </w:rPr>
        <w:t xml:space="preserve"> and Ukraine. </w:t>
      </w:r>
      <w:r w:rsidR="00F420B4">
        <w:rPr>
          <w:rFonts w:cs="Times New Roman"/>
          <w:sz w:val="22"/>
          <w:szCs w:val="22"/>
          <w:lang w:val="en-GB"/>
        </w:rPr>
        <w:t xml:space="preserve">However, on 7 May 2015 Azerbaijan withdrew from the </w:t>
      </w:r>
      <w:r w:rsidR="00D232CC">
        <w:rPr>
          <w:rFonts w:cs="Times New Roman"/>
          <w:sz w:val="22"/>
          <w:szCs w:val="22"/>
          <w:lang w:val="en-GB"/>
        </w:rPr>
        <w:t xml:space="preserve">negotiation on the development of the programme. </w:t>
      </w:r>
    </w:p>
    <w:p w14:paraId="2FA56D0A" w14:textId="02351B17" w:rsidR="004A5B97" w:rsidRPr="00682784" w:rsidRDefault="00CE3B9E" w:rsidP="00534C25">
      <w:pPr>
        <w:widowControl w:val="0"/>
        <w:autoSpaceDE w:val="0"/>
        <w:autoSpaceDN w:val="0"/>
        <w:adjustRightInd w:val="0"/>
        <w:spacing w:before="120" w:after="0" w:line="252" w:lineRule="auto"/>
        <w:jc w:val="both"/>
        <w:rPr>
          <w:rFonts w:cs="Times New Roman"/>
          <w:sz w:val="22"/>
          <w:szCs w:val="22"/>
          <w:lang w:val="en-GB"/>
        </w:rPr>
      </w:pPr>
      <w:r>
        <w:rPr>
          <w:rFonts w:cs="Times New Roman"/>
          <w:sz w:val="22"/>
          <w:szCs w:val="22"/>
          <w:lang w:val="en-GB"/>
        </w:rPr>
        <w:t xml:space="preserve">The development of the </w:t>
      </w:r>
      <w:r w:rsidR="004A5B97" w:rsidRPr="00682784">
        <w:rPr>
          <w:rFonts w:cs="Times New Roman"/>
          <w:sz w:val="22"/>
          <w:szCs w:val="22"/>
          <w:lang w:val="en-GB"/>
        </w:rPr>
        <w:t>B</w:t>
      </w:r>
      <w:r w:rsidR="00F822E2" w:rsidRPr="00682784">
        <w:rPr>
          <w:rFonts w:cs="Times New Roman"/>
          <w:sz w:val="22"/>
          <w:szCs w:val="22"/>
          <w:lang w:val="en-GB"/>
        </w:rPr>
        <w:t xml:space="preserve">lack Sea Basin </w:t>
      </w:r>
      <w:r w:rsidRPr="00682784">
        <w:rPr>
          <w:rFonts w:cs="Times New Roman"/>
          <w:sz w:val="22"/>
          <w:szCs w:val="22"/>
          <w:lang w:val="en-GB"/>
        </w:rPr>
        <w:t xml:space="preserve">ENI CBC </w:t>
      </w:r>
      <w:r w:rsidR="00F822E2" w:rsidRPr="00682784">
        <w:rPr>
          <w:rFonts w:cs="Times New Roman"/>
          <w:sz w:val="22"/>
          <w:szCs w:val="22"/>
          <w:lang w:val="en-GB"/>
        </w:rPr>
        <w:t>Programme 2014-20</w:t>
      </w:r>
      <w:r w:rsidR="004A5B97" w:rsidRPr="00682784">
        <w:rPr>
          <w:rFonts w:cs="Times New Roman"/>
          <w:sz w:val="22"/>
          <w:szCs w:val="22"/>
          <w:lang w:val="en-GB"/>
        </w:rPr>
        <w:t>20</w:t>
      </w:r>
      <w:r>
        <w:rPr>
          <w:rFonts w:cs="Times New Roman"/>
          <w:sz w:val="22"/>
          <w:szCs w:val="22"/>
          <w:lang w:val="en-GB"/>
        </w:rPr>
        <w:t xml:space="preserve"> was facilitated by</w:t>
      </w:r>
      <w:r w:rsidR="004A5B97" w:rsidRPr="00682784">
        <w:rPr>
          <w:rFonts w:cs="Times New Roman"/>
          <w:sz w:val="22"/>
          <w:szCs w:val="22"/>
          <w:lang w:val="en-GB"/>
        </w:rPr>
        <w:t xml:space="preserve"> the Ministry of Regional Development and Public Administration of Romania</w:t>
      </w:r>
      <w:r w:rsidR="00D94F42">
        <w:rPr>
          <w:rFonts w:cs="Times New Roman"/>
          <w:sz w:val="22"/>
          <w:szCs w:val="22"/>
          <w:lang w:val="en-GB"/>
        </w:rPr>
        <w:t>,</w:t>
      </w:r>
      <w:r w:rsidR="004A5B97" w:rsidRPr="00682784">
        <w:rPr>
          <w:rFonts w:cs="Times New Roman"/>
          <w:sz w:val="22"/>
          <w:szCs w:val="22"/>
          <w:lang w:val="en-GB"/>
        </w:rPr>
        <w:t xml:space="preserve"> </w:t>
      </w:r>
      <w:r>
        <w:rPr>
          <w:rFonts w:cs="Times New Roman"/>
          <w:sz w:val="22"/>
          <w:szCs w:val="22"/>
          <w:lang w:val="en-GB"/>
        </w:rPr>
        <w:t xml:space="preserve">which </w:t>
      </w:r>
      <w:r w:rsidR="004A5B97" w:rsidRPr="00682784">
        <w:rPr>
          <w:rFonts w:cs="Times New Roman"/>
          <w:sz w:val="22"/>
          <w:szCs w:val="22"/>
          <w:lang w:val="en-GB"/>
        </w:rPr>
        <w:t xml:space="preserve">was </w:t>
      </w:r>
      <w:r w:rsidR="00E45A6B">
        <w:rPr>
          <w:rFonts w:cs="Times New Roman"/>
          <w:sz w:val="22"/>
          <w:szCs w:val="22"/>
          <w:lang w:val="en-GB"/>
        </w:rPr>
        <w:t xml:space="preserve">appointed </w:t>
      </w:r>
      <w:r w:rsidR="004A5B97" w:rsidRPr="00682784">
        <w:rPr>
          <w:rFonts w:cs="Times New Roman"/>
          <w:sz w:val="22"/>
          <w:szCs w:val="22"/>
          <w:lang w:val="en-GB"/>
        </w:rPr>
        <w:t>as the Managing Authority</w:t>
      </w:r>
      <w:r>
        <w:rPr>
          <w:rFonts w:cs="Times New Roman"/>
          <w:sz w:val="22"/>
          <w:szCs w:val="22"/>
          <w:lang w:val="en-GB"/>
        </w:rPr>
        <w:t xml:space="preserve"> allowing for</w:t>
      </w:r>
      <w:r w:rsidR="00BB17F6" w:rsidRPr="00682784">
        <w:rPr>
          <w:rFonts w:cs="Times New Roman"/>
          <w:sz w:val="22"/>
          <w:szCs w:val="22"/>
          <w:lang w:val="en-GB"/>
        </w:rPr>
        <w:t xml:space="preserve"> continuity with its </w:t>
      </w:r>
      <w:r>
        <w:rPr>
          <w:rFonts w:cs="Times New Roman"/>
          <w:sz w:val="22"/>
          <w:szCs w:val="22"/>
          <w:lang w:val="en-GB"/>
        </w:rPr>
        <w:t>role</w:t>
      </w:r>
      <w:r w:rsidRPr="00682784">
        <w:rPr>
          <w:rFonts w:cs="Times New Roman"/>
          <w:sz w:val="22"/>
          <w:szCs w:val="22"/>
          <w:lang w:val="en-GB"/>
        </w:rPr>
        <w:t xml:space="preserve"> </w:t>
      </w:r>
      <w:r w:rsidR="00A83FA5">
        <w:rPr>
          <w:rFonts w:cs="Times New Roman"/>
          <w:sz w:val="22"/>
          <w:szCs w:val="22"/>
          <w:lang w:val="en-GB"/>
        </w:rPr>
        <w:t>as</w:t>
      </w:r>
      <w:r w:rsidR="00BB17F6" w:rsidRPr="00682784">
        <w:rPr>
          <w:rFonts w:cs="Times New Roman"/>
          <w:sz w:val="22"/>
          <w:szCs w:val="22"/>
          <w:lang w:val="en-GB"/>
        </w:rPr>
        <w:t xml:space="preserve"> Joint Managing Authorit</w:t>
      </w:r>
      <w:r w:rsidR="00F822E2" w:rsidRPr="00682784">
        <w:rPr>
          <w:rFonts w:cs="Times New Roman"/>
          <w:sz w:val="22"/>
          <w:szCs w:val="22"/>
          <w:lang w:val="en-GB"/>
        </w:rPr>
        <w:t xml:space="preserve">y </w:t>
      </w:r>
      <w:r w:rsidR="00A83FA5">
        <w:rPr>
          <w:rFonts w:cs="Times New Roman"/>
          <w:sz w:val="22"/>
          <w:szCs w:val="22"/>
          <w:lang w:val="en-GB"/>
        </w:rPr>
        <w:t xml:space="preserve">for </w:t>
      </w:r>
      <w:r w:rsidR="00F822E2" w:rsidRPr="00682784">
        <w:rPr>
          <w:rFonts w:cs="Times New Roman"/>
          <w:sz w:val="22"/>
          <w:szCs w:val="22"/>
          <w:lang w:val="en-GB"/>
        </w:rPr>
        <w:t xml:space="preserve">the Black Sea Basin </w:t>
      </w:r>
      <w:r w:rsidR="00B41E7C">
        <w:rPr>
          <w:rFonts w:cs="Times New Roman"/>
          <w:sz w:val="22"/>
          <w:szCs w:val="22"/>
          <w:lang w:val="en-GB"/>
        </w:rPr>
        <w:t xml:space="preserve">ENPI CBC </w:t>
      </w:r>
      <w:r w:rsidR="00956AE9">
        <w:rPr>
          <w:rFonts w:cs="Times New Roman"/>
          <w:sz w:val="22"/>
          <w:szCs w:val="22"/>
          <w:lang w:val="en-GB"/>
        </w:rPr>
        <w:t xml:space="preserve">programme </w:t>
      </w:r>
      <w:r w:rsidR="00F822E2" w:rsidRPr="00682784">
        <w:rPr>
          <w:rFonts w:cs="Times New Roman"/>
          <w:sz w:val="22"/>
          <w:szCs w:val="22"/>
          <w:lang w:val="en-GB"/>
        </w:rPr>
        <w:t>2007-20</w:t>
      </w:r>
      <w:r w:rsidR="00BB17F6" w:rsidRPr="00682784">
        <w:rPr>
          <w:rFonts w:cs="Times New Roman"/>
          <w:sz w:val="22"/>
          <w:szCs w:val="22"/>
          <w:lang w:val="en-GB"/>
        </w:rPr>
        <w:t>13.</w:t>
      </w:r>
    </w:p>
    <w:p w14:paraId="7854E14F" w14:textId="77777777" w:rsidR="00F93DA3" w:rsidRPr="00682784" w:rsidRDefault="008B3050" w:rsidP="00534C25">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 xml:space="preserve">The Black Sea Basin </w:t>
      </w:r>
      <w:r w:rsidR="00CE3B9E">
        <w:rPr>
          <w:rFonts w:cs="Times New Roman"/>
          <w:sz w:val="22"/>
          <w:szCs w:val="22"/>
          <w:lang w:val="en-GB"/>
        </w:rPr>
        <w:t xml:space="preserve">ENI CBC </w:t>
      </w:r>
      <w:r w:rsidRPr="00682784">
        <w:rPr>
          <w:rFonts w:cs="Times New Roman"/>
          <w:sz w:val="22"/>
          <w:szCs w:val="22"/>
          <w:lang w:val="en-GB"/>
        </w:rPr>
        <w:t>programme 2014-</w:t>
      </w:r>
      <w:r w:rsidR="00F822E2" w:rsidRPr="00682784">
        <w:rPr>
          <w:rFonts w:cs="Times New Roman"/>
          <w:sz w:val="22"/>
          <w:szCs w:val="22"/>
          <w:lang w:val="en-GB"/>
        </w:rPr>
        <w:t>20</w:t>
      </w:r>
      <w:r w:rsidRPr="00682784">
        <w:rPr>
          <w:rFonts w:cs="Times New Roman"/>
          <w:sz w:val="22"/>
          <w:szCs w:val="22"/>
          <w:lang w:val="en-GB"/>
        </w:rPr>
        <w:t>20 builds upon the previous cooperation framework</w:t>
      </w:r>
      <w:r w:rsidR="002308F0" w:rsidRPr="00682784">
        <w:rPr>
          <w:rFonts w:cs="Times New Roman"/>
          <w:sz w:val="22"/>
          <w:szCs w:val="22"/>
          <w:lang w:val="en-GB"/>
        </w:rPr>
        <w:t>,</w:t>
      </w:r>
      <w:r w:rsidRPr="00682784">
        <w:rPr>
          <w:rFonts w:cs="Times New Roman"/>
          <w:sz w:val="22"/>
          <w:szCs w:val="22"/>
          <w:lang w:val="en-GB"/>
        </w:rPr>
        <w:t xml:space="preserve"> </w:t>
      </w:r>
      <w:r w:rsidR="00A83FA5">
        <w:rPr>
          <w:rFonts w:cs="Times New Roman"/>
          <w:sz w:val="22"/>
          <w:szCs w:val="22"/>
          <w:lang w:val="en-GB"/>
        </w:rPr>
        <w:t xml:space="preserve">the </w:t>
      </w:r>
      <w:r w:rsidRPr="00682784">
        <w:rPr>
          <w:rFonts w:cs="Times New Roman"/>
          <w:sz w:val="22"/>
          <w:szCs w:val="22"/>
          <w:lang w:val="en-GB"/>
        </w:rPr>
        <w:t xml:space="preserve">Black Sea Basin </w:t>
      </w:r>
      <w:r w:rsidR="0098752F" w:rsidRPr="00682784">
        <w:rPr>
          <w:rFonts w:cs="Times New Roman"/>
          <w:sz w:val="22"/>
          <w:szCs w:val="22"/>
          <w:lang w:val="en-GB"/>
        </w:rPr>
        <w:t xml:space="preserve">ENPI CBC </w:t>
      </w:r>
      <w:r w:rsidR="00956AE9">
        <w:rPr>
          <w:rFonts w:cs="Times New Roman"/>
          <w:sz w:val="22"/>
          <w:szCs w:val="22"/>
          <w:lang w:val="en-GB"/>
        </w:rPr>
        <w:t xml:space="preserve">programme </w:t>
      </w:r>
      <w:r w:rsidR="00B41E7C" w:rsidRPr="00682784">
        <w:rPr>
          <w:rFonts w:cs="Times New Roman"/>
          <w:sz w:val="22"/>
          <w:szCs w:val="22"/>
          <w:lang w:val="en-GB"/>
        </w:rPr>
        <w:t>2007-2013</w:t>
      </w:r>
      <w:r w:rsidR="00B41E7C">
        <w:rPr>
          <w:rFonts w:cs="Times New Roman"/>
          <w:sz w:val="22"/>
          <w:szCs w:val="22"/>
          <w:lang w:val="en-GB"/>
        </w:rPr>
        <w:t xml:space="preserve"> </w:t>
      </w:r>
      <w:r w:rsidR="00CE3B9E">
        <w:rPr>
          <w:rFonts w:cs="Times New Roman"/>
          <w:sz w:val="22"/>
          <w:szCs w:val="22"/>
          <w:lang w:val="en-GB"/>
        </w:rPr>
        <w:t>programme</w:t>
      </w:r>
      <w:r w:rsidR="00607C7B" w:rsidRPr="00682784">
        <w:rPr>
          <w:rFonts w:cs="Times New Roman"/>
          <w:sz w:val="22"/>
          <w:szCs w:val="22"/>
          <w:lang w:val="en-GB"/>
        </w:rPr>
        <w:t xml:space="preserve">, </w:t>
      </w:r>
      <w:r w:rsidR="00CE3B9E">
        <w:rPr>
          <w:rFonts w:cs="Times New Roman"/>
          <w:sz w:val="22"/>
          <w:szCs w:val="22"/>
          <w:lang w:val="en-GB"/>
        </w:rPr>
        <w:t>under which</w:t>
      </w:r>
      <w:r w:rsidR="00607C7B" w:rsidRPr="00682784">
        <w:rPr>
          <w:rFonts w:cs="Times New Roman"/>
          <w:sz w:val="22"/>
          <w:szCs w:val="22"/>
          <w:lang w:val="en-GB"/>
        </w:rPr>
        <w:t xml:space="preserve"> </w:t>
      </w:r>
      <w:r w:rsidR="00B41E7C">
        <w:rPr>
          <w:rFonts w:cs="Times New Roman"/>
          <w:sz w:val="22"/>
          <w:szCs w:val="22"/>
          <w:lang w:val="en-GB"/>
        </w:rPr>
        <w:t>62</w:t>
      </w:r>
      <w:r w:rsidR="00B41E7C" w:rsidRPr="00682784">
        <w:rPr>
          <w:rFonts w:cs="Times New Roman"/>
          <w:sz w:val="22"/>
          <w:szCs w:val="22"/>
          <w:lang w:val="en-GB"/>
        </w:rPr>
        <w:t xml:space="preserve"> </w:t>
      </w:r>
      <w:r w:rsidR="00607C7B" w:rsidRPr="00682784">
        <w:rPr>
          <w:rFonts w:cs="Times New Roman"/>
          <w:sz w:val="22"/>
          <w:szCs w:val="22"/>
          <w:lang w:val="en-GB"/>
        </w:rPr>
        <w:t xml:space="preserve">projects </w:t>
      </w:r>
      <w:r w:rsidR="00CE3B9E">
        <w:rPr>
          <w:rFonts w:cs="Times New Roman"/>
          <w:sz w:val="22"/>
          <w:szCs w:val="22"/>
          <w:lang w:val="en-GB"/>
        </w:rPr>
        <w:t>were awarded and implemented</w:t>
      </w:r>
      <w:r w:rsidR="00CE3B9E" w:rsidRPr="00682784">
        <w:rPr>
          <w:rFonts w:cs="Times New Roman"/>
          <w:sz w:val="22"/>
          <w:szCs w:val="22"/>
          <w:lang w:val="en-GB"/>
        </w:rPr>
        <w:t xml:space="preserve"> </w:t>
      </w:r>
      <w:r w:rsidR="00607C7B" w:rsidRPr="00682784">
        <w:rPr>
          <w:rFonts w:cs="Times New Roman"/>
          <w:sz w:val="22"/>
          <w:szCs w:val="22"/>
          <w:lang w:val="en-GB"/>
        </w:rPr>
        <w:t>in 8 countries surrounding the Black Sea</w:t>
      </w:r>
      <w:r w:rsidR="00E45A6B">
        <w:rPr>
          <w:rFonts w:cs="Times New Roman"/>
          <w:sz w:val="22"/>
          <w:szCs w:val="22"/>
          <w:lang w:val="en-GB"/>
        </w:rPr>
        <w:t xml:space="preserve"> Basin</w:t>
      </w:r>
      <w:r w:rsidRPr="00682784">
        <w:rPr>
          <w:rFonts w:cs="Times New Roman"/>
          <w:sz w:val="22"/>
          <w:szCs w:val="22"/>
          <w:lang w:val="en-GB"/>
        </w:rPr>
        <w:t>.</w:t>
      </w:r>
      <w:r w:rsidR="00401D32" w:rsidRPr="00682784">
        <w:rPr>
          <w:rFonts w:cs="Times New Roman"/>
          <w:sz w:val="22"/>
          <w:szCs w:val="22"/>
          <w:lang w:val="en-GB"/>
        </w:rPr>
        <w:t xml:space="preserve"> Relevant</w:t>
      </w:r>
      <w:r w:rsidR="003017C4" w:rsidRPr="00682784">
        <w:rPr>
          <w:rFonts w:cs="Times New Roman"/>
          <w:sz w:val="22"/>
          <w:szCs w:val="22"/>
          <w:lang w:val="en-GB"/>
        </w:rPr>
        <w:t xml:space="preserve"> lessons</w:t>
      </w:r>
      <w:r w:rsidR="002308F0" w:rsidRPr="00682784">
        <w:rPr>
          <w:rFonts w:cs="Times New Roman"/>
          <w:sz w:val="22"/>
          <w:szCs w:val="22"/>
          <w:lang w:val="en-GB"/>
        </w:rPr>
        <w:t xml:space="preserve"> </w:t>
      </w:r>
      <w:r w:rsidR="00174B9B">
        <w:rPr>
          <w:rFonts w:cs="Times New Roman"/>
          <w:sz w:val="22"/>
          <w:szCs w:val="22"/>
          <w:lang w:val="en-GB"/>
        </w:rPr>
        <w:t xml:space="preserve">learned </w:t>
      </w:r>
      <w:r w:rsidR="002308F0" w:rsidRPr="00682784">
        <w:rPr>
          <w:rFonts w:cs="Times New Roman"/>
          <w:sz w:val="22"/>
          <w:szCs w:val="22"/>
          <w:lang w:val="en-GB"/>
        </w:rPr>
        <w:t xml:space="preserve">from this </w:t>
      </w:r>
      <w:r w:rsidR="00174B9B">
        <w:rPr>
          <w:rFonts w:cs="Times New Roman"/>
          <w:sz w:val="22"/>
          <w:szCs w:val="22"/>
          <w:lang w:val="en-GB"/>
        </w:rPr>
        <w:t xml:space="preserve">past </w:t>
      </w:r>
      <w:r w:rsidR="003017C4" w:rsidRPr="00682784">
        <w:rPr>
          <w:rFonts w:cs="Times New Roman"/>
          <w:sz w:val="22"/>
          <w:szCs w:val="22"/>
          <w:lang w:val="en-GB"/>
        </w:rPr>
        <w:t xml:space="preserve">experience </w:t>
      </w:r>
      <w:r w:rsidR="00174B9B">
        <w:rPr>
          <w:rFonts w:cs="Times New Roman"/>
          <w:sz w:val="22"/>
          <w:szCs w:val="22"/>
          <w:lang w:val="en-GB"/>
        </w:rPr>
        <w:t>have been</w:t>
      </w:r>
      <w:r w:rsidR="00174B9B" w:rsidRPr="00682784">
        <w:rPr>
          <w:rFonts w:cs="Times New Roman"/>
          <w:sz w:val="22"/>
          <w:szCs w:val="22"/>
          <w:lang w:val="en-GB"/>
        </w:rPr>
        <w:t xml:space="preserve"> </w:t>
      </w:r>
      <w:r w:rsidR="002F5416" w:rsidRPr="00682784">
        <w:rPr>
          <w:rFonts w:cs="Times New Roman"/>
          <w:sz w:val="22"/>
          <w:szCs w:val="22"/>
          <w:lang w:val="en-GB"/>
        </w:rPr>
        <w:t xml:space="preserve">integrated in the </w:t>
      </w:r>
      <w:r w:rsidR="00191358" w:rsidRPr="00682784">
        <w:rPr>
          <w:rFonts w:cs="Times New Roman"/>
          <w:sz w:val="22"/>
          <w:szCs w:val="22"/>
          <w:lang w:val="en-GB"/>
        </w:rPr>
        <w:t xml:space="preserve">Black Sea Basin </w:t>
      </w:r>
      <w:r w:rsidR="00CE3B9E">
        <w:rPr>
          <w:rFonts w:cs="Times New Roman"/>
          <w:sz w:val="22"/>
          <w:szCs w:val="22"/>
          <w:lang w:val="en-GB"/>
        </w:rPr>
        <w:t xml:space="preserve">ENI CBC 2014-2020 </w:t>
      </w:r>
      <w:r w:rsidR="00191358" w:rsidRPr="00682784">
        <w:rPr>
          <w:rFonts w:cs="Times New Roman"/>
          <w:sz w:val="22"/>
          <w:szCs w:val="22"/>
          <w:lang w:val="en-GB"/>
        </w:rPr>
        <w:t>programme</w:t>
      </w:r>
      <w:r w:rsidR="00525545" w:rsidRPr="00682784">
        <w:rPr>
          <w:rFonts w:cs="Times New Roman"/>
          <w:sz w:val="22"/>
          <w:szCs w:val="22"/>
          <w:lang w:val="en-GB"/>
        </w:rPr>
        <w:t xml:space="preserve"> strategy</w:t>
      </w:r>
      <w:r w:rsidR="004361A3" w:rsidRPr="00682784">
        <w:rPr>
          <w:rFonts w:cs="Times New Roman"/>
          <w:sz w:val="22"/>
          <w:szCs w:val="22"/>
          <w:lang w:val="en-GB"/>
        </w:rPr>
        <w:t xml:space="preserve"> </w:t>
      </w:r>
      <w:r w:rsidR="00CE3B9E">
        <w:rPr>
          <w:rFonts w:cs="Times New Roman"/>
          <w:sz w:val="22"/>
          <w:szCs w:val="22"/>
          <w:lang w:val="en-GB"/>
        </w:rPr>
        <w:t>along with</w:t>
      </w:r>
      <w:r w:rsidR="00401D32" w:rsidRPr="00682784">
        <w:rPr>
          <w:rFonts w:cs="Times New Roman"/>
          <w:sz w:val="22"/>
          <w:szCs w:val="22"/>
          <w:lang w:val="en-GB"/>
        </w:rPr>
        <w:t xml:space="preserve"> a mapping of projects awarded and a survey on current priorities and future needs carried out in 2013.</w:t>
      </w:r>
    </w:p>
    <w:p w14:paraId="6B549B3E" w14:textId="77777777" w:rsidR="00534C25" w:rsidRPr="00682784" w:rsidRDefault="00A83FA5" w:rsidP="00CD7658">
      <w:pPr>
        <w:widowControl w:val="0"/>
        <w:autoSpaceDE w:val="0"/>
        <w:autoSpaceDN w:val="0"/>
        <w:adjustRightInd w:val="0"/>
        <w:spacing w:before="120" w:after="0" w:line="252" w:lineRule="auto"/>
        <w:jc w:val="both"/>
        <w:rPr>
          <w:rFonts w:cs="Times New Roman"/>
          <w:sz w:val="22"/>
          <w:szCs w:val="22"/>
          <w:lang w:val="en-GB"/>
        </w:rPr>
      </w:pPr>
      <w:r>
        <w:rPr>
          <w:rFonts w:cs="Times New Roman"/>
          <w:sz w:val="22"/>
          <w:szCs w:val="22"/>
          <w:lang w:val="en-GB"/>
        </w:rPr>
        <w:t>In addition to the pa</w:t>
      </w:r>
      <w:r w:rsidR="008D4573">
        <w:rPr>
          <w:rFonts w:cs="Times New Roman"/>
          <w:sz w:val="22"/>
          <w:szCs w:val="22"/>
          <w:lang w:val="en-GB"/>
        </w:rPr>
        <w:t>s</w:t>
      </w:r>
      <w:r>
        <w:rPr>
          <w:rFonts w:cs="Times New Roman"/>
          <w:sz w:val="22"/>
          <w:szCs w:val="22"/>
          <w:lang w:val="en-GB"/>
        </w:rPr>
        <w:t>t experience analysis, t</w:t>
      </w:r>
      <w:r w:rsidR="00CD7658" w:rsidRPr="00682784">
        <w:rPr>
          <w:rFonts w:cs="Times New Roman"/>
          <w:sz w:val="22"/>
          <w:szCs w:val="22"/>
          <w:lang w:val="en-GB"/>
        </w:rPr>
        <w:t xml:space="preserve">he methodology to </w:t>
      </w:r>
      <w:r w:rsidR="00517D94" w:rsidRPr="00682784">
        <w:rPr>
          <w:rFonts w:cs="Times New Roman"/>
          <w:sz w:val="22"/>
          <w:szCs w:val="22"/>
          <w:lang w:val="en-GB"/>
        </w:rPr>
        <w:t>identify the</w:t>
      </w:r>
      <w:r w:rsidR="00CD7658" w:rsidRPr="00682784">
        <w:rPr>
          <w:rFonts w:cs="Times New Roman"/>
          <w:sz w:val="22"/>
          <w:szCs w:val="22"/>
          <w:lang w:val="en-GB"/>
        </w:rPr>
        <w:t xml:space="preserve"> most</w:t>
      </w:r>
      <w:r w:rsidR="00517D94" w:rsidRPr="00682784">
        <w:rPr>
          <w:rFonts w:cs="Times New Roman"/>
          <w:sz w:val="22"/>
          <w:szCs w:val="22"/>
          <w:lang w:val="en-GB"/>
        </w:rPr>
        <w:t xml:space="preserve"> relevant strategy for the Black Sea Basin ENI CBC </w:t>
      </w:r>
      <w:r w:rsidR="00B7616F" w:rsidRPr="00682784">
        <w:rPr>
          <w:rFonts w:cs="Times New Roman"/>
          <w:sz w:val="22"/>
          <w:szCs w:val="22"/>
          <w:lang w:val="en-GB"/>
        </w:rPr>
        <w:t>2014-</w:t>
      </w:r>
      <w:r w:rsidR="00F822E2" w:rsidRPr="00682784">
        <w:rPr>
          <w:rFonts w:cs="Times New Roman"/>
          <w:sz w:val="22"/>
          <w:szCs w:val="22"/>
          <w:lang w:val="en-GB"/>
        </w:rPr>
        <w:t>20</w:t>
      </w:r>
      <w:r w:rsidR="00B7616F" w:rsidRPr="00682784">
        <w:rPr>
          <w:rFonts w:cs="Times New Roman"/>
          <w:sz w:val="22"/>
          <w:szCs w:val="22"/>
          <w:lang w:val="en-GB"/>
        </w:rPr>
        <w:t xml:space="preserve">20 </w:t>
      </w:r>
      <w:r w:rsidR="00517D94" w:rsidRPr="00682784">
        <w:rPr>
          <w:rFonts w:cs="Times New Roman"/>
          <w:sz w:val="22"/>
          <w:szCs w:val="22"/>
          <w:lang w:val="en-GB"/>
        </w:rPr>
        <w:t xml:space="preserve">programme included </w:t>
      </w:r>
      <w:r w:rsidR="00CE3B9E">
        <w:rPr>
          <w:rFonts w:cs="Times New Roman"/>
          <w:sz w:val="22"/>
          <w:szCs w:val="22"/>
          <w:lang w:val="en-GB"/>
        </w:rPr>
        <w:t>a socio economic</w:t>
      </w:r>
      <w:r w:rsidR="00CE3B9E" w:rsidRPr="00682784">
        <w:rPr>
          <w:rFonts w:cs="Times New Roman"/>
          <w:sz w:val="22"/>
          <w:szCs w:val="22"/>
          <w:lang w:val="en-GB"/>
        </w:rPr>
        <w:t xml:space="preserve"> </w:t>
      </w:r>
      <w:r w:rsidR="00517D94" w:rsidRPr="00682784">
        <w:rPr>
          <w:rFonts w:cs="Times New Roman"/>
          <w:sz w:val="22"/>
          <w:szCs w:val="22"/>
          <w:lang w:val="en-GB"/>
        </w:rPr>
        <w:t>analysis of the programme area</w:t>
      </w:r>
      <w:r w:rsidR="00CE3B9E">
        <w:rPr>
          <w:rFonts w:cs="Times New Roman"/>
          <w:sz w:val="22"/>
          <w:szCs w:val="22"/>
          <w:lang w:val="en-GB"/>
        </w:rPr>
        <w:t xml:space="preserve"> </w:t>
      </w:r>
      <w:r w:rsidR="00517D94" w:rsidRPr="00682784">
        <w:rPr>
          <w:rFonts w:cs="Times New Roman"/>
          <w:sz w:val="22"/>
          <w:szCs w:val="22"/>
          <w:lang w:val="en-GB"/>
        </w:rPr>
        <w:t xml:space="preserve">and </w:t>
      </w:r>
      <w:r w:rsidR="00CE3B9E">
        <w:rPr>
          <w:rFonts w:cs="Times New Roman"/>
          <w:sz w:val="22"/>
          <w:szCs w:val="22"/>
          <w:lang w:val="en-GB"/>
        </w:rPr>
        <w:t xml:space="preserve">an </w:t>
      </w:r>
      <w:r w:rsidR="00CE3B9E">
        <w:rPr>
          <w:rFonts w:cs="Times New Roman"/>
          <w:sz w:val="22"/>
          <w:szCs w:val="22"/>
          <w:lang w:val="en-GB"/>
        </w:rPr>
        <w:lastRenderedPageBreak/>
        <w:t xml:space="preserve">analysis </w:t>
      </w:r>
      <w:r w:rsidR="00517D94" w:rsidRPr="00682784">
        <w:rPr>
          <w:rFonts w:cs="Times New Roman"/>
          <w:sz w:val="22"/>
          <w:szCs w:val="22"/>
          <w:lang w:val="en-GB"/>
        </w:rPr>
        <w:t>of its key strengths, weaknesses, o</w:t>
      </w:r>
      <w:r>
        <w:rPr>
          <w:rFonts w:cs="Times New Roman"/>
          <w:sz w:val="22"/>
          <w:szCs w:val="22"/>
          <w:lang w:val="en-GB"/>
        </w:rPr>
        <w:t>pportunities and threats (SWOT)</w:t>
      </w:r>
      <w:r w:rsidR="00CD7658" w:rsidRPr="00682784">
        <w:rPr>
          <w:rFonts w:cs="Times New Roman"/>
          <w:sz w:val="22"/>
          <w:szCs w:val="22"/>
          <w:lang w:val="en-GB"/>
        </w:rPr>
        <w:t xml:space="preserve"> which was developed </w:t>
      </w:r>
      <w:r w:rsidR="00D36B0F">
        <w:rPr>
          <w:rFonts w:cs="Times New Roman"/>
          <w:sz w:val="22"/>
          <w:szCs w:val="22"/>
          <w:lang w:val="en-GB"/>
        </w:rPr>
        <w:t>from June to November</w:t>
      </w:r>
      <w:r w:rsidR="00517D94" w:rsidRPr="00682784">
        <w:rPr>
          <w:rFonts w:cs="Times New Roman"/>
          <w:sz w:val="22"/>
          <w:szCs w:val="22"/>
          <w:lang w:val="en-GB"/>
        </w:rPr>
        <w:t xml:space="preserve"> 2013</w:t>
      </w:r>
      <w:r w:rsidR="00B7616F" w:rsidRPr="00682784">
        <w:rPr>
          <w:rFonts w:cs="Times New Roman"/>
          <w:sz w:val="22"/>
          <w:szCs w:val="22"/>
          <w:lang w:val="en-GB"/>
        </w:rPr>
        <w:t>.</w:t>
      </w:r>
    </w:p>
    <w:p w14:paraId="27D489FE" w14:textId="77777777" w:rsidR="00A1576D" w:rsidRPr="00682784" w:rsidRDefault="00A1576D" w:rsidP="00CD7658">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 xml:space="preserve">The outcomes of </w:t>
      </w:r>
      <w:r w:rsidR="00A83FA5">
        <w:rPr>
          <w:rFonts w:cs="Times New Roman"/>
          <w:sz w:val="22"/>
          <w:szCs w:val="22"/>
          <w:lang w:val="en-GB"/>
        </w:rPr>
        <w:t xml:space="preserve">the </w:t>
      </w:r>
      <w:r w:rsidRPr="00682784">
        <w:rPr>
          <w:rFonts w:cs="Times New Roman"/>
          <w:sz w:val="22"/>
          <w:szCs w:val="22"/>
          <w:lang w:val="en-GB"/>
        </w:rPr>
        <w:t xml:space="preserve">past experience analysis combined with the results of the </w:t>
      </w:r>
      <w:r w:rsidR="00174B9B">
        <w:rPr>
          <w:rFonts w:cs="Times New Roman"/>
          <w:sz w:val="22"/>
          <w:szCs w:val="22"/>
          <w:lang w:val="en-GB"/>
        </w:rPr>
        <w:t xml:space="preserve">socio economic and </w:t>
      </w:r>
      <w:r w:rsidRPr="00682784">
        <w:rPr>
          <w:rFonts w:cs="Times New Roman"/>
          <w:sz w:val="22"/>
          <w:szCs w:val="22"/>
          <w:lang w:val="en-GB"/>
        </w:rPr>
        <w:t xml:space="preserve">SWOT analysis </w:t>
      </w:r>
      <w:r w:rsidR="00174B9B">
        <w:rPr>
          <w:rFonts w:cs="Times New Roman"/>
          <w:sz w:val="22"/>
          <w:szCs w:val="22"/>
          <w:lang w:val="en-GB"/>
        </w:rPr>
        <w:t>resulted in the</w:t>
      </w:r>
      <w:r w:rsidRPr="00682784">
        <w:rPr>
          <w:rFonts w:cs="Times New Roman"/>
          <w:sz w:val="22"/>
          <w:szCs w:val="22"/>
          <w:lang w:val="en-GB"/>
        </w:rPr>
        <w:t xml:space="preserve"> </w:t>
      </w:r>
      <w:r w:rsidR="00174B9B">
        <w:rPr>
          <w:rFonts w:cs="Times New Roman"/>
          <w:sz w:val="22"/>
          <w:szCs w:val="22"/>
          <w:lang w:val="en-GB"/>
        </w:rPr>
        <w:t xml:space="preserve">reduction </w:t>
      </w:r>
      <w:r w:rsidRPr="00682784">
        <w:rPr>
          <w:rFonts w:cs="Times New Roman"/>
          <w:sz w:val="22"/>
          <w:szCs w:val="22"/>
          <w:lang w:val="en-GB"/>
        </w:rPr>
        <w:t xml:space="preserve">of the </w:t>
      </w:r>
      <w:r w:rsidR="00174B9B">
        <w:rPr>
          <w:rFonts w:cs="Times New Roman"/>
          <w:sz w:val="22"/>
          <w:szCs w:val="22"/>
          <w:lang w:val="en-GB"/>
        </w:rPr>
        <w:t xml:space="preserve">10 </w:t>
      </w:r>
      <w:r w:rsidRPr="00682784">
        <w:rPr>
          <w:rFonts w:cs="Times New Roman"/>
          <w:sz w:val="22"/>
          <w:szCs w:val="22"/>
          <w:lang w:val="en-GB"/>
        </w:rPr>
        <w:t xml:space="preserve">thematic objectives </w:t>
      </w:r>
      <w:r w:rsidR="00174B9B">
        <w:rPr>
          <w:rFonts w:cs="Times New Roman"/>
          <w:sz w:val="22"/>
          <w:szCs w:val="22"/>
          <w:lang w:val="en-GB"/>
        </w:rPr>
        <w:t>given in</w:t>
      </w:r>
      <w:r w:rsidRPr="00682784">
        <w:rPr>
          <w:rFonts w:cs="Times New Roman"/>
          <w:sz w:val="22"/>
          <w:szCs w:val="22"/>
          <w:lang w:val="en-GB"/>
        </w:rPr>
        <w:t xml:space="preserve"> </w:t>
      </w:r>
      <w:r w:rsidR="00AF5F8E" w:rsidRPr="00682784">
        <w:rPr>
          <w:rFonts w:cs="Times New Roman"/>
          <w:sz w:val="22"/>
          <w:szCs w:val="22"/>
          <w:lang w:val="en-GB"/>
        </w:rPr>
        <w:t xml:space="preserve">the </w:t>
      </w:r>
      <w:r w:rsidRPr="00682784">
        <w:rPr>
          <w:rFonts w:cs="Times New Roman"/>
          <w:sz w:val="22"/>
          <w:szCs w:val="22"/>
          <w:lang w:val="en-GB"/>
        </w:rPr>
        <w:t>ENI CBC</w:t>
      </w:r>
      <w:r w:rsidR="003653AB" w:rsidRPr="00682784">
        <w:rPr>
          <w:rFonts w:cs="Times New Roman"/>
          <w:sz w:val="22"/>
          <w:szCs w:val="22"/>
          <w:lang w:val="en-GB"/>
        </w:rPr>
        <w:t xml:space="preserve"> Programming </w:t>
      </w:r>
      <w:r w:rsidR="00174B9B">
        <w:rPr>
          <w:rFonts w:cs="Times New Roman"/>
          <w:sz w:val="22"/>
          <w:szCs w:val="22"/>
          <w:lang w:val="en-GB"/>
        </w:rPr>
        <w:t>D</w:t>
      </w:r>
      <w:r w:rsidR="00B45EDB" w:rsidRPr="00682784">
        <w:rPr>
          <w:rFonts w:cs="Times New Roman"/>
          <w:sz w:val="22"/>
          <w:szCs w:val="22"/>
          <w:lang w:val="en-GB"/>
        </w:rPr>
        <w:t>ocument</w:t>
      </w:r>
      <w:r w:rsidRPr="00682784">
        <w:rPr>
          <w:rFonts w:cs="Times New Roman"/>
          <w:sz w:val="22"/>
          <w:szCs w:val="22"/>
          <w:lang w:val="en-GB"/>
        </w:rPr>
        <w:t xml:space="preserve"> to </w:t>
      </w:r>
      <w:r w:rsidR="000469F9">
        <w:rPr>
          <w:rFonts w:cs="Times New Roman"/>
          <w:sz w:val="22"/>
          <w:szCs w:val="22"/>
          <w:lang w:val="en-GB"/>
        </w:rPr>
        <w:t xml:space="preserve">8 </w:t>
      </w:r>
      <w:r w:rsidR="000469F9" w:rsidRPr="000469F9">
        <w:rPr>
          <w:rFonts w:cs="Times New Roman"/>
          <w:sz w:val="22"/>
          <w:szCs w:val="22"/>
          <w:lang w:val="en-GB"/>
        </w:rPr>
        <w:t>objectives, focused on a limited number of priorities, that</w:t>
      </w:r>
      <w:r w:rsidR="000469F9">
        <w:rPr>
          <w:rFonts w:cs="Times New Roman"/>
          <w:sz w:val="22"/>
          <w:szCs w:val="22"/>
          <w:lang w:val="en-GB"/>
        </w:rPr>
        <w:t xml:space="preserve"> </w:t>
      </w:r>
      <w:r w:rsidR="000469F9" w:rsidRPr="000469F9">
        <w:rPr>
          <w:rFonts w:cs="Times New Roman"/>
          <w:sz w:val="22"/>
          <w:szCs w:val="22"/>
          <w:lang w:val="en-GB"/>
        </w:rPr>
        <w:t>presented</w:t>
      </w:r>
      <w:r w:rsidR="000469F9">
        <w:rPr>
          <w:rFonts w:cs="Times New Roman"/>
          <w:sz w:val="22"/>
          <w:szCs w:val="22"/>
          <w:lang w:val="en-GB"/>
        </w:rPr>
        <w:t xml:space="preserve"> </w:t>
      </w:r>
      <w:r w:rsidR="00174B9B">
        <w:rPr>
          <w:rFonts w:cs="Times New Roman"/>
          <w:sz w:val="22"/>
          <w:szCs w:val="22"/>
          <w:lang w:val="en-GB"/>
        </w:rPr>
        <w:t>the</w:t>
      </w:r>
      <w:r w:rsidRPr="00682784">
        <w:rPr>
          <w:rFonts w:cs="Times New Roman"/>
          <w:sz w:val="22"/>
          <w:szCs w:val="22"/>
          <w:lang w:val="en-GB"/>
        </w:rPr>
        <w:t xml:space="preserve"> most interesting potential for cooperation within</w:t>
      </w:r>
      <w:r w:rsidR="00892111" w:rsidRPr="00682784">
        <w:rPr>
          <w:rFonts w:cs="Times New Roman"/>
          <w:sz w:val="22"/>
          <w:szCs w:val="22"/>
          <w:lang w:val="en-GB"/>
        </w:rPr>
        <w:t xml:space="preserve"> the Black Sea Basin</w:t>
      </w:r>
      <w:r w:rsidR="00174B9B">
        <w:rPr>
          <w:rFonts w:cs="Times New Roman"/>
          <w:sz w:val="22"/>
          <w:szCs w:val="22"/>
          <w:lang w:val="en-GB"/>
        </w:rPr>
        <w:t xml:space="preserve">. </w:t>
      </w:r>
      <w:r w:rsidR="00A83FA5">
        <w:rPr>
          <w:rFonts w:cs="Times New Roman"/>
          <w:sz w:val="22"/>
          <w:szCs w:val="22"/>
          <w:lang w:val="en-GB"/>
        </w:rPr>
        <w:t>The</w:t>
      </w:r>
      <w:r w:rsidR="00174B9B">
        <w:rPr>
          <w:rFonts w:cs="Times New Roman"/>
          <w:sz w:val="22"/>
          <w:szCs w:val="22"/>
          <w:lang w:val="en-GB"/>
        </w:rPr>
        <w:t xml:space="preserve"> </w:t>
      </w:r>
      <w:r w:rsidR="000469F9" w:rsidRPr="000469F9">
        <w:rPr>
          <w:rFonts w:cs="Times New Roman"/>
          <w:sz w:val="22"/>
          <w:szCs w:val="22"/>
          <w:lang w:val="en-GB"/>
        </w:rPr>
        <w:t xml:space="preserve">proposed list of possible </w:t>
      </w:r>
      <w:r w:rsidR="00A83FA5">
        <w:rPr>
          <w:rFonts w:cs="Times New Roman"/>
          <w:sz w:val="22"/>
          <w:szCs w:val="22"/>
          <w:lang w:val="en-GB"/>
        </w:rPr>
        <w:t xml:space="preserve">thematic objectives and related </w:t>
      </w:r>
      <w:proofErr w:type="spellStart"/>
      <w:r w:rsidR="00A83FA5">
        <w:rPr>
          <w:rFonts w:cs="Times New Roman"/>
          <w:sz w:val="22"/>
          <w:szCs w:val="22"/>
          <w:lang w:val="en-GB"/>
        </w:rPr>
        <w:t>priorites</w:t>
      </w:r>
      <w:proofErr w:type="spellEnd"/>
      <w:r w:rsidR="00A83FA5">
        <w:rPr>
          <w:rFonts w:cs="Times New Roman"/>
          <w:sz w:val="22"/>
          <w:szCs w:val="22"/>
          <w:lang w:val="en-GB"/>
        </w:rPr>
        <w:t xml:space="preserve"> </w:t>
      </w:r>
      <w:r w:rsidR="00174B9B">
        <w:rPr>
          <w:rFonts w:cs="Times New Roman"/>
          <w:sz w:val="22"/>
          <w:szCs w:val="22"/>
          <w:lang w:val="en-GB"/>
        </w:rPr>
        <w:t>were</w:t>
      </w:r>
      <w:r w:rsidR="00892111" w:rsidRPr="00682784">
        <w:rPr>
          <w:rFonts w:cs="Times New Roman"/>
          <w:sz w:val="22"/>
          <w:szCs w:val="22"/>
          <w:lang w:val="en-GB"/>
        </w:rPr>
        <w:t xml:space="preserve"> agreed </w:t>
      </w:r>
      <w:r w:rsidR="008D4573">
        <w:rPr>
          <w:rFonts w:cs="Times New Roman"/>
          <w:sz w:val="22"/>
          <w:szCs w:val="22"/>
          <w:lang w:val="en-GB"/>
        </w:rPr>
        <w:t xml:space="preserve">for consultation </w:t>
      </w:r>
      <w:r w:rsidR="00174B9B">
        <w:rPr>
          <w:rFonts w:cs="Times New Roman"/>
          <w:sz w:val="22"/>
          <w:szCs w:val="22"/>
          <w:lang w:val="en-GB"/>
        </w:rPr>
        <w:t>in</w:t>
      </w:r>
      <w:r w:rsidR="00276C8A" w:rsidRPr="00682784">
        <w:rPr>
          <w:rFonts w:cs="Times New Roman"/>
          <w:sz w:val="22"/>
          <w:szCs w:val="22"/>
          <w:lang w:val="en-GB"/>
        </w:rPr>
        <w:t xml:space="preserve"> the 3</w:t>
      </w:r>
      <w:r w:rsidR="00276C8A" w:rsidRPr="00D94F42">
        <w:rPr>
          <w:rFonts w:cs="Times New Roman"/>
          <w:sz w:val="22"/>
          <w:szCs w:val="22"/>
          <w:vertAlign w:val="superscript"/>
          <w:lang w:val="en-GB"/>
        </w:rPr>
        <w:t>rd</w:t>
      </w:r>
      <w:r w:rsidR="00276C8A" w:rsidRPr="00682784">
        <w:rPr>
          <w:rFonts w:cs="Times New Roman"/>
          <w:sz w:val="22"/>
          <w:szCs w:val="22"/>
          <w:lang w:val="en-GB"/>
        </w:rPr>
        <w:t xml:space="preserve"> </w:t>
      </w:r>
      <w:r w:rsidR="00C46982" w:rsidRPr="00682784">
        <w:rPr>
          <w:rFonts w:cs="Times New Roman"/>
          <w:sz w:val="22"/>
          <w:szCs w:val="22"/>
          <w:lang w:val="en-GB"/>
        </w:rPr>
        <w:t>Joint Programming Committee</w:t>
      </w:r>
      <w:r w:rsidR="00892111" w:rsidRPr="00682784">
        <w:rPr>
          <w:rFonts w:cs="Times New Roman"/>
          <w:sz w:val="22"/>
          <w:szCs w:val="22"/>
          <w:lang w:val="en-GB"/>
        </w:rPr>
        <w:t xml:space="preserve"> meeting</w:t>
      </w:r>
      <w:r w:rsidR="00C46982" w:rsidRPr="00682784">
        <w:rPr>
          <w:rFonts w:cs="Times New Roman"/>
          <w:sz w:val="22"/>
          <w:szCs w:val="22"/>
          <w:lang w:val="en-GB"/>
        </w:rPr>
        <w:t xml:space="preserve"> hel</w:t>
      </w:r>
      <w:r w:rsidR="009C3F8E" w:rsidRPr="00682784">
        <w:rPr>
          <w:rFonts w:cs="Times New Roman"/>
          <w:sz w:val="22"/>
          <w:szCs w:val="22"/>
          <w:lang w:val="en-GB"/>
        </w:rPr>
        <w:t xml:space="preserve">d </w:t>
      </w:r>
      <w:r w:rsidR="00174B9B">
        <w:rPr>
          <w:rFonts w:cs="Times New Roman"/>
          <w:sz w:val="22"/>
          <w:szCs w:val="22"/>
          <w:lang w:val="en-GB"/>
        </w:rPr>
        <w:t xml:space="preserve">in Kavala, Greece </w:t>
      </w:r>
      <w:r w:rsidR="009C3F8E" w:rsidRPr="00682784">
        <w:rPr>
          <w:rFonts w:cs="Times New Roman"/>
          <w:sz w:val="22"/>
          <w:szCs w:val="22"/>
          <w:lang w:val="en-GB"/>
        </w:rPr>
        <w:t>on 15 November 2013</w:t>
      </w:r>
      <w:r w:rsidR="00BF7B39">
        <w:rPr>
          <w:rFonts w:cs="Times New Roman"/>
          <w:sz w:val="22"/>
          <w:szCs w:val="22"/>
          <w:lang w:val="en-GB"/>
        </w:rPr>
        <w:t>.</w:t>
      </w:r>
      <w:r w:rsidRPr="00682784">
        <w:rPr>
          <w:rFonts w:cs="Times New Roman"/>
          <w:sz w:val="22"/>
          <w:szCs w:val="22"/>
          <w:lang w:val="en-GB"/>
        </w:rPr>
        <w:t xml:space="preserve"> </w:t>
      </w:r>
    </w:p>
    <w:p w14:paraId="1FBEA17A" w14:textId="77777777" w:rsidR="00517D94" w:rsidRPr="00682784" w:rsidRDefault="005967BB" w:rsidP="001D55E0">
      <w:pPr>
        <w:widowControl w:val="0"/>
        <w:autoSpaceDE w:val="0"/>
        <w:autoSpaceDN w:val="0"/>
        <w:adjustRightInd w:val="0"/>
        <w:spacing w:before="120" w:after="0" w:line="252" w:lineRule="auto"/>
        <w:jc w:val="both"/>
        <w:rPr>
          <w:rFonts w:cs="Times New Roman"/>
          <w:sz w:val="22"/>
          <w:szCs w:val="22"/>
          <w:lang w:val="en-GB"/>
        </w:rPr>
      </w:pPr>
      <w:r w:rsidRPr="00682784">
        <w:rPr>
          <w:rFonts w:cs="Times New Roman"/>
          <w:sz w:val="22"/>
          <w:szCs w:val="22"/>
          <w:lang w:val="en-GB"/>
        </w:rPr>
        <w:t>Programme s</w:t>
      </w:r>
      <w:r w:rsidR="00517D94" w:rsidRPr="00682784">
        <w:rPr>
          <w:rFonts w:cs="Times New Roman"/>
          <w:sz w:val="22"/>
          <w:szCs w:val="22"/>
          <w:lang w:val="en-GB"/>
        </w:rPr>
        <w:t xml:space="preserve">takeholders </w:t>
      </w:r>
      <w:r w:rsidRPr="00682784">
        <w:rPr>
          <w:rFonts w:cs="Times New Roman"/>
          <w:sz w:val="22"/>
          <w:szCs w:val="22"/>
          <w:lang w:val="en-GB"/>
        </w:rPr>
        <w:t>were widely consulted in order to vali</w:t>
      </w:r>
      <w:r w:rsidR="00517D94" w:rsidRPr="00682784">
        <w:rPr>
          <w:rFonts w:cs="Times New Roman"/>
          <w:sz w:val="22"/>
          <w:szCs w:val="22"/>
          <w:lang w:val="en-GB"/>
        </w:rPr>
        <w:t xml:space="preserve">date the SWOT and </w:t>
      </w:r>
      <w:r w:rsidR="00B90714">
        <w:rPr>
          <w:rFonts w:cs="Times New Roman"/>
          <w:sz w:val="22"/>
          <w:szCs w:val="22"/>
          <w:lang w:val="en-GB"/>
        </w:rPr>
        <w:t>give input</w:t>
      </w:r>
      <w:r w:rsidR="00B90714" w:rsidRPr="00682784">
        <w:rPr>
          <w:rFonts w:cs="Times New Roman"/>
          <w:sz w:val="22"/>
          <w:szCs w:val="22"/>
          <w:lang w:val="en-GB"/>
        </w:rPr>
        <w:t xml:space="preserve"> </w:t>
      </w:r>
      <w:r w:rsidR="00517D94" w:rsidRPr="00682784">
        <w:rPr>
          <w:rFonts w:cs="Times New Roman"/>
          <w:sz w:val="22"/>
          <w:szCs w:val="22"/>
          <w:lang w:val="en-GB"/>
        </w:rPr>
        <w:t xml:space="preserve">on </w:t>
      </w:r>
      <w:r w:rsidR="008D4573">
        <w:rPr>
          <w:rFonts w:cs="Times New Roman"/>
          <w:sz w:val="22"/>
          <w:szCs w:val="22"/>
          <w:lang w:val="en-GB"/>
        </w:rPr>
        <w:t xml:space="preserve">the </w:t>
      </w:r>
      <w:r w:rsidR="00517D94" w:rsidRPr="00682784">
        <w:rPr>
          <w:rFonts w:cs="Times New Roman"/>
          <w:sz w:val="22"/>
          <w:szCs w:val="22"/>
          <w:lang w:val="en-GB"/>
        </w:rPr>
        <w:t xml:space="preserve">possible </w:t>
      </w:r>
      <w:r w:rsidR="001D55E0" w:rsidRPr="00682784">
        <w:rPr>
          <w:rFonts w:cs="Times New Roman"/>
          <w:sz w:val="22"/>
          <w:szCs w:val="22"/>
          <w:lang w:val="en-GB"/>
        </w:rPr>
        <w:t>programme priorities</w:t>
      </w:r>
      <w:r w:rsidR="00174B9B">
        <w:rPr>
          <w:rFonts w:cs="Times New Roman"/>
          <w:sz w:val="22"/>
          <w:szCs w:val="22"/>
          <w:lang w:val="en-GB"/>
        </w:rPr>
        <w:t>.</w:t>
      </w:r>
      <w:r w:rsidR="00BF7B39">
        <w:rPr>
          <w:rFonts w:cs="Times New Roman"/>
          <w:sz w:val="22"/>
          <w:szCs w:val="22"/>
          <w:lang w:val="en-GB"/>
        </w:rPr>
        <w:t xml:space="preserve"> </w:t>
      </w:r>
      <w:r w:rsidR="00B90714">
        <w:rPr>
          <w:rFonts w:cs="Times New Roman"/>
          <w:sz w:val="22"/>
          <w:szCs w:val="22"/>
          <w:lang w:val="en-GB"/>
        </w:rPr>
        <w:t>Consultations included</w:t>
      </w:r>
      <w:r w:rsidR="001D55E0" w:rsidRPr="00682784">
        <w:rPr>
          <w:rFonts w:cs="Times New Roman"/>
          <w:sz w:val="22"/>
          <w:szCs w:val="22"/>
          <w:lang w:val="en-GB"/>
        </w:rPr>
        <w:t>:</w:t>
      </w:r>
    </w:p>
    <w:p w14:paraId="6F4594BE" w14:textId="77777777" w:rsidR="00C053B0" w:rsidRPr="001D55E0" w:rsidRDefault="00B90714" w:rsidP="001D55E0">
      <w:pPr>
        <w:pStyle w:val="ListParagraph"/>
        <w:numPr>
          <w:ilvl w:val="0"/>
          <w:numId w:val="70"/>
        </w:numPr>
        <w:spacing w:before="60" w:after="0" w:line="252" w:lineRule="auto"/>
        <w:ind w:left="1071" w:hanging="357"/>
        <w:jc w:val="both"/>
        <w:rPr>
          <w:sz w:val="22"/>
          <w:szCs w:val="22"/>
          <w:lang w:val="en-GB"/>
        </w:rPr>
      </w:pPr>
      <w:r>
        <w:rPr>
          <w:sz w:val="22"/>
          <w:szCs w:val="22"/>
          <w:lang w:val="en-GB"/>
        </w:rPr>
        <w:t>An international regional level consultation d</w:t>
      </w:r>
      <w:r w:rsidR="00C053B0" w:rsidRPr="001D55E0">
        <w:rPr>
          <w:sz w:val="22"/>
          <w:szCs w:val="22"/>
          <w:lang w:val="en-GB"/>
        </w:rPr>
        <w:t xml:space="preserve">uring the Black Sea Basin </w:t>
      </w:r>
      <w:r w:rsidR="006860AD">
        <w:rPr>
          <w:sz w:val="22"/>
          <w:szCs w:val="22"/>
          <w:lang w:val="en-GB"/>
        </w:rPr>
        <w:t xml:space="preserve">ENPI CBC </w:t>
      </w:r>
      <w:r w:rsidR="00C053B0" w:rsidRPr="001D55E0">
        <w:rPr>
          <w:sz w:val="22"/>
          <w:szCs w:val="22"/>
          <w:lang w:val="en-GB"/>
        </w:rPr>
        <w:t xml:space="preserve">programme </w:t>
      </w:r>
      <w:r w:rsidR="006860AD">
        <w:rPr>
          <w:sz w:val="22"/>
          <w:szCs w:val="22"/>
          <w:lang w:val="en-GB"/>
        </w:rPr>
        <w:t xml:space="preserve">2007-2013 </w:t>
      </w:r>
      <w:r w:rsidR="00C053B0" w:rsidRPr="001D55E0">
        <w:rPr>
          <w:sz w:val="22"/>
          <w:szCs w:val="22"/>
          <w:lang w:val="en-GB"/>
        </w:rPr>
        <w:t>annual conference held in Istanbul, Turkey on 5 December 2013</w:t>
      </w:r>
      <w:r w:rsidR="00F556BA">
        <w:rPr>
          <w:sz w:val="22"/>
          <w:szCs w:val="22"/>
          <w:lang w:val="en-GB"/>
        </w:rPr>
        <w:t xml:space="preserve"> (including</w:t>
      </w:r>
      <w:r w:rsidR="00C053B0" w:rsidRPr="001D55E0">
        <w:rPr>
          <w:sz w:val="22"/>
          <w:szCs w:val="22"/>
          <w:lang w:val="en-GB"/>
        </w:rPr>
        <w:t xml:space="preserve"> representatives of national, regional and local authorities</w:t>
      </w:r>
      <w:r w:rsidR="00BF7B39">
        <w:rPr>
          <w:sz w:val="22"/>
          <w:szCs w:val="22"/>
          <w:lang w:val="en-GB"/>
        </w:rPr>
        <w:t xml:space="preserve"> and NGOs, researchers and academics,</w:t>
      </w:r>
      <w:r w:rsidR="00C053B0" w:rsidRPr="001D55E0">
        <w:rPr>
          <w:sz w:val="22"/>
          <w:szCs w:val="22"/>
          <w:lang w:val="en-GB"/>
        </w:rPr>
        <w:t xml:space="preserve"> </w:t>
      </w:r>
      <w:r w:rsidR="00BF7B39">
        <w:rPr>
          <w:sz w:val="22"/>
          <w:szCs w:val="22"/>
          <w:lang w:val="en-GB"/>
        </w:rPr>
        <w:t>and</w:t>
      </w:r>
      <w:r w:rsidR="00C053B0" w:rsidRPr="001D55E0">
        <w:rPr>
          <w:sz w:val="22"/>
          <w:szCs w:val="22"/>
          <w:lang w:val="en-GB"/>
        </w:rPr>
        <w:t xml:space="preserve"> other stakeholders act</w:t>
      </w:r>
      <w:r w:rsidR="00F556BA">
        <w:rPr>
          <w:sz w:val="22"/>
          <w:szCs w:val="22"/>
          <w:lang w:val="en-GB"/>
        </w:rPr>
        <w:t>ive in the Black Sea Basin area)</w:t>
      </w:r>
      <w:r w:rsidR="00626240">
        <w:rPr>
          <w:sz w:val="22"/>
          <w:szCs w:val="22"/>
          <w:lang w:val="en-GB"/>
        </w:rPr>
        <w:t>.</w:t>
      </w:r>
    </w:p>
    <w:p w14:paraId="5B682B8B" w14:textId="14AF7300" w:rsidR="00C053B0" w:rsidRPr="001D55E0" w:rsidRDefault="00B90714" w:rsidP="00A10382">
      <w:pPr>
        <w:pStyle w:val="ListParagraph"/>
        <w:numPr>
          <w:ilvl w:val="0"/>
          <w:numId w:val="70"/>
        </w:numPr>
        <w:spacing w:before="60" w:after="0" w:line="252" w:lineRule="auto"/>
        <w:jc w:val="both"/>
        <w:rPr>
          <w:sz w:val="22"/>
          <w:szCs w:val="22"/>
          <w:lang w:val="en-GB"/>
        </w:rPr>
      </w:pPr>
      <w:r>
        <w:rPr>
          <w:sz w:val="22"/>
          <w:szCs w:val="22"/>
          <w:lang w:val="en-GB"/>
        </w:rPr>
        <w:t xml:space="preserve">National </w:t>
      </w:r>
      <w:r w:rsidR="00C053B0" w:rsidRPr="001D55E0">
        <w:rPr>
          <w:sz w:val="22"/>
          <w:szCs w:val="22"/>
          <w:lang w:val="en-GB"/>
        </w:rPr>
        <w:t xml:space="preserve">stakeholder consultations (events and/or written consultations) in </w:t>
      </w:r>
      <w:r>
        <w:rPr>
          <w:sz w:val="22"/>
          <w:szCs w:val="22"/>
          <w:lang w:val="en-GB"/>
        </w:rPr>
        <w:t xml:space="preserve">participating </w:t>
      </w:r>
      <w:r w:rsidR="00C053B0" w:rsidRPr="001D55E0">
        <w:rPr>
          <w:sz w:val="22"/>
          <w:szCs w:val="22"/>
          <w:lang w:val="en-GB"/>
        </w:rPr>
        <w:t>countries</w:t>
      </w:r>
      <w:r w:rsidR="003229F9">
        <w:rPr>
          <w:sz w:val="22"/>
          <w:szCs w:val="22"/>
          <w:lang w:val="en-GB"/>
        </w:rPr>
        <w:t xml:space="preserve"> </w:t>
      </w:r>
      <w:r w:rsidR="00C05325">
        <w:rPr>
          <w:sz w:val="22"/>
          <w:szCs w:val="22"/>
          <w:lang w:val="en-GB"/>
        </w:rPr>
        <w:t xml:space="preserve">from </w:t>
      </w:r>
      <w:r w:rsidR="00BF7B39">
        <w:rPr>
          <w:sz w:val="22"/>
          <w:szCs w:val="22"/>
          <w:lang w:val="en-GB"/>
        </w:rPr>
        <w:t>November</w:t>
      </w:r>
      <w:r w:rsidR="00C05325">
        <w:rPr>
          <w:sz w:val="22"/>
          <w:szCs w:val="22"/>
          <w:lang w:val="en-GB"/>
        </w:rPr>
        <w:t xml:space="preserve"> 2013</w:t>
      </w:r>
      <w:r w:rsidR="00BF7B39">
        <w:rPr>
          <w:sz w:val="22"/>
          <w:szCs w:val="22"/>
          <w:lang w:val="en-GB"/>
        </w:rPr>
        <w:t xml:space="preserve"> to </w:t>
      </w:r>
      <w:r w:rsidR="00C05325">
        <w:rPr>
          <w:sz w:val="22"/>
          <w:szCs w:val="22"/>
          <w:lang w:val="en-GB"/>
        </w:rPr>
        <w:t>March 2014</w:t>
      </w:r>
      <w:r w:rsidR="00C053B0" w:rsidRPr="001D55E0">
        <w:rPr>
          <w:sz w:val="22"/>
          <w:szCs w:val="22"/>
          <w:lang w:val="en-GB"/>
        </w:rPr>
        <w:t xml:space="preserve">. </w:t>
      </w:r>
      <w:r>
        <w:rPr>
          <w:sz w:val="22"/>
          <w:szCs w:val="22"/>
          <w:lang w:val="en-GB"/>
        </w:rPr>
        <w:t>Consultations were held at b</w:t>
      </w:r>
      <w:r w:rsidR="00C053B0" w:rsidRPr="001D55E0">
        <w:rPr>
          <w:sz w:val="22"/>
          <w:szCs w:val="22"/>
          <w:lang w:val="en-GB"/>
        </w:rPr>
        <w:t>oth national and regional levels to allow consistency with national/regional strategies as well as to include the views of the actors on the ground.</w:t>
      </w:r>
      <w:r w:rsidR="00441A4F" w:rsidRPr="00956AE9">
        <w:rPr>
          <w:lang w:val="en-GB"/>
        </w:rPr>
        <w:t xml:space="preserve"> </w:t>
      </w:r>
    </w:p>
    <w:p w14:paraId="465B4A57" w14:textId="77777777" w:rsidR="00C053B0" w:rsidRPr="001D55E0" w:rsidRDefault="00D05DEA" w:rsidP="00D07DA4">
      <w:pPr>
        <w:pStyle w:val="ListParagraph"/>
        <w:numPr>
          <w:ilvl w:val="0"/>
          <w:numId w:val="70"/>
        </w:numPr>
        <w:spacing w:before="60" w:after="120" w:line="252" w:lineRule="auto"/>
        <w:ind w:left="1071" w:hanging="357"/>
        <w:jc w:val="both"/>
        <w:rPr>
          <w:sz w:val="22"/>
          <w:szCs w:val="22"/>
          <w:lang w:val="en-GB"/>
        </w:rPr>
      </w:pPr>
      <w:r>
        <w:rPr>
          <w:sz w:val="22"/>
          <w:szCs w:val="22"/>
          <w:lang w:val="en-GB"/>
        </w:rPr>
        <w:t>O</w:t>
      </w:r>
      <w:r w:rsidR="00C053B0" w:rsidRPr="001D55E0">
        <w:rPr>
          <w:sz w:val="22"/>
          <w:szCs w:val="22"/>
          <w:lang w:val="en-GB"/>
        </w:rPr>
        <w:t>pen public consultation</w:t>
      </w:r>
      <w:r w:rsidR="00B90714">
        <w:rPr>
          <w:sz w:val="22"/>
          <w:szCs w:val="22"/>
          <w:lang w:val="en-GB"/>
        </w:rPr>
        <w:t>s</w:t>
      </w:r>
      <w:r w:rsidR="00C053B0" w:rsidRPr="001D55E0">
        <w:rPr>
          <w:sz w:val="22"/>
          <w:szCs w:val="22"/>
          <w:lang w:val="en-GB"/>
        </w:rPr>
        <w:t xml:space="preserve"> </w:t>
      </w:r>
      <w:r w:rsidR="00BF7B39">
        <w:rPr>
          <w:sz w:val="22"/>
          <w:szCs w:val="22"/>
          <w:lang w:val="en-GB"/>
        </w:rPr>
        <w:t>via</w:t>
      </w:r>
      <w:r w:rsidR="00C053B0" w:rsidRPr="001D55E0">
        <w:rPr>
          <w:sz w:val="22"/>
          <w:szCs w:val="22"/>
          <w:lang w:val="en-GB"/>
        </w:rPr>
        <w:t xml:space="preserve"> the website of the current programme </w:t>
      </w:r>
      <w:r w:rsidR="00344254">
        <w:rPr>
          <w:sz w:val="22"/>
          <w:szCs w:val="22"/>
          <w:lang w:val="en-GB"/>
        </w:rPr>
        <w:t>(</w:t>
      </w:r>
      <w:r w:rsidR="00870AA5">
        <w:rPr>
          <w:sz w:val="22"/>
          <w:szCs w:val="22"/>
          <w:lang w:val="en-GB"/>
        </w:rPr>
        <w:t>initiated</w:t>
      </w:r>
      <w:r w:rsidR="00CE72BB">
        <w:rPr>
          <w:sz w:val="22"/>
          <w:szCs w:val="22"/>
          <w:lang w:val="en-GB"/>
        </w:rPr>
        <w:t xml:space="preserve"> in</w:t>
      </w:r>
      <w:r w:rsidR="00344254">
        <w:rPr>
          <w:sz w:val="22"/>
          <w:szCs w:val="22"/>
          <w:lang w:val="en-GB"/>
        </w:rPr>
        <w:t xml:space="preserve"> </w:t>
      </w:r>
      <w:r w:rsidR="00441A4F">
        <w:rPr>
          <w:sz w:val="22"/>
          <w:szCs w:val="22"/>
          <w:lang w:val="en-GB"/>
        </w:rPr>
        <w:t>December 2013</w:t>
      </w:r>
      <w:r w:rsidR="00344254">
        <w:rPr>
          <w:sz w:val="22"/>
          <w:szCs w:val="22"/>
          <w:lang w:val="en-GB"/>
        </w:rPr>
        <w:t xml:space="preserve">) </w:t>
      </w:r>
      <w:r w:rsidR="00C053B0" w:rsidRPr="001D55E0">
        <w:rPr>
          <w:sz w:val="22"/>
          <w:szCs w:val="22"/>
          <w:lang w:val="en-GB"/>
        </w:rPr>
        <w:t>and some national websites</w:t>
      </w:r>
      <w:r w:rsidR="009C1780">
        <w:rPr>
          <w:sz w:val="22"/>
          <w:szCs w:val="22"/>
          <w:lang w:val="en-GB"/>
        </w:rPr>
        <w:t>.</w:t>
      </w:r>
      <w:r w:rsidR="00C053B0" w:rsidRPr="001D55E0">
        <w:rPr>
          <w:sz w:val="22"/>
          <w:szCs w:val="22"/>
          <w:lang w:val="en-GB"/>
        </w:rPr>
        <w:t xml:space="preserve"> </w:t>
      </w:r>
    </w:p>
    <w:p w14:paraId="373FB317" w14:textId="77777777" w:rsidR="006D640F" w:rsidRDefault="00276C8A" w:rsidP="004D2A32">
      <w:pPr>
        <w:spacing w:before="120" w:after="0" w:line="21" w:lineRule="atLeast"/>
        <w:jc w:val="both"/>
        <w:rPr>
          <w:rFonts w:eastAsia="Times New Roman" w:cs="Times New Roman"/>
          <w:sz w:val="22"/>
          <w:szCs w:val="22"/>
          <w:lang w:val="en-GB"/>
        </w:rPr>
      </w:pPr>
      <w:r w:rsidRPr="007620DA">
        <w:rPr>
          <w:rFonts w:eastAsia="Times New Roman" w:cs="Times New Roman"/>
          <w:sz w:val="22"/>
          <w:szCs w:val="22"/>
          <w:lang w:val="en-GB"/>
        </w:rPr>
        <w:t xml:space="preserve">The </w:t>
      </w:r>
      <w:r>
        <w:rPr>
          <w:rFonts w:eastAsia="Times New Roman" w:cs="Times New Roman"/>
          <w:sz w:val="22"/>
          <w:szCs w:val="22"/>
          <w:lang w:val="en-GB"/>
        </w:rPr>
        <w:t>B</w:t>
      </w:r>
      <w:r w:rsidR="00FA7FDF">
        <w:rPr>
          <w:rFonts w:eastAsia="Times New Roman" w:cs="Times New Roman"/>
          <w:sz w:val="22"/>
          <w:szCs w:val="22"/>
          <w:lang w:val="en-GB"/>
        </w:rPr>
        <w:t xml:space="preserve">lack </w:t>
      </w:r>
      <w:r>
        <w:rPr>
          <w:rFonts w:eastAsia="Times New Roman" w:cs="Times New Roman"/>
          <w:sz w:val="22"/>
          <w:szCs w:val="22"/>
          <w:lang w:val="en-GB"/>
        </w:rPr>
        <w:t>S</w:t>
      </w:r>
      <w:r w:rsidR="00FA7FDF">
        <w:rPr>
          <w:rFonts w:eastAsia="Times New Roman" w:cs="Times New Roman"/>
          <w:sz w:val="22"/>
          <w:szCs w:val="22"/>
          <w:lang w:val="en-GB"/>
        </w:rPr>
        <w:t xml:space="preserve">ea </w:t>
      </w:r>
      <w:r>
        <w:rPr>
          <w:rFonts w:eastAsia="Times New Roman" w:cs="Times New Roman"/>
          <w:sz w:val="22"/>
          <w:szCs w:val="22"/>
          <w:lang w:val="en-GB"/>
        </w:rPr>
        <w:t>B</w:t>
      </w:r>
      <w:r w:rsidR="00FA7FDF">
        <w:rPr>
          <w:rFonts w:eastAsia="Times New Roman" w:cs="Times New Roman"/>
          <w:sz w:val="22"/>
          <w:szCs w:val="22"/>
          <w:lang w:val="en-GB"/>
        </w:rPr>
        <w:t>asin</w:t>
      </w:r>
      <w:r>
        <w:rPr>
          <w:rFonts w:eastAsia="Times New Roman" w:cs="Times New Roman"/>
          <w:sz w:val="22"/>
          <w:szCs w:val="22"/>
          <w:lang w:val="en-GB"/>
        </w:rPr>
        <w:t xml:space="preserve"> </w:t>
      </w:r>
      <w:r w:rsidRPr="007620DA">
        <w:rPr>
          <w:rFonts w:eastAsia="Times New Roman" w:cs="Times New Roman"/>
          <w:sz w:val="22"/>
          <w:szCs w:val="22"/>
          <w:lang w:val="en-GB"/>
        </w:rPr>
        <w:t>pro</w:t>
      </w:r>
      <w:r>
        <w:rPr>
          <w:rFonts w:eastAsia="Times New Roman" w:cs="Times New Roman"/>
          <w:sz w:val="22"/>
          <w:szCs w:val="22"/>
          <w:lang w:val="en-GB"/>
        </w:rPr>
        <w:t xml:space="preserve">gramme strategy </w:t>
      </w:r>
      <w:r w:rsidR="00B90714">
        <w:rPr>
          <w:rFonts w:eastAsia="Times New Roman" w:cs="Times New Roman"/>
          <w:sz w:val="22"/>
          <w:szCs w:val="22"/>
          <w:lang w:val="en-GB"/>
        </w:rPr>
        <w:t>also takes into account relevant</w:t>
      </w:r>
      <w:r>
        <w:rPr>
          <w:rFonts w:eastAsia="Times New Roman" w:cs="Times New Roman"/>
          <w:sz w:val="22"/>
          <w:szCs w:val="22"/>
          <w:lang w:val="en-GB"/>
        </w:rPr>
        <w:t xml:space="preserve"> EU strategies and policies (including </w:t>
      </w:r>
      <w:r w:rsidR="00B90714">
        <w:rPr>
          <w:rFonts w:eastAsia="Times New Roman" w:cs="Times New Roman"/>
          <w:sz w:val="22"/>
          <w:szCs w:val="22"/>
          <w:lang w:val="en-GB"/>
        </w:rPr>
        <w:t xml:space="preserve">the </w:t>
      </w:r>
      <w:r>
        <w:rPr>
          <w:rFonts w:eastAsia="Times New Roman" w:cs="Times New Roman"/>
          <w:sz w:val="22"/>
          <w:szCs w:val="22"/>
          <w:lang w:val="en-GB"/>
        </w:rPr>
        <w:t xml:space="preserve">Blue Growth strategy, etc.) to ensure </w:t>
      </w:r>
      <w:r w:rsidR="00BF7B39">
        <w:rPr>
          <w:rFonts w:eastAsia="Times New Roman" w:cs="Times New Roman"/>
          <w:sz w:val="22"/>
          <w:szCs w:val="22"/>
          <w:lang w:val="en-GB"/>
        </w:rPr>
        <w:t xml:space="preserve">the </w:t>
      </w:r>
      <w:r>
        <w:rPr>
          <w:rFonts w:eastAsia="Times New Roman" w:cs="Times New Roman"/>
          <w:sz w:val="22"/>
          <w:szCs w:val="22"/>
          <w:lang w:val="en-GB"/>
        </w:rPr>
        <w:t xml:space="preserve">coherence of programme support with existing EU strategic frameworks. A consistency analysis with relevant EU programmes </w:t>
      </w:r>
      <w:r w:rsidR="00B90714">
        <w:rPr>
          <w:rFonts w:eastAsia="Times New Roman" w:cs="Times New Roman"/>
          <w:sz w:val="22"/>
          <w:szCs w:val="22"/>
          <w:lang w:val="en-GB"/>
        </w:rPr>
        <w:t>was</w:t>
      </w:r>
      <w:r>
        <w:rPr>
          <w:rFonts w:eastAsia="Times New Roman" w:cs="Times New Roman"/>
          <w:sz w:val="22"/>
          <w:szCs w:val="22"/>
          <w:lang w:val="en-GB"/>
        </w:rPr>
        <w:t xml:space="preserve"> carried out so that the defined B</w:t>
      </w:r>
      <w:r w:rsidR="00FA7FDF">
        <w:rPr>
          <w:rFonts w:eastAsia="Times New Roman" w:cs="Times New Roman"/>
          <w:sz w:val="22"/>
          <w:szCs w:val="22"/>
          <w:lang w:val="en-GB"/>
        </w:rPr>
        <w:t xml:space="preserve">lack </w:t>
      </w:r>
      <w:r>
        <w:rPr>
          <w:rFonts w:eastAsia="Times New Roman" w:cs="Times New Roman"/>
          <w:sz w:val="22"/>
          <w:szCs w:val="22"/>
          <w:lang w:val="en-GB"/>
        </w:rPr>
        <w:t>S</w:t>
      </w:r>
      <w:r w:rsidR="00FA7FDF">
        <w:rPr>
          <w:rFonts w:eastAsia="Times New Roman" w:cs="Times New Roman"/>
          <w:sz w:val="22"/>
          <w:szCs w:val="22"/>
          <w:lang w:val="en-GB"/>
        </w:rPr>
        <w:t xml:space="preserve">ea </w:t>
      </w:r>
      <w:r>
        <w:rPr>
          <w:rFonts w:eastAsia="Times New Roman" w:cs="Times New Roman"/>
          <w:sz w:val="22"/>
          <w:szCs w:val="22"/>
          <w:lang w:val="en-GB"/>
        </w:rPr>
        <w:t>B</w:t>
      </w:r>
      <w:r w:rsidR="00FA7FDF">
        <w:rPr>
          <w:rFonts w:eastAsia="Times New Roman" w:cs="Times New Roman"/>
          <w:sz w:val="22"/>
          <w:szCs w:val="22"/>
          <w:lang w:val="en-GB"/>
        </w:rPr>
        <w:t>asin</w:t>
      </w:r>
      <w:r>
        <w:rPr>
          <w:rFonts w:eastAsia="Times New Roman" w:cs="Times New Roman"/>
          <w:sz w:val="22"/>
          <w:szCs w:val="22"/>
          <w:lang w:val="en-GB"/>
        </w:rPr>
        <w:t xml:space="preserve"> objectives and priorities </w:t>
      </w:r>
      <w:r w:rsidR="00B90714">
        <w:rPr>
          <w:rFonts w:eastAsia="Times New Roman" w:cs="Times New Roman"/>
          <w:sz w:val="22"/>
          <w:szCs w:val="22"/>
          <w:lang w:val="en-GB"/>
        </w:rPr>
        <w:t xml:space="preserve">would </w:t>
      </w:r>
      <w:r>
        <w:rPr>
          <w:rFonts w:eastAsia="Times New Roman" w:cs="Times New Roman"/>
          <w:sz w:val="22"/>
          <w:szCs w:val="22"/>
          <w:lang w:val="en-GB"/>
        </w:rPr>
        <w:t xml:space="preserve">deliver </w:t>
      </w:r>
      <w:r w:rsidRPr="007620DA">
        <w:rPr>
          <w:rFonts w:eastAsia="Times New Roman" w:cs="Times New Roman"/>
          <w:sz w:val="22"/>
          <w:szCs w:val="22"/>
          <w:lang w:val="en-GB"/>
        </w:rPr>
        <w:t>real cross-border added va</w:t>
      </w:r>
      <w:r>
        <w:rPr>
          <w:rFonts w:eastAsia="Times New Roman" w:cs="Times New Roman"/>
          <w:sz w:val="22"/>
          <w:szCs w:val="22"/>
          <w:lang w:val="en-GB"/>
        </w:rPr>
        <w:t xml:space="preserve">lue and </w:t>
      </w:r>
      <w:r w:rsidR="00B90714">
        <w:rPr>
          <w:rFonts w:eastAsia="Times New Roman" w:cs="Times New Roman"/>
          <w:sz w:val="22"/>
          <w:szCs w:val="22"/>
          <w:lang w:val="en-GB"/>
        </w:rPr>
        <w:t xml:space="preserve">would </w:t>
      </w:r>
      <w:r>
        <w:rPr>
          <w:rFonts w:eastAsia="Times New Roman" w:cs="Times New Roman"/>
          <w:sz w:val="22"/>
          <w:szCs w:val="22"/>
          <w:lang w:val="en-GB"/>
        </w:rPr>
        <w:t xml:space="preserve">not cover elements </w:t>
      </w:r>
      <w:r w:rsidRPr="007620DA">
        <w:rPr>
          <w:rFonts w:eastAsia="Times New Roman" w:cs="Times New Roman"/>
          <w:sz w:val="22"/>
          <w:szCs w:val="22"/>
          <w:lang w:val="en-GB"/>
        </w:rPr>
        <w:t>already funded</w:t>
      </w:r>
      <w:r w:rsidR="008D4573">
        <w:rPr>
          <w:rFonts w:eastAsia="Times New Roman" w:cs="Times New Roman"/>
          <w:sz w:val="22"/>
          <w:szCs w:val="22"/>
          <w:lang w:val="en-GB"/>
        </w:rPr>
        <w:t>,</w:t>
      </w:r>
      <w:r w:rsidRPr="007620DA">
        <w:rPr>
          <w:rFonts w:eastAsia="Times New Roman" w:cs="Times New Roman"/>
          <w:sz w:val="22"/>
          <w:szCs w:val="22"/>
          <w:lang w:val="en-GB"/>
        </w:rPr>
        <w:t xml:space="preserve"> or </w:t>
      </w:r>
      <w:r w:rsidR="000469F9">
        <w:rPr>
          <w:rFonts w:eastAsia="Times New Roman" w:cs="Times New Roman"/>
          <w:sz w:val="22"/>
          <w:szCs w:val="22"/>
          <w:lang w:val="en-GB"/>
        </w:rPr>
        <w:t xml:space="preserve">which </w:t>
      </w:r>
      <w:r w:rsidRPr="007620DA">
        <w:rPr>
          <w:rFonts w:eastAsia="Times New Roman" w:cs="Times New Roman"/>
          <w:sz w:val="22"/>
          <w:szCs w:val="22"/>
          <w:lang w:val="en-GB"/>
        </w:rPr>
        <w:t xml:space="preserve">could </w:t>
      </w:r>
      <w:r w:rsidR="00B90714">
        <w:rPr>
          <w:rFonts w:eastAsia="Times New Roman" w:cs="Times New Roman"/>
          <w:sz w:val="22"/>
          <w:szCs w:val="22"/>
          <w:lang w:val="en-GB"/>
        </w:rPr>
        <w:t xml:space="preserve">be </w:t>
      </w:r>
      <w:r w:rsidRPr="007620DA">
        <w:rPr>
          <w:rFonts w:eastAsia="Times New Roman" w:cs="Times New Roman"/>
          <w:sz w:val="22"/>
          <w:szCs w:val="22"/>
          <w:lang w:val="en-GB"/>
        </w:rPr>
        <w:t>more suitably funded</w:t>
      </w:r>
      <w:r w:rsidR="008D4573">
        <w:rPr>
          <w:rFonts w:eastAsia="Times New Roman" w:cs="Times New Roman"/>
          <w:sz w:val="22"/>
          <w:szCs w:val="22"/>
          <w:lang w:val="en-GB"/>
        </w:rPr>
        <w:t>,</w:t>
      </w:r>
      <w:r w:rsidRPr="007620DA">
        <w:rPr>
          <w:rFonts w:eastAsia="Times New Roman" w:cs="Times New Roman"/>
          <w:sz w:val="22"/>
          <w:szCs w:val="22"/>
          <w:lang w:val="en-GB"/>
        </w:rPr>
        <w:t xml:space="preserve"> from other ENI or EU programmes</w:t>
      </w:r>
      <w:r>
        <w:rPr>
          <w:rFonts w:eastAsia="Times New Roman" w:cs="Times New Roman"/>
          <w:sz w:val="22"/>
          <w:szCs w:val="22"/>
          <w:lang w:val="en-GB"/>
        </w:rPr>
        <w:t xml:space="preserve">. </w:t>
      </w:r>
    </w:p>
    <w:p w14:paraId="21C637C6" w14:textId="77777777" w:rsidR="008B683E" w:rsidRPr="004D2A32" w:rsidRDefault="00B90714" w:rsidP="004D2A32">
      <w:pPr>
        <w:spacing w:before="120" w:after="0" w:line="21" w:lineRule="atLeast"/>
        <w:jc w:val="both"/>
        <w:rPr>
          <w:rFonts w:eastAsia="Times New Roman" w:cs="Times New Roman"/>
          <w:sz w:val="22"/>
          <w:szCs w:val="22"/>
          <w:lang w:val="en-GB"/>
        </w:rPr>
      </w:pPr>
      <w:r>
        <w:rPr>
          <w:rFonts w:eastAsia="Times New Roman" w:cs="Times New Roman"/>
          <w:sz w:val="22"/>
          <w:szCs w:val="22"/>
          <w:lang w:val="en-GB"/>
        </w:rPr>
        <w:t>The o</w:t>
      </w:r>
      <w:r w:rsidR="00276C8A">
        <w:rPr>
          <w:rFonts w:eastAsia="Times New Roman" w:cs="Times New Roman"/>
          <w:sz w:val="22"/>
          <w:szCs w:val="22"/>
          <w:lang w:val="en-GB"/>
        </w:rPr>
        <w:t xml:space="preserve">utcomes of </w:t>
      </w:r>
      <w:r>
        <w:rPr>
          <w:rFonts w:eastAsia="Times New Roman" w:cs="Times New Roman"/>
          <w:sz w:val="22"/>
          <w:szCs w:val="22"/>
          <w:lang w:val="en-GB"/>
        </w:rPr>
        <w:t xml:space="preserve">the </w:t>
      </w:r>
      <w:r w:rsidR="00276C8A">
        <w:rPr>
          <w:rFonts w:eastAsia="Times New Roman" w:cs="Times New Roman"/>
          <w:sz w:val="22"/>
          <w:szCs w:val="22"/>
          <w:lang w:val="en-GB"/>
        </w:rPr>
        <w:t>stak</w:t>
      </w:r>
      <w:r w:rsidR="0003643B">
        <w:rPr>
          <w:rFonts w:eastAsia="Times New Roman" w:cs="Times New Roman"/>
          <w:sz w:val="22"/>
          <w:szCs w:val="22"/>
          <w:lang w:val="en-GB"/>
        </w:rPr>
        <w:t>eholder</w:t>
      </w:r>
      <w:r w:rsidR="00ED1EF5">
        <w:rPr>
          <w:rFonts w:eastAsia="Times New Roman" w:cs="Times New Roman"/>
          <w:sz w:val="22"/>
          <w:szCs w:val="22"/>
          <w:lang w:val="en-GB"/>
        </w:rPr>
        <w:t>s</w:t>
      </w:r>
      <w:r w:rsidR="003440BB">
        <w:rPr>
          <w:rFonts w:eastAsia="Times New Roman" w:cs="Times New Roman"/>
          <w:sz w:val="22"/>
          <w:szCs w:val="22"/>
          <w:lang w:val="en-GB"/>
        </w:rPr>
        <w:t>’</w:t>
      </w:r>
      <w:r w:rsidR="0003643B">
        <w:rPr>
          <w:rFonts w:eastAsia="Times New Roman" w:cs="Times New Roman"/>
          <w:sz w:val="22"/>
          <w:szCs w:val="22"/>
          <w:lang w:val="en-GB"/>
        </w:rPr>
        <w:t xml:space="preserve"> consultations </w:t>
      </w:r>
      <w:r w:rsidR="00276C8A">
        <w:rPr>
          <w:rFonts w:eastAsia="Times New Roman" w:cs="Times New Roman"/>
          <w:sz w:val="22"/>
          <w:szCs w:val="22"/>
          <w:lang w:val="en-GB"/>
        </w:rPr>
        <w:t xml:space="preserve">and the </w:t>
      </w:r>
      <w:r>
        <w:rPr>
          <w:rFonts w:eastAsia="Times New Roman" w:cs="Times New Roman"/>
          <w:sz w:val="22"/>
          <w:szCs w:val="22"/>
          <w:lang w:val="en-GB"/>
        </w:rPr>
        <w:t xml:space="preserve">coherence </w:t>
      </w:r>
      <w:r w:rsidR="00E66E8C">
        <w:rPr>
          <w:rFonts w:eastAsia="Times New Roman" w:cs="Times New Roman"/>
          <w:sz w:val="22"/>
          <w:szCs w:val="22"/>
          <w:lang w:val="en-GB"/>
        </w:rPr>
        <w:t xml:space="preserve">analysis </w:t>
      </w:r>
      <w:r w:rsidR="00276C8A">
        <w:rPr>
          <w:rFonts w:eastAsia="Times New Roman" w:cs="Times New Roman"/>
          <w:sz w:val="22"/>
          <w:szCs w:val="22"/>
          <w:lang w:val="en-GB"/>
        </w:rPr>
        <w:t>with other EU programmes were presented to the 4</w:t>
      </w:r>
      <w:r w:rsidR="00276C8A" w:rsidRPr="00276C8A">
        <w:rPr>
          <w:rFonts w:eastAsia="Times New Roman" w:cs="Times New Roman"/>
          <w:sz w:val="22"/>
          <w:szCs w:val="22"/>
          <w:vertAlign w:val="superscript"/>
          <w:lang w:val="en-GB"/>
        </w:rPr>
        <w:t>th</w:t>
      </w:r>
      <w:r w:rsidR="00276C8A">
        <w:rPr>
          <w:rFonts w:eastAsia="Times New Roman" w:cs="Times New Roman"/>
          <w:sz w:val="22"/>
          <w:szCs w:val="22"/>
          <w:lang w:val="en-GB"/>
        </w:rPr>
        <w:t xml:space="preserve"> Joint Programming Committee </w:t>
      </w:r>
      <w:r w:rsidR="002E4D6A">
        <w:rPr>
          <w:rFonts w:eastAsia="Times New Roman" w:cs="Times New Roman"/>
          <w:sz w:val="22"/>
          <w:szCs w:val="22"/>
          <w:lang w:val="en-GB"/>
        </w:rPr>
        <w:t xml:space="preserve">meeting held </w:t>
      </w:r>
      <w:r w:rsidR="00276C8A">
        <w:rPr>
          <w:rFonts w:eastAsia="Times New Roman" w:cs="Times New Roman"/>
          <w:sz w:val="22"/>
          <w:szCs w:val="22"/>
          <w:lang w:val="en-GB"/>
        </w:rPr>
        <w:t xml:space="preserve">in </w:t>
      </w:r>
      <w:proofErr w:type="spellStart"/>
      <w:r w:rsidR="006B5BEF" w:rsidRPr="006B5BEF">
        <w:rPr>
          <w:rFonts w:ascii="Times New Roman" w:eastAsia="Times New Roman" w:hAnsi="Times New Roman" w:cs="Times New Roman"/>
          <w:sz w:val="22"/>
          <w:szCs w:val="22"/>
          <w:lang w:val="en-GB"/>
        </w:rPr>
        <w:t>Ş</w:t>
      </w:r>
      <w:r w:rsidR="00C62B4C">
        <w:rPr>
          <w:rFonts w:eastAsia="Times New Roman" w:cs="Times New Roman"/>
          <w:sz w:val="22"/>
          <w:szCs w:val="22"/>
          <w:lang w:val="en-GB"/>
        </w:rPr>
        <w:t>ile</w:t>
      </w:r>
      <w:proofErr w:type="spellEnd"/>
      <w:r w:rsidR="00A95DF6">
        <w:rPr>
          <w:rFonts w:eastAsia="Times New Roman" w:cs="Times New Roman"/>
          <w:sz w:val="22"/>
          <w:szCs w:val="22"/>
          <w:lang w:val="en-GB"/>
        </w:rPr>
        <w:t>/</w:t>
      </w:r>
      <w:r w:rsidR="00A95DF6">
        <w:rPr>
          <w:rFonts w:ascii="Times New Roman" w:eastAsia="Times New Roman" w:hAnsi="Times New Roman" w:cs="Times New Roman"/>
          <w:sz w:val="22"/>
          <w:szCs w:val="22"/>
          <w:lang w:val="en-GB"/>
        </w:rPr>
        <w:t>İstanbul</w:t>
      </w:r>
      <w:r>
        <w:rPr>
          <w:rFonts w:eastAsia="Times New Roman" w:cs="Times New Roman"/>
          <w:sz w:val="22"/>
          <w:szCs w:val="22"/>
          <w:lang w:val="en-GB"/>
        </w:rPr>
        <w:t xml:space="preserve">, </w:t>
      </w:r>
      <w:r w:rsidR="00276C8A">
        <w:rPr>
          <w:rFonts w:eastAsia="Times New Roman" w:cs="Times New Roman"/>
          <w:sz w:val="22"/>
          <w:szCs w:val="22"/>
          <w:lang w:val="en-GB"/>
        </w:rPr>
        <w:t>Turkey</w:t>
      </w:r>
      <w:r w:rsidR="00BF7B39">
        <w:rPr>
          <w:rFonts w:eastAsia="Times New Roman" w:cs="Times New Roman"/>
          <w:sz w:val="22"/>
          <w:szCs w:val="22"/>
          <w:lang w:val="en-GB"/>
        </w:rPr>
        <w:t xml:space="preserve"> </w:t>
      </w:r>
      <w:r>
        <w:rPr>
          <w:rFonts w:eastAsia="Times New Roman" w:cs="Times New Roman"/>
          <w:sz w:val="22"/>
          <w:szCs w:val="22"/>
          <w:lang w:val="en-GB"/>
        </w:rPr>
        <w:t>on 28 April 2014.</w:t>
      </w:r>
    </w:p>
    <w:p w14:paraId="4C56662B" w14:textId="77777777" w:rsidR="00ED79E3" w:rsidRDefault="00ED79E3" w:rsidP="003D3A8B">
      <w:pPr>
        <w:spacing w:before="120" w:after="0" w:line="21" w:lineRule="atLeast"/>
        <w:jc w:val="both"/>
        <w:rPr>
          <w:rFonts w:eastAsia="Times New Roman" w:cs="Times New Roman"/>
          <w:sz w:val="22"/>
          <w:szCs w:val="22"/>
          <w:lang w:val="en-GB"/>
        </w:rPr>
      </w:pPr>
      <w:r>
        <w:rPr>
          <w:rFonts w:eastAsia="Times New Roman" w:cs="Times New Roman"/>
          <w:sz w:val="22"/>
          <w:szCs w:val="22"/>
          <w:lang w:val="en-GB"/>
        </w:rPr>
        <w:t>After due consideration of:</w:t>
      </w:r>
      <w:r w:rsidR="00BE6D0E" w:rsidRPr="002D3931">
        <w:rPr>
          <w:rFonts w:eastAsia="Times New Roman" w:cs="Times New Roman"/>
          <w:sz w:val="22"/>
          <w:szCs w:val="22"/>
          <w:lang w:val="en-GB"/>
        </w:rPr>
        <w:t xml:space="preserve"> </w:t>
      </w:r>
    </w:p>
    <w:p w14:paraId="299A6527" w14:textId="77777777" w:rsidR="00ED79E3" w:rsidRPr="003D3A8B" w:rsidRDefault="00AF5F8E" w:rsidP="003D3A8B">
      <w:pPr>
        <w:pStyle w:val="ListParagraph"/>
        <w:numPr>
          <w:ilvl w:val="0"/>
          <w:numId w:val="70"/>
        </w:numPr>
        <w:spacing w:after="0" w:line="21" w:lineRule="atLeast"/>
        <w:ind w:left="1071" w:hanging="357"/>
        <w:jc w:val="both"/>
        <w:rPr>
          <w:sz w:val="22"/>
          <w:szCs w:val="22"/>
          <w:lang w:val="en-GB"/>
        </w:rPr>
      </w:pPr>
      <w:r w:rsidRPr="003D3A8B">
        <w:rPr>
          <w:sz w:val="22"/>
          <w:szCs w:val="22"/>
          <w:lang w:val="en-GB"/>
        </w:rPr>
        <w:t xml:space="preserve">the wide geographical coverage and limited budget of the programme, </w:t>
      </w:r>
      <w:r w:rsidR="00871D66" w:rsidRPr="003D3A8B">
        <w:rPr>
          <w:sz w:val="22"/>
          <w:szCs w:val="22"/>
          <w:lang w:val="en-GB"/>
        </w:rPr>
        <w:t xml:space="preserve">and </w:t>
      </w:r>
      <w:r w:rsidR="00B90714">
        <w:rPr>
          <w:sz w:val="22"/>
          <w:szCs w:val="22"/>
          <w:lang w:val="en-GB"/>
        </w:rPr>
        <w:t>therefore</w:t>
      </w:r>
      <w:r w:rsidR="00B90714" w:rsidRPr="003D3A8B">
        <w:rPr>
          <w:sz w:val="22"/>
          <w:szCs w:val="22"/>
          <w:lang w:val="en-GB"/>
        </w:rPr>
        <w:t xml:space="preserve"> </w:t>
      </w:r>
      <w:r w:rsidRPr="003D3A8B">
        <w:rPr>
          <w:sz w:val="22"/>
          <w:szCs w:val="22"/>
          <w:lang w:val="en-GB"/>
        </w:rPr>
        <w:t>the need for the Black Sea Basin strategy to concentrate on a limited number of themes in which concrete results can be obtained</w:t>
      </w:r>
      <w:r w:rsidR="00ED79E3" w:rsidRPr="003D3A8B">
        <w:rPr>
          <w:sz w:val="22"/>
          <w:szCs w:val="22"/>
          <w:lang w:val="en-GB"/>
        </w:rPr>
        <w:t>,</w:t>
      </w:r>
      <w:r w:rsidR="003D3A8B">
        <w:rPr>
          <w:sz w:val="22"/>
          <w:szCs w:val="22"/>
          <w:lang w:val="en-GB"/>
        </w:rPr>
        <w:t xml:space="preserve"> and</w:t>
      </w:r>
    </w:p>
    <w:p w14:paraId="2327415E" w14:textId="77777777" w:rsidR="00ED79E3" w:rsidRPr="003D3A8B" w:rsidRDefault="00871D66" w:rsidP="003D3A8B">
      <w:pPr>
        <w:pStyle w:val="ListParagraph"/>
        <w:numPr>
          <w:ilvl w:val="0"/>
          <w:numId w:val="70"/>
        </w:numPr>
        <w:spacing w:after="0" w:line="21" w:lineRule="atLeast"/>
        <w:ind w:left="1071" w:hanging="357"/>
        <w:jc w:val="both"/>
        <w:rPr>
          <w:sz w:val="22"/>
          <w:szCs w:val="22"/>
          <w:lang w:val="en-GB"/>
        </w:rPr>
      </w:pPr>
      <w:r w:rsidRPr="003D3A8B">
        <w:rPr>
          <w:sz w:val="22"/>
          <w:szCs w:val="22"/>
          <w:lang w:val="en-GB"/>
        </w:rPr>
        <w:t xml:space="preserve">the stronger relevance of some priorities under </w:t>
      </w:r>
      <w:r w:rsidR="00ED79E3" w:rsidRPr="003D3A8B">
        <w:rPr>
          <w:sz w:val="22"/>
          <w:szCs w:val="22"/>
          <w:lang w:val="en-GB"/>
        </w:rPr>
        <w:t>ENI CBC thematic objectives “Business and development” (TO1) and “Environmental protection, and climate change mitigation and adaptation” (TO6) indicated throughout the analytical and consultation process,</w:t>
      </w:r>
    </w:p>
    <w:p w14:paraId="34036F77" w14:textId="77777777" w:rsidR="00B2361A" w:rsidRDefault="00ED79E3" w:rsidP="002C5C39">
      <w:pPr>
        <w:spacing w:after="0" w:line="21" w:lineRule="atLeast"/>
        <w:jc w:val="both"/>
        <w:rPr>
          <w:rFonts w:eastAsia="Times New Roman" w:cs="Times New Roman"/>
          <w:sz w:val="22"/>
          <w:szCs w:val="22"/>
          <w:lang w:val="en-GB"/>
        </w:rPr>
      </w:pPr>
      <w:proofErr w:type="gramStart"/>
      <w:r>
        <w:rPr>
          <w:rFonts w:eastAsia="Times New Roman" w:cs="Times New Roman"/>
          <w:sz w:val="22"/>
          <w:szCs w:val="22"/>
          <w:lang w:val="en-GB"/>
        </w:rPr>
        <w:t>these</w:t>
      </w:r>
      <w:proofErr w:type="gramEnd"/>
      <w:r>
        <w:rPr>
          <w:rFonts w:eastAsia="Times New Roman" w:cs="Times New Roman"/>
          <w:sz w:val="22"/>
          <w:szCs w:val="22"/>
          <w:lang w:val="en-GB"/>
        </w:rPr>
        <w:t xml:space="preserve"> </w:t>
      </w:r>
      <w:r w:rsidRPr="00ED79E3">
        <w:rPr>
          <w:rFonts w:eastAsia="Times New Roman" w:cs="Times New Roman"/>
          <w:sz w:val="22"/>
          <w:szCs w:val="22"/>
          <w:lang w:val="en-GB"/>
        </w:rPr>
        <w:t xml:space="preserve">two objectives </w:t>
      </w:r>
      <w:r>
        <w:rPr>
          <w:rFonts w:eastAsia="Times New Roman" w:cs="Times New Roman"/>
          <w:sz w:val="22"/>
          <w:szCs w:val="22"/>
          <w:lang w:val="en-GB"/>
        </w:rPr>
        <w:t xml:space="preserve">were </w:t>
      </w:r>
      <w:r w:rsidRPr="00ED79E3">
        <w:rPr>
          <w:rFonts w:eastAsia="Times New Roman" w:cs="Times New Roman"/>
          <w:sz w:val="22"/>
          <w:szCs w:val="22"/>
          <w:lang w:val="en-GB"/>
        </w:rPr>
        <w:t>selected for the strategy</w:t>
      </w:r>
      <w:r w:rsidR="003D3A8B">
        <w:rPr>
          <w:rFonts w:eastAsia="Times New Roman" w:cs="Times New Roman"/>
          <w:sz w:val="22"/>
          <w:szCs w:val="22"/>
          <w:lang w:val="en-GB"/>
        </w:rPr>
        <w:t>.</w:t>
      </w:r>
      <w:r w:rsidR="002C5C39">
        <w:rPr>
          <w:rFonts w:eastAsia="Times New Roman" w:cs="Times New Roman"/>
          <w:sz w:val="22"/>
          <w:szCs w:val="22"/>
          <w:lang w:val="en-GB"/>
        </w:rPr>
        <w:t xml:space="preserve"> </w:t>
      </w:r>
      <w:r w:rsidR="00BF7B39">
        <w:rPr>
          <w:rFonts w:eastAsia="Times New Roman" w:cs="Times New Roman"/>
          <w:sz w:val="22"/>
          <w:szCs w:val="22"/>
          <w:lang w:val="en-GB"/>
        </w:rPr>
        <w:t>Internal n</w:t>
      </w:r>
      <w:r w:rsidR="00B2361A">
        <w:rPr>
          <w:rFonts w:eastAsia="Times New Roman" w:cs="Times New Roman"/>
          <w:sz w:val="22"/>
          <w:szCs w:val="22"/>
          <w:lang w:val="en-GB"/>
        </w:rPr>
        <w:t xml:space="preserve">ational </w:t>
      </w:r>
      <w:r w:rsidR="00EE2D7F">
        <w:rPr>
          <w:rFonts w:eastAsia="Times New Roman" w:cs="Times New Roman"/>
          <w:sz w:val="22"/>
          <w:szCs w:val="22"/>
          <w:lang w:val="en-GB"/>
        </w:rPr>
        <w:t xml:space="preserve">and regional </w:t>
      </w:r>
      <w:r w:rsidR="00B2361A">
        <w:rPr>
          <w:rFonts w:eastAsia="Times New Roman" w:cs="Times New Roman"/>
          <w:sz w:val="22"/>
          <w:szCs w:val="22"/>
          <w:lang w:val="en-GB"/>
        </w:rPr>
        <w:t>consultations</w:t>
      </w:r>
      <w:r w:rsidR="00EE2D7F">
        <w:rPr>
          <w:rFonts w:eastAsia="Times New Roman" w:cs="Times New Roman"/>
          <w:sz w:val="22"/>
          <w:szCs w:val="22"/>
          <w:lang w:val="en-GB"/>
        </w:rPr>
        <w:t xml:space="preserve">, as well as </w:t>
      </w:r>
      <w:r w:rsidR="00C23ED3">
        <w:rPr>
          <w:rFonts w:eastAsia="Times New Roman" w:cs="Times New Roman"/>
          <w:sz w:val="22"/>
          <w:szCs w:val="22"/>
          <w:lang w:val="en-GB"/>
        </w:rPr>
        <w:t>online public consultations</w:t>
      </w:r>
      <w:r w:rsidR="00EE2D7F">
        <w:rPr>
          <w:rFonts w:eastAsia="Times New Roman" w:cs="Times New Roman"/>
          <w:sz w:val="22"/>
          <w:szCs w:val="22"/>
          <w:lang w:val="en-GB"/>
        </w:rPr>
        <w:t xml:space="preserve"> on the programme website</w:t>
      </w:r>
      <w:r w:rsidR="00870AA5">
        <w:rPr>
          <w:rFonts w:eastAsia="Times New Roman" w:cs="Times New Roman"/>
          <w:sz w:val="22"/>
          <w:szCs w:val="22"/>
          <w:lang w:val="en-GB"/>
        </w:rPr>
        <w:t xml:space="preserve"> (</w:t>
      </w:r>
      <w:r w:rsidR="00317D23">
        <w:rPr>
          <w:rFonts w:eastAsia="Times New Roman" w:cs="Times New Roman"/>
          <w:sz w:val="22"/>
          <w:szCs w:val="22"/>
          <w:lang w:val="en-GB"/>
        </w:rPr>
        <w:t xml:space="preserve">in </w:t>
      </w:r>
      <w:r w:rsidR="00870AA5">
        <w:rPr>
          <w:rFonts w:eastAsia="Times New Roman" w:cs="Times New Roman"/>
          <w:sz w:val="22"/>
          <w:szCs w:val="22"/>
          <w:lang w:val="en-GB"/>
        </w:rPr>
        <w:t>June 2014)</w:t>
      </w:r>
      <w:r w:rsidR="00EE2D7F">
        <w:rPr>
          <w:rFonts w:eastAsia="Times New Roman" w:cs="Times New Roman"/>
          <w:sz w:val="22"/>
          <w:szCs w:val="22"/>
          <w:lang w:val="en-GB"/>
        </w:rPr>
        <w:t>,</w:t>
      </w:r>
      <w:r w:rsidR="00B2361A">
        <w:rPr>
          <w:rFonts w:eastAsia="Times New Roman" w:cs="Times New Roman"/>
          <w:sz w:val="22"/>
          <w:szCs w:val="22"/>
          <w:lang w:val="en-GB"/>
        </w:rPr>
        <w:t xml:space="preserve"> followed on the proposed set of pr</w:t>
      </w:r>
      <w:r w:rsidR="00BF7B39">
        <w:rPr>
          <w:rFonts w:eastAsia="Times New Roman" w:cs="Times New Roman"/>
          <w:sz w:val="22"/>
          <w:szCs w:val="22"/>
          <w:lang w:val="en-GB"/>
        </w:rPr>
        <w:t>iorities and indicative actions</w:t>
      </w:r>
      <w:r w:rsidR="00B2361A">
        <w:rPr>
          <w:rFonts w:eastAsia="Times New Roman" w:cs="Times New Roman"/>
          <w:sz w:val="22"/>
          <w:szCs w:val="22"/>
          <w:lang w:val="en-GB"/>
        </w:rPr>
        <w:t xml:space="preserve"> </w:t>
      </w:r>
      <w:r w:rsidR="00D36B0F">
        <w:rPr>
          <w:rFonts w:eastAsia="Times New Roman" w:cs="Times New Roman"/>
          <w:sz w:val="22"/>
          <w:szCs w:val="22"/>
          <w:lang w:val="en-GB"/>
        </w:rPr>
        <w:t xml:space="preserve">and these were </w:t>
      </w:r>
      <w:r w:rsidR="00E520B0">
        <w:rPr>
          <w:rFonts w:eastAsia="Times New Roman" w:cs="Times New Roman"/>
          <w:sz w:val="22"/>
          <w:szCs w:val="22"/>
          <w:lang w:val="en-GB"/>
        </w:rPr>
        <w:t xml:space="preserve">finally </w:t>
      </w:r>
      <w:r w:rsidR="00B2361A">
        <w:rPr>
          <w:rFonts w:eastAsia="Times New Roman" w:cs="Times New Roman"/>
          <w:sz w:val="22"/>
          <w:szCs w:val="22"/>
          <w:lang w:val="en-GB"/>
        </w:rPr>
        <w:t>agreed</w:t>
      </w:r>
      <w:r w:rsidR="002D3931" w:rsidRPr="002D3931">
        <w:rPr>
          <w:rFonts w:eastAsia="Times New Roman" w:cs="Times New Roman"/>
          <w:sz w:val="22"/>
          <w:szCs w:val="22"/>
          <w:lang w:val="en-GB"/>
        </w:rPr>
        <w:t xml:space="preserve"> at the</w:t>
      </w:r>
      <w:r w:rsidR="0094762E" w:rsidRPr="002D3931">
        <w:rPr>
          <w:rFonts w:eastAsia="Times New Roman" w:cs="Times New Roman"/>
          <w:sz w:val="22"/>
          <w:szCs w:val="22"/>
          <w:lang w:val="en-GB"/>
        </w:rPr>
        <w:t xml:space="preserve"> 5</w:t>
      </w:r>
      <w:r w:rsidR="0094762E" w:rsidRPr="00DA1BC4">
        <w:rPr>
          <w:rFonts w:eastAsia="Times New Roman" w:cs="Times New Roman"/>
          <w:sz w:val="22"/>
          <w:szCs w:val="22"/>
          <w:vertAlign w:val="superscript"/>
          <w:lang w:val="en-GB"/>
        </w:rPr>
        <w:t>th</w:t>
      </w:r>
      <w:r w:rsidR="0094762E" w:rsidRPr="002D3931">
        <w:rPr>
          <w:rFonts w:eastAsia="Times New Roman" w:cs="Times New Roman"/>
          <w:sz w:val="22"/>
          <w:szCs w:val="22"/>
          <w:lang w:val="en-GB"/>
        </w:rPr>
        <w:t xml:space="preserve"> Meeting</w:t>
      </w:r>
      <w:r w:rsidR="002D3931" w:rsidRPr="002D3931">
        <w:rPr>
          <w:rFonts w:eastAsia="Times New Roman" w:cs="Times New Roman"/>
          <w:sz w:val="22"/>
          <w:szCs w:val="22"/>
          <w:lang w:val="en-GB"/>
        </w:rPr>
        <w:t xml:space="preserve"> of the Joint Programming Committee </w:t>
      </w:r>
      <w:r w:rsidR="009C7B3B">
        <w:rPr>
          <w:rFonts w:eastAsia="Times New Roman" w:cs="Times New Roman"/>
          <w:sz w:val="22"/>
          <w:szCs w:val="22"/>
          <w:lang w:val="en-GB"/>
        </w:rPr>
        <w:t xml:space="preserve">in </w:t>
      </w:r>
      <w:r w:rsidR="0094762E" w:rsidRPr="002D3931">
        <w:rPr>
          <w:rFonts w:eastAsia="Times New Roman" w:cs="Times New Roman"/>
          <w:sz w:val="22"/>
          <w:szCs w:val="22"/>
          <w:lang w:val="en-GB"/>
        </w:rPr>
        <w:t>Brussels</w:t>
      </w:r>
      <w:r w:rsidR="00D36B0F">
        <w:rPr>
          <w:rFonts w:eastAsia="Times New Roman" w:cs="Times New Roman"/>
          <w:sz w:val="22"/>
          <w:szCs w:val="22"/>
          <w:lang w:val="en-GB"/>
        </w:rPr>
        <w:t>,</w:t>
      </w:r>
      <w:r w:rsidR="00C62B4C">
        <w:rPr>
          <w:rFonts w:eastAsia="Times New Roman" w:cs="Times New Roman"/>
          <w:sz w:val="22"/>
          <w:szCs w:val="22"/>
          <w:lang w:val="en-GB"/>
        </w:rPr>
        <w:t xml:space="preserve"> Belgium</w:t>
      </w:r>
      <w:r w:rsidR="00D36B0F" w:rsidRPr="00D36B0F">
        <w:rPr>
          <w:rFonts w:eastAsia="Times New Roman" w:cs="Times New Roman"/>
          <w:sz w:val="22"/>
          <w:szCs w:val="22"/>
          <w:lang w:val="en-GB"/>
        </w:rPr>
        <w:t xml:space="preserve"> </w:t>
      </w:r>
      <w:r w:rsidR="00D36B0F" w:rsidRPr="002D3931">
        <w:rPr>
          <w:rFonts w:eastAsia="Times New Roman" w:cs="Times New Roman"/>
          <w:sz w:val="22"/>
          <w:szCs w:val="22"/>
          <w:lang w:val="en-GB"/>
        </w:rPr>
        <w:t>on 17 July 2014</w:t>
      </w:r>
      <w:r w:rsidR="00ED1EF5">
        <w:rPr>
          <w:rFonts w:eastAsia="Times New Roman" w:cs="Times New Roman"/>
          <w:sz w:val="22"/>
          <w:szCs w:val="22"/>
          <w:lang w:val="en-GB"/>
        </w:rPr>
        <w:t>.</w:t>
      </w:r>
    </w:p>
    <w:p w14:paraId="02D80A8A" w14:textId="77777777" w:rsidR="00301161" w:rsidRDefault="00333F82" w:rsidP="00301161">
      <w:pPr>
        <w:spacing w:before="120" w:after="0" w:line="21" w:lineRule="atLeast"/>
        <w:jc w:val="both"/>
        <w:rPr>
          <w:rFonts w:eastAsia="Times New Roman" w:cs="Times New Roman"/>
          <w:sz w:val="22"/>
          <w:szCs w:val="22"/>
          <w:lang w:val="en-GB"/>
        </w:rPr>
      </w:pPr>
      <w:r>
        <w:rPr>
          <w:rFonts w:eastAsia="Times New Roman" w:cs="Times New Roman"/>
          <w:sz w:val="22"/>
          <w:szCs w:val="22"/>
          <w:lang w:val="en-GB"/>
        </w:rPr>
        <w:t xml:space="preserve">The strategic environmental </w:t>
      </w:r>
      <w:proofErr w:type="spellStart"/>
      <w:r>
        <w:rPr>
          <w:rFonts w:eastAsia="Times New Roman" w:cs="Times New Roman"/>
          <w:sz w:val="22"/>
          <w:szCs w:val="22"/>
          <w:lang w:val="en-GB"/>
        </w:rPr>
        <w:t>assessement</w:t>
      </w:r>
      <w:proofErr w:type="spellEnd"/>
      <w:r>
        <w:rPr>
          <w:rFonts w:eastAsia="Times New Roman" w:cs="Times New Roman"/>
          <w:sz w:val="22"/>
          <w:szCs w:val="22"/>
          <w:lang w:val="en-GB"/>
        </w:rPr>
        <w:t xml:space="preserve"> (SEA) </w:t>
      </w:r>
      <w:r w:rsidR="00A33F6F">
        <w:rPr>
          <w:rFonts w:eastAsia="Times New Roman" w:cs="Times New Roman"/>
          <w:sz w:val="22"/>
          <w:szCs w:val="22"/>
          <w:lang w:val="en-GB"/>
        </w:rPr>
        <w:t xml:space="preserve">process started in </w:t>
      </w:r>
      <w:r w:rsidR="00D36B0F">
        <w:rPr>
          <w:rFonts w:eastAsia="Times New Roman" w:cs="Times New Roman"/>
          <w:sz w:val="22"/>
          <w:szCs w:val="22"/>
          <w:lang w:val="en-GB"/>
        </w:rPr>
        <w:t>October</w:t>
      </w:r>
      <w:r w:rsidR="00A33F6F">
        <w:rPr>
          <w:rFonts w:eastAsia="Times New Roman" w:cs="Times New Roman"/>
          <w:sz w:val="22"/>
          <w:szCs w:val="22"/>
          <w:lang w:val="en-GB"/>
        </w:rPr>
        <w:t xml:space="preserve"> 2014</w:t>
      </w:r>
      <w:r w:rsidR="00D36B0F">
        <w:rPr>
          <w:rFonts w:eastAsia="Times New Roman" w:cs="Times New Roman"/>
          <w:sz w:val="22"/>
          <w:szCs w:val="22"/>
          <w:lang w:val="en-GB"/>
        </w:rPr>
        <w:t xml:space="preserve"> and involved</w:t>
      </w:r>
      <w:r w:rsidR="00F37C9A">
        <w:rPr>
          <w:rFonts w:eastAsia="Times New Roman" w:cs="Times New Roman"/>
          <w:sz w:val="22"/>
          <w:szCs w:val="22"/>
          <w:lang w:val="en-GB"/>
        </w:rPr>
        <w:t xml:space="preserve"> </w:t>
      </w:r>
      <w:r w:rsidR="00D36B0F">
        <w:rPr>
          <w:rFonts w:eastAsia="Times New Roman" w:cs="Times New Roman"/>
          <w:sz w:val="22"/>
          <w:szCs w:val="22"/>
          <w:lang w:val="en-GB"/>
        </w:rPr>
        <w:t xml:space="preserve">the relevant </w:t>
      </w:r>
      <w:r w:rsidR="00F37C9A" w:rsidRPr="007625A8">
        <w:rPr>
          <w:rFonts w:eastAsia="Times New Roman" w:cs="Times New Roman"/>
          <w:sz w:val="22"/>
          <w:szCs w:val="22"/>
          <w:lang w:val="en-GB"/>
        </w:rPr>
        <w:t xml:space="preserve">environmental authorities </w:t>
      </w:r>
      <w:r w:rsidR="00722E7D" w:rsidRPr="007625A8">
        <w:rPr>
          <w:rFonts w:eastAsia="Times New Roman" w:cs="Times New Roman"/>
          <w:sz w:val="22"/>
          <w:szCs w:val="22"/>
          <w:lang w:val="en-GB"/>
        </w:rPr>
        <w:t>in the</w:t>
      </w:r>
      <w:r w:rsidR="00F37C9A" w:rsidRPr="007625A8">
        <w:rPr>
          <w:rFonts w:eastAsia="Times New Roman" w:cs="Times New Roman"/>
          <w:sz w:val="22"/>
          <w:szCs w:val="22"/>
          <w:lang w:val="en-GB"/>
        </w:rPr>
        <w:t xml:space="preserve"> participating countries.</w:t>
      </w:r>
      <w:r w:rsidR="00577E23" w:rsidRPr="007625A8">
        <w:rPr>
          <w:rFonts w:eastAsia="Times New Roman" w:cs="Times New Roman"/>
          <w:sz w:val="22"/>
          <w:szCs w:val="22"/>
          <w:lang w:val="en-GB"/>
        </w:rPr>
        <w:t xml:space="preserve"> </w:t>
      </w:r>
      <w:r w:rsidR="00D36B0F" w:rsidRPr="007625A8">
        <w:rPr>
          <w:rFonts w:eastAsia="Times New Roman" w:cs="Times New Roman"/>
          <w:sz w:val="22"/>
          <w:szCs w:val="22"/>
          <w:lang w:val="en-GB"/>
        </w:rPr>
        <w:t xml:space="preserve">The draft </w:t>
      </w:r>
      <w:r w:rsidR="00577E23" w:rsidRPr="007625A8">
        <w:rPr>
          <w:rFonts w:eastAsia="Times New Roman" w:cs="Times New Roman"/>
          <w:sz w:val="22"/>
          <w:szCs w:val="22"/>
          <w:lang w:val="en-GB"/>
        </w:rPr>
        <w:t xml:space="preserve">conclusions </w:t>
      </w:r>
      <w:r w:rsidR="00D36B0F" w:rsidRPr="007625A8">
        <w:rPr>
          <w:rFonts w:eastAsia="Times New Roman" w:cs="Times New Roman"/>
          <w:sz w:val="22"/>
          <w:szCs w:val="22"/>
          <w:lang w:val="en-GB"/>
        </w:rPr>
        <w:t xml:space="preserve">of the process </w:t>
      </w:r>
      <w:r w:rsidR="00577E23" w:rsidRPr="007625A8">
        <w:rPr>
          <w:rFonts w:eastAsia="Times New Roman" w:cs="Times New Roman"/>
          <w:sz w:val="22"/>
          <w:szCs w:val="22"/>
          <w:lang w:val="en-GB"/>
        </w:rPr>
        <w:t>were</w:t>
      </w:r>
      <w:r w:rsidR="00C85978" w:rsidRPr="007625A8">
        <w:rPr>
          <w:rFonts w:eastAsia="Times New Roman" w:cs="Times New Roman"/>
          <w:sz w:val="22"/>
          <w:szCs w:val="22"/>
          <w:lang w:val="en-GB"/>
        </w:rPr>
        <w:t xml:space="preserve"> presented at the 7</w:t>
      </w:r>
      <w:r w:rsidR="00C85978" w:rsidRPr="007625A8">
        <w:rPr>
          <w:rFonts w:eastAsia="Times New Roman" w:cs="Times New Roman"/>
          <w:sz w:val="22"/>
          <w:szCs w:val="22"/>
          <w:vertAlign w:val="superscript"/>
          <w:lang w:val="en-GB"/>
        </w:rPr>
        <w:t>th</w:t>
      </w:r>
      <w:r w:rsidR="00C85978" w:rsidRPr="007625A8">
        <w:rPr>
          <w:rFonts w:eastAsia="Times New Roman" w:cs="Times New Roman"/>
          <w:sz w:val="22"/>
          <w:szCs w:val="22"/>
          <w:lang w:val="en-GB"/>
        </w:rPr>
        <w:t xml:space="preserve"> meeting of the Joint Programming Committee</w:t>
      </w:r>
      <w:r w:rsidR="002E585C" w:rsidRPr="007625A8">
        <w:rPr>
          <w:rFonts w:eastAsia="Times New Roman" w:cs="Times New Roman"/>
          <w:sz w:val="22"/>
          <w:szCs w:val="22"/>
          <w:lang w:val="en-GB"/>
        </w:rPr>
        <w:t xml:space="preserve"> </w:t>
      </w:r>
      <w:r w:rsidR="00C85978" w:rsidRPr="007625A8">
        <w:rPr>
          <w:rFonts w:eastAsia="Times New Roman" w:cs="Times New Roman"/>
          <w:sz w:val="22"/>
          <w:szCs w:val="22"/>
          <w:lang w:val="en-GB"/>
        </w:rPr>
        <w:t>in Chisinau</w:t>
      </w:r>
      <w:r w:rsidR="00D36B0F" w:rsidRPr="007625A8">
        <w:rPr>
          <w:rFonts w:eastAsia="Times New Roman" w:cs="Times New Roman"/>
          <w:sz w:val="22"/>
          <w:szCs w:val="22"/>
          <w:lang w:val="en-GB"/>
        </w:rPr>
        <w:t>,</w:t>
      </w:r>
      <w:r w:rsidR="00C62B4C" w:rsidRPr="007625A8">
        <w:rPr>
          <w:rFonts w:eastAsia="Times New Roman" w:cs="Times New Roman"/>
          <w:sz w:val="22"/>
          <w:szCs w:val="22"/>
          <w:lang w:val="en-GB"/>
        </w:rPr>
        <w:t xml:space="preserve"> Moldova</w:t>
      </w:r>
      <w:r w:rsidR="00D36B0F" w:rsidRPr="007625A8">
        <w:rPr>
          <w:rFonts w:eastAsia="Times New Roman" w:cs="Times New Roman"/>
          <w:sz w:val="22"/>
          <w:szCs w:val="22"/>
          <w:lang w:val="en-GB"/>
        </w:rPr>
        <w:t xml:space="preserve"> on 26 February 2015.</w:t>
      </w:r>
    </w:p>
    <w:p w14:paraId="35190F99" w14:textId="77777777" w:rsidR="00F81E24" w:rsidRDefault="00D36B0F" w:rsidP="00301161">
      <w:pPr>
        <w:spacing w:before="120" w:after="0" w:line="21" w:lineRule="atLeast"/>
        <w:jc w:val="both"/>
        <w:rPr>
          <w:rFonts w:eastAsia="Times New Roman" w:cs="Times New Roman"/>
          <w:sz w:val="22"/>
          <w:szCs w:val="22"/>
          <w:lang w:val="en-GB"/>
        </w:rPr>
      </w:pPr>
      <w:r>
        <w:rPr>
          <w:rFonts w:eastAsia="Times New Roman" w:cs="Times New Roman"/>
          <w:sz w:val="22"/>
          <w:szCs w:val="22"/>
          <w:lang w:val="en-GB"/>
        </w:rPr>
        <w:t>Modalities for the i</w:t>
      </w:r>
      <w:r w:rsidR="00F37C9A">
        <w:rPr>
          <w:rFonts w:eastAsia="Times New Roman" w:cs="Times New Roman"/>
          <w:sz w:val="22"/>
          <w:szCs w:val="22"/>
          <w:lang w:val="en-GB"/>
        </w:rPr>
        <w:t>mplementation of the programme were developed</w:t>
      </w:r>
      <w:r w:rsidR="001C7D60">
        <w:rPr>
          <w:rFonts w:eastAsia="Times New Roman" w:cs="Times New Roman"/>
          <w:sz w:val="22"/>
          <w:szCs w:val="22"/>
          <w:lang w:val="en-GB"/>
        </w:rPr>
        <w:t xml:space="preserve"> throughout the period and agreed progressively at the Joint Pro</w:t>
      </w:r>
      <w:r w:rsidR="005633FF">
        <w:rPr>
          <w:rFonts w:eastAsia="Times New Roman" w:cs="Times New Roman"/>
          <w:sz w:val="22"/>
          <w:szCs w:val="22"/>
          <w:lang w:val="en-GB"/>
        </w:rPr>
        <w:t>gramming Committee meetings.</w:t>
      </w:r>
      <w:r w:rsidR="00DA3105">
        <w:rPr>
          <w:rFonts w:eastAsia="Times New Roman" w:cs="Times New Roman"/>
          <w:sz w:val="22"/>
          <w:szCs w:val="22"/>
          <w:lang w:val="en-GB"/>
        </w:rPr>
        <w:t xml:space="preserve"> </w:t>
      </w:r>
    </w:p>
    <w:p w14:paraId="1D7834A8" w14:textId="77777777" w:rsidR="00C16439" w:rsidRDefault="006F2176" w:rsidP="00301161">
      <w:pPr>
        <w:spacing w:before="120" w:after="0" w:line="21" w:lineRule="atLeast"/>
        <w:jc w:val="both"/>
        <w:rPr>
          <w:rFonts w:eastAsia="Times New Roman" w:cs="Times New Roman"/>
          <w:sz w:val="22"/>
          <w:szCs w:val="22"/>
          <w:lang w:val="en-GB"/>
        </w:rPr>
      </w:pPr>
      <w:r w:rsidRPr="00F62747">
        <w:rPr>
          <w:rFonts w:eastAsia="Times New Roman" w:cs="Times New Roman"/>
          <w:sz w:val="22"/>
          <w:szCs w:val="22"/>
          <w:lang w:val="en-GB"/>
        </w:rPr>
        <w:t xml:space="preserve">The </w:t>
      </w:r>
      <w:r w:rsidR="00D36B0F" w:rsidRPr="00F62747">
        <w:rPr>
          <w:rFonts w:eastAsia="Times New Roman" w:cs="Times New Roman"/>
          <w:sz w:val="22"/>
          <w:szCs w:val="22"/>
          <w:lang w:val="en-GB"/>
        </w:rPr>
        <w:t xml:space="preserve">final public consultation of the </w:t>
      </w:r>
      <w:r w:rsidRPr="00F62747">
        <w:rPr>
          <w:rFonts w:eastAsia="Times New Roman" w:cs="Times New Roman"/>
          <w:sz w:val="22"/>
          <w:szCs w:val="22"/>
          <w:lang w:val="en-GB"/>
        </w:rPr>
        <w:t>whole Joint O</w:t>
      </w:r>
      <w:r w:rsidR="00C16439" w:rsidRPr="00F62747">
        <w:rPr>
          <w:rFonts w:eastAsia="Times New Roman" w:cs="Times New Roman"/>
          <w:sz w:val="22"/>
          <w:szCs w:val="22"/>
          <w:lang w:val="en-GB"/>
        </w:rPr>
        <w:t>pe</w:t>
      </w:r>
      <w:r w:rsidRPr="00F62747">
        <w:rPr>
          <w:rFonts w:eastAsia="Times New Roman" w:cs="Times New Roman"/>
          <w:sz w:val="22"/>
          <w:szCs w:val="22"/>
          <w:lang w:val="en-GB"/>
        </w:rPr>
        <w:t>rational P</w:t>
      </w:r>
      <w:r w:rsidR="00EE6976" w:rsidRPr="00F62747">
        <w:rPr>
          <w:rFonts w:eastAsia="Times New Roman" w:cs="Times New Roman"/>
          <w:sz w:val="22"/>
          <w:szCs w:val="22"/>
          <w:lang w:val="en-GB"/>
        </w:rPr>
        <w:t xml:space="preserve">rogramme </w:t>
      </w:r>
      <w:r w:rsidR="00FF3087" w:rsidRPr="00F62747">
        <w:rPr>
          <w:rFonts w:eastAsia="Times New Roman" w:cs="Times New Roman"/>
          <w:sz w:val="22"/>
          <w:szCs w:val="22"/>
          <w:lang w:val="en-GB"/>
        </w:rPr>
        <w:t>was</w:t>
      </w:r>
      <w:r w:rsidR="00D36B0F" w:rsidRPr="00F62747">
        <w:rPr>
          <w:rFonts w:eastAsia="Times New Roman" w:cs="Times New Roman"/>
          <w:sz w:val="22"/>
          <w:szCs w:val="22"/>
          <w:lang w:val="en-GB"/>
        </w:rPr>
        <w:t xml:space="preserve"> held</w:t>
      </w:r>
      <w:r w:rsidR="003E054C" w:rsidRPr="00F62747">
        <w:rPr>
          <w:rFonts w:eastAsia="Times New Roman" w:cs="Times New Roman"/>
          <w:sz w:val="22"/>
          <w:szCs w:val="22"/>
          <w:lang w:val="en-GB"/>
        </w:rPr>
        <w:t xml:space="preserve"> </w:t>
      </w:r>
      <w:r w:rsidR="00FA7EF2" w:rsidRPr="00F62747">
        <w:rPr>
          <w:rFonts w:eastAsia="Times New Roman" w:cs="Times New Roman"/>
          <w:sz w:val="22"/>
          <w:szCs w:val="22"/>
          <w:lang w:val="en-GB"/>
        </w:rPr>
        <w:t>from 16 March to 3 April</w:t>
      </w:r>
      <w:r w:rsidR="003E054C" w:rsidRPr="00F62747">
        <w:rPr>
          <w:rFonts w:eastAsia="Times New Roman" w:cs="Times New Roman"/>
          <w:sz w:val="22"/>
          <w:szCs w:val="22"/>
          <w:lang w:val="en-GB"/>
        </w:rPr>
        <w:t xml:space="preserve"> 2015</w:t>
      </w:r>
      <w:r w:rsidR="00E27A67" w:rsidRPr="00F62747">
        <w:rPr>
          <w:rFonts w:eastAsia="Times New Roman" w:cs="Times New Roman"/>
          <w:sz w:val="22"/>
          <w:szCs w:val="22"/>
          <w:lang w:val="en-GB"/>
        </w:rPr>
        <w:t xml:space="preserve"> </w:t>
      </w:r>
      <w:r w:rsidR="00CA5724" w:rsidRPr="00F62747">
        <w:rPr>
          <w:rFonts w:eastAsia="Times New Roman" w:cs="Times New Roman"/>
          <w:sz w:val="22"/>
          <w:szCs w:val="22"/>
          <w:lang w:val="en-GB"/>
        </w:rPr>
        <w:t>by</w:t>
      </w:r>
      <w:r w:rsidR="00CA5724">
        <w:rPr>
          <w:rFonts w:eastAsia="Times New Roman" w:cs="Times New Roman"/>
          <w:sz w:val="22"/>
          <w:szCs w:val="22"/>
          <w:lang w:val="en-GB"/>
        </w:rPr>
        <w:t xml:space="preserve"> national authorities and </w:t>
      </w:r>
      <w:r w:rsidR="00E27A67">
        <w:rPr>
          <w:rFonts w:eastAsia="Times New Roman" w:cs="Times New Roman"/>
          <w:sz w:val="22"/>
          <w:szCs w:val="22"/>
          <w:lang w:val="en-GB"/>
        </w:rPr>
        <w:t>via the website of the current programme</w:t>
      </w:r>
      <w:r w:rsidR="003E054C">
        <w:rPr>
          <w:rFonts w:eastAsia="Times New Roman" w:cs="Times New Roman"/>
          <w:sz w:val="22"/>
          <w:szCs w:val="22"/>
          <w:lang w:val="en-GB"/>
        </w:rPr>
        <w:t>.</w:t>
      </w:r>
    </w:p>
    <w:p w14:paraId="2788D3DE" w14:textId="77777777" w:rsidR="001E1763" w:rsidRPr="00301161" w:rsidRDefault="00A70A09" w:rsidP="00301161">
      <w:pPr>
        <w:spacing w:before="120" w:after="0" w:line="21" w:lineRule="atLeast"/>
        <w:jc w:val="both"/>
        <w:rPr>
          <w:rFonts w:eastAsia="Times New Roman" w:cs="Times New Roman"/>
          <w:sz w:val="22"/>
          <w:szCs w:val="22"/>
          <w:lang w:val="en-GB"/>
        </w:rPr>
      </w:pPr>
      <w:r>
        <w:rPr>
          <w:rFonts w:eastAsia="Times New Roman" w:cs="Times New Roman"/>
          <w:sz w:val="22"/>
          <w:szCs w:val="22"/>
          <w:lang w:val="en-GB"/>
        </w:rPr>
        <w:lastRenderedPageBreak/>
        <w:t xml:space="preserve">The programming process, including drafting of the programme and </w:t>
      </w:r>
      <w:r w:rsidR="00F81E24">
        <w:rPr>
          <w:rFonts w:eastAsia="Times New Roman" w:cs="Times New Roman"/>
          <w:sz w:val="22"/>
          <w:szCs w:val="22"/>
          <w:lang w:val="en-GB"/>
        </w:rPr>
        <w:t>organisation of consultations in partner</w:t>
      </w:r>
      <w:r w:rsidR="00F608BB">
        <w:rPr>
          <w:rFonts w:eastAsia="Times New Roman" w:cs="Times New Roman"/>
          <w:sz w:val="22"/>
          <w:szCs w:val="22"/>
          <w:lang w:val="en-GB"/>
        </w:rPr>
        <w:t xml:space="preserve"> countries, </w:t>
      </w:r>
      <w:r w:rsidR="00BF7B39">
        <w:rPr>
          <w:rFonts w:eastAsia="Times New Roman" w:cs="Times New Roman"/>
          <w:sz w:val="22"/>
          <w:szCs w:val="22"/>
          <w:lang w:val="en-GB"/>
        </w:rPr>
        <w:t>was</w:t>
      </w:r>
      <w:r w:rsidR="00F81E24">
        <w:rPr>
          <w:rFonts w:eastAsia="Times New Roman" w:cs="Times New Roman"/>
          <w:sz w:val="22"/>
          <w:szCs w:val="22"/>
          <w:lang w:val="en-GB"/>
        </w:rPr>
        <w:t xml:space="preserve"> </w:t>
      </w:r>
      <w:r w:rsidR="00BF7B39">
        <w:rPr>
          <w:rFonts w:eastAsia="Times New Roman" w:cs="Times New Roman"/>
          <w:sz w:val="22"/>
          <w:szCs w:val="22"/>
          <w:lang w:val="en-GB"/>
        </w:rPr>
        <w:t>supported</w:t>
      </w:r>
      <w:r w:rsidR="00F81E24">
        <w:rPr>
          <w:rFonts w:eastAsia="Times New Roman" w:cs="Times New Roman"/>
          <w:sz w:val="22"/>
          <w:szCs w:val="22"/>
          <w:lang w:val="en-GB"/>
        </w:rPr>
        <w:t xml:space="preserve"> by </w:t>
      </w:r>
      <w:r w:rsidR="00BF7B39">
        <w:rPr>
          <w:rFonts w:eastAsia="Times New Roman" w:cs="Times New Roman"/>
          <w:sz w:val="22"/>
          <w:szCs w:val="22"/>
          <w:lang w:val="en-GB"/>
        </w:rPr>
        <w:t xml:space="preserve">the </w:t>
      </w:r>
      <w:r w:rsidR="00F81E24">
        <w:rPr>
          <w:rFonts w:eastAsia="Times New Roman" w:cs="Times New Roman"/>
          <w:sz w:val="22"/>
          <w:szCs w:val="22"/>
          <w:lang w:val="en-GB"/>
        </w:rPr>
        <w:t>EU technical assistance project ENI CBC Support to Preparation</w:t>
      </w:r>
      <w:r w:rsidR="00D36B0F">
        <w:rPr>
          <w:rFonts w:eastAsia="Times New Roman" w:cs="Times New Roman"/>
          <w:sz w:val="22"/>
          <w:szCs w:val="22"/>
          <w:lang w:val="en-GB"/>
        </w:rPr>
        <w:t xml:space="preserve"> of Programmes (SPP)</w:t>
      </w:r>
      <w:r w:rsidR="00E52D10">
        <w:rPr>
          <w:rFonts w:eastAsia="Times New Roman" w:cs="Times New Roman"/>
          <w:sz w:val="22"/>
          <w:szCs w:val="22"/>
          <w:lang w:val="en-GB"/>
        </w:rPr>
        <w:t>. C</w:t>
      </w:r>
      <w:r w:rsidR="007A4563" w:rsidRPr="00301161">
        <w:rPr>
          <w:rFonts w:eastAsia="Times New Roman" w:cs="Times New Roman"/>
          <w:sz w:val="22"/>
          <w:szCs w:val="22"/>
          <w:lang w:val="en-GB"/>
        </w:rPr>
        <w:t>omments from</w:t>
      </w:r>
      <w:r w:rsidR="006E54C1">
        <w:rPr>
          <w:rFonts w:eastAsia="Times New Roman" w:cs="Times New Roman"/>
          <w:sz w:val="22"/>
          <w:szCs w:val="22"/>
          <w:lang w:val="en-GB"/>
        </w:rPr>
        <w:t xml:space="preserve"> </w:t>
      </w:r>
      <w:r w:rsidR="00BF7B39">
        <w:rPr>
          <w:rFonts w:eastAsia="Times New Roman" w:cs="Times New Roman"/>
          <w:sz w:val="22"/>
          <w:szCs w:val="22"/>
          <w:lang w:val="en-GB"/>
        </w:rPr>
        <w:t xml:space="preserve">the </w:t>
      </w:r>
      <w:r w:rsidR="006E54C1">
        <w:rPr>
          <w:rFonts w:eastAsia="Times New Roman" w:cs="Times New Roman"/>
          <w:sz w:val="22"/>
          <w:szCs w:val="22"/>
          <w:lang w:val="en-GB"/>
        </w:rPr>
        <w:t>EU technical assistance project</w:t>
      </w:r>
      <w:r w:rsidR="007A4563" w:rsidRPr="00301161">
        <w:rPr>
          <w:rFonts w:eastAsia="Times New Roman" w:cs="Times New Roman"/>
          <w:sz w:val="22"/>
          <w:szCs w:val="22"/>
          <w:lang w:val="en-GB"/>
        </w:rPr>
        <w:t xml:space="preserve"> </w:t>
      </w:r>
      <w:r w:rsidR="00D36B0F">
        <w:rPr>
          <w:rFonts w:eastAsia="Times New Roman" w:cs="Times New Roman"/>
          <w:sz w:val="22"/>
          <w:szCs w:val="22"/>
          <w:lang w:val="en-GB"/>
        </w:rPr>
        <w:t>INTERACT</w:t>
      </w:r>
      <w:r w:rsidR="00D36B0F" w:rsidRPr="00301161">
        <w:rPr>
          <w:rFonts w:eastAsia="Times New Roman" w:cs="Times New Roman"/>
          <w:sz w:val="22"/>
          <w:szCs w:val="22"/>
          <w:lang w:val="en-GB"/>
        </w:rPr>
        <w:t xml:space="preserve"> </w:t>
      </w:r>
      <w:r w:rsidR="007A4563" w:rsidRPr="00301161">
        <w:rPr>
          <w:rFonts w:eastAsia="Times New Roman" w:cs="Times New Roman"/>
          <w:sz w:val="22"/>
          <w:szCs w:val="22"/>
          <w:lang w:val="en-GB"/>
        </w:rPr>
        <w:t>E</w:t>
      </w:r>
      <w:r w:rsidR="000C6E8E" w:rsidRPr="00301161">
        <w:rPr>
          <w:rFonts w:eastAsia="Times New Roman" w:cs="Times New Roman"/>
          <w:sz w:val="22"/>
          <w:szCs w:val="22"/>
          <w:lang w:val="en-GB"/>
        </w:rPr>
        <w:t>NPI</w:t>
      </w:r>
      <w:r w:rsidR="006E54C1">
        <w:rPr>
          <w:rFonts w:eastAsia="Times New Roman" w:cs="Times New Roman"/>
          <w:sz w:val="22"/>
          <w:szCs w:val="22"/>
          <w:lang w:val="en-GB"/>
        </w:rPr>
        <w:t xml:space="preserve"> </w:t>
      </w:r>
      <w:r w:rsidR="00BF7B39">
        <w:rPr>
          <w:rFonts w:eastAsia="Times New Roman" w:cs="Times New Roman"/>
          <w:sz w:val="22"/>
          <w:szCs w:val="22"/>
          <w:lang w:val="en-GB"/>
        </w:rPr>
        <w:t xml:space="preserve">also </w:t>
      </w:r>
      <w:r w:rsidR="007A4563" w:rsidRPr="00301161">
        <w:rPr>
          <w:rFonts w:eastAsia="Times New Roman" w:cs="Times New Roman"/>
          <w:sz w:val="22"/>
          <w:szCs w:val="22"/>
          <w:lang w:val="en-GB"/>
        </w:rPr>
        <w:t>have been incorporated.</w:t>
      </w:r>
    </w:p>
    <w:p w14:paraId="4734C663" w14:textId="77777777" w:rsidR="004B63F2" w:rsidRPr="004B36E7" w:rsidRDefault="004B63F2" w:rsidP="003A01F9">
      <w:pPr>
        <w:pStyle w:val="Heading3"/>
        <w:numPr>
          <w:ilvl w:val="0"/>
          <w:numId w:val="81"/>
        </w:numPr>
        <w:spacing w:before="360" w:after="120" w:line="252" w:lineRule="auto"/>
        <w:rPr>
          <w:b/>
          <w:sz w:val="28"/>
          <w:szCs w:val="28"/>
          <w:lang w:val="en-GB"/>
        </w:rPr>
      </w:pPr>
      <w:bookmarkStart w:id="4" w:name="_Toc423436263"/>
      <w:r w:rsidRPr="004B36E7">
        <w:rPr>
          <w:b/>
          <w:sz w:val="28"/>
          <w:szCs w:val="28"/>
          <w:lang w:val="en-GB"/>
        </w:rPr>
        <w:t>Summar</w:t>
      </w:r>
      <w:r w:rsidR="001E1763" w:rsidRPr="004B36E7">
        <w:rPr>
          <w:b/>
          <w:sz w:val="28"/>
          <w:szCs w:val="28"/>
          <w:lang w:val="en-GB"/>
        </w:rPr>
        <w:t>y of programme</w:t>
      </w:r>
      <w:r w:rsidRPr="004B36E7">
        <w:rPr>
          <w:b/>
          <w:sz w:val="28"/>
          <w:szCs w:val="28"/>
          <w:lang w:val="en-GB"/>
        </w:rPr>
        <w:t xml:space="preserve"> strategy</w:t>
      </w:r>
      <w:bookmarkEnd w:id="4"/>
    </w:p>
    <w:p w14:paraId="4EAB9C88" w14:textId="77777777" w:rsidR="00713196" w:rsidRPr="00682784" w:rsidRDefault="00713196" w:rsidP="00CC783D">
      <w:pPr>
        <w:spacing w:after="60" w:line="21" w:lineRule="atLeast"/>
        <w:jc w:val="both"/>
        <w:rPr>
          <w:sz w:val="22"/>
          <w:szCs w:val="22"/>
          <w:lang w:val="en-GB"/>
        </w:rPr>
      </w:pPr>
      <w:r w:rsidRPr="00682784">
        <w:rPr>
          <w:sz w:val="22"/>
          <w:szCs w:val="22"/>
          <w:lang w:val="en-GB"/>
        </w:rPr>
        <w:t>As a result of the completed analytical and consultation process, the Black Sea Basin progr</w:t>
      </w:r>
      <w:r w:rsidR="00B04B66" w:rsidRPr="00682784">
        <w:rPr>
          <w:sz w:val="22"/>
          <w:szCs w:val="22"/>
          <w:lang w:val="en-GB"/>
        </w:rPr>
        <w:t>amme will focus on two ENI CBC t</w:t>
      </w:r>
      <w:r w:rsidRPr="00682784">
        <w:rPr>
          <w:sz w:val="22"/>
          <w:szCs w:val="22"/>
          <w:lang w:val="en-GB"/>
        </w:rPr>
        <w:t>hematic o</w:t>
      </w:r>
      <w:r w:rsidR="00B04B66" w:rsidRPr="00682784">
        <w:rPr>
          <w:sz w:val="22"/>
          <w:szCs w:val="22"/>
          <w:lang w:val="en-GB"/>
        </w:rPr>
        <w:t>bjectives, contributing to two o</w:t>
      </w:r>
      <w:r w:rsidRPr="00682784">
        <w:rPr>
          <w:sz w:val="22"/>
          <w:szCs w:val="22"/>
          <w:lang w:val="en-GB"/>
        </w:rPr>
        <w:t>verarching</w:t>
      </w:r>
      <w:r w:rsidR="00A51684" w:rsidRPr="00682784">
        <w:rPr>
          <w:sz w:val="22"/>
          <w:szCs w:val="22"/>
          <w:lang w:val="en-GB"/>
        </w:rPr>
        <w:t xml:space="preserve"> strategic</w:t>
      </w:r>
      <w:r w:rsidRPr="00682784">
        <w:rPr>
          <w:sz w:val="22"/>
          <w:szCs w:val="22"/>
          <w:lang w:val="en-GB"/>
        </w:rPr>
        <w:t xml:space="preserve"> obj</w:t>
      </w:r>
      <w:r w:rsidR="00B04B66" w:rsidRPr="00682784">
        <w:rPr>
          <w:sz w:val="22"/>
          <w:szCs w:val="22"/>
          <w:lang w:val="en-GB"/>
        </w:rPr>
        <w:t>ectives, as defined in ENI CBC P</w:t>
      </w:r>
      <w:r w:rsidRPr="00682784">
        <w:rPr>
          <w:sz w:val="22"/>
          <w:szCs w:val="22"/>
          <w:lang w:val="en-GB"/>
        </w:rPr>
        <w:t>rogramming document </w:t>
      </w:r>
      <w:r w:rsidR="00B04B66" w:rsidRPr="00682784">
        <w:rPr>
          <w:sz w:val="22"/>
          <w:szCs w:val="22"/>
          <w:lang w:val="en-GB"/>
        </w:rPr>
        <w:t>2014-</w:t>
      </w:r>
      <w:r w:rsidR="00374E78" w:rsidRPr="00682784">
        <w:rPr>
          <w:sz w:val="22"/>
          <w:szCs w:val="22"/>
          <w:lang w:val="en-GB"/>
        </w:rPr>
        <w:t>20</w:t>
      </w:r>
      <w:r w:rsidR="00B04B66" w:rsidRPr="00682784">
        <w:rPr>
          <w:sz w:val="22"/>
          <w:szCs w:val="22"/>
          <w:lang w:val="en-GB"/>
        </w:rPr>
        <w:t>20</w:t>
      </w:r>
      <w:r w:rsidRPr="00682784">
        <w:rPr>
          <w:sz w:val="22"/>
          <w:szCs w:val="22"/>
          <w:lang w:val="en-GB"/>
        </w:rPr>
        <w:t>:</w:t>
      </w:r>
    </w:p>
    <w:p w14:paraId="28A0DBB5" w14:textId="77777777" w:rsidR="0006798E" w:rsidRDefault="0006798E" w:rsidP="00CC783D">
      <w:pPr>
        <w:pStyle w:val="ListParagraph"/>
        <w:numPr>
          <w:ilvl w:val="0"/>
          <w:numId w:val="66"/>
        </w:numPr>
        <w:spacing w:before="120" w:after="0" w:line="21" w:lineRule="atLeast"/>
        <w:jc w:val="both"/>
        <w:rPr>
          <w:sz w:val="22"/>
          <w:szCs w:val="22"/>
          <w:lang w:val="en-GB"/>
        </w:rPr>
      </w:pPr>
      <w:r>
        <w:rPr>
          <w:sz w:val="22"/>
          <w:szCs w:val="22"/>
          <w:lang w:val="en-GB"/>
        </w:rPr>
        <w:t xml:space="preserve">Thematic Objective 1. </w:t>
      </w:r>
      <w:r w:rsidRPr="00713196">
        <w:rPr>
          <w:i/>
          <w:sz w:val="22"/>
          <w:szCs w:val="22"/>
          <w:lang w:val="en-GB"/>
        </w:rPr>
        <w:t>Business and SME development</w:t>
      </w:r>
      <w:r>
        <w:rPr>
          <w:sz w:val="22"/>
          <w:szCs w:val="22"/>
          <w:lang w:val="en-GB"/>
        </w:rPr>
        <w:t>, contributing to ENI CBC overarching strategic objective</w:t>
      </w:r>
      <w:r w:rsidR="00A50DCF">
        <w:rPr>
          <w:sz w:val="22"/>
          <w:szCs w:val="22"/>
          <w:lang w:val="en-GB"/>
        </w:rPr>
        <w:t xml:space="preserve"> </w:t>
      </w:r>
      <w:r>
        <w:rPr>
          <w:sz w:val="22"/>
          <w:szCs w:val="22"/>
          <w:lang w:val="en-GB"/>
        </w:rPr>
        <w:t>A</w:t>
      </w:r>
      <w:r w:rsidR="00713196">
        <w:rPr>
          <w:sz w:val="22"/>
          <w:szCs w:val="22"/>
          <w:lang w:val="en-GB"/>
        </w:rPr>
        <w:t xml:space="preserve">. </w:t>
      </w:r>
      <w:r w:rsidR="00713196" w:rsidRPr="00713196">
        <w:rPr>
          <w:i/>
          <w:sz w:val="22"/>
          <w:szCs w:val="22"/>
          <w:lang w:val="en-GB"/>
        </w:rPr>
        <w:t>Promote economic and social development in regions on both sides of common borders</w:t>
      </w:r>
    </w:p>
    <w:p w14:paraId="3E19817A" w14:textId="77777777" w:rsidR="0006798E" w:rsidRPr="00713196" w:rsidRDefault="0006798E" w:rsidP="00CC783D">
      <w:pPr>
        <w:pStyle w:val="ListParagraph"/>
        <w:numPr>
          <w:ilvl w:val="0"/>
          <w:numId w:val="66"/>
        </w:numPr>
        <w:autoSpaceDE w:val="0"/>
        <w:autoSpaceDN w:val="0"/>
        <w:adjustRightInd w:val="0"/>
        <w:spacing w:after="120" w:line="21" w:lineRule="atLeast"/>
        <w:jc w:val="both"/>
        <w:rPr>
          <w:sz w:val="22"/>
          <w:szCs w:val="22"/>
          <w:lang w:val="en-GB"/>
        </w:rPr>
      </w:pPr>
      <w:r>
        <w:rPr>
          <w:sz w:val="22"/>
          <w:szCs w:val="22"/>
          <w:lang w:val="en-GB"/>
        </w:rPr>
        <w:t xml:space="preserve">Thematic Objective 6. </w:t>
      </w:r>
      <w:r w:rsidRPr="00713196">
        <w:rPr>
          <w:i/>
          <w:sz w:val="22"/>
          <w:szCs w:val="22"/>
          <w:lang w:val="en-GB"/>
        </w:rPr>
        <w:t xml:space="preserve">Environmental protection, </w:t>
      </w:r>
      <w:r w:rsidR="00BE6D0E">
        <w:rPr>
          <w:i/>
          <w:sz w:val="22"/>
          <w:szCs w:val="22"/>
          <w:lang w:val="en-GB"/>
        </w:rPr>
        <w:t xml:space="preserve">and </w:t>
      </w:r>
      <w:r w:rsidRPr="00713196">
        <w:rPr>
          <w:i/>
          <w:sz w:val="22"/>
          <w:szCs w:val="22"/>
          <w:lang w:val="en-GB"/>
        </w:rPr>
        <w:t xml:space="preserve">climate change </w:t>
      </w:r>
      <w:r w:rsidR="009C7B3B">
        <w:rPr>
          <w:i/>
          <w:sz w:val="22"/>
          <w:szCs w:val="22"/>
          <w:lang w:val="en-GB"/>
        </w:rPr>
        <w:t xml:space="preserve">mitigation and </w:t>
      </w:r>
      <w:r w:rsidRPr="00713196">
        <w:rPr>
          <w:i/>
          <w:sz w:val="22"/>
          <w:szCs w:val="22"/>
          <w:lang w:val="en-GB"/>
        </w:rPr>
        <w:t>adaptation</w:t>
      </w:r>
      <w:r w:rsidR="00713196">
        <w:rPr>
          <w:sz w:val="22"/>
          <w:szCs w:val="22"/>
          <w:lang w:val="en-GB"/>
        </w:rPr>
        <w:t xml:space="preserve">, contributing to ENI CBC overarching strategic objective B. </w:t>
      </w:r>
      <w:r w:rsidR="00713196" w:rsidRPr="00713196">
        <w:rPr>
          <w:i/>
          <w:sz w:val="22"/>
          <w:szCs w:val="22"/>
          <w:lang w:val="en-GB"/>
        </w:rPr>
        <w:t>Address common challenges in environment, public health, safety and security</w:t>
      </w:r>
    </w:p>
    <w:p w14:paraId="7388ED2C" w14:textId="77777777" w:rsidR="00242208" w:rsidRDefault="008F5270" w:rsidP="00CC783D">
      <w:pPr>
        <w:widowControl w:val="0"/>
        <w:autoSpaceDE w:val="0"/>
        <w:autoSpaceDN w:val="0"/>
        <w:adjustRightInd w:val="0"/>
        <w:spacing w:after="0" w:line="21" w:lineRule="atLeast"/>
        <w:jc w:val="both"/>
        <w:rPr>
          <w:sz w:val="22"/>
          <w:szCs w:val="22"/>
          <w:lang w:val="en-GB"/>
        </w:rPr>
      </w:pPr>
      <w:r>
        <w:rPr>
          <w:sz w:val="22"/>
          <w:szCs w:val="22"/>
          <w:lang w:val="en-GB"/>
        </w:rPr>
        <w:t>Within these</w:t>
      </w:r>
      <w:r w:rsidR="00EE248F">
        <w:rPr>
          <w:sz w:val="22"/>
          <w:szCs w:val="22"/>
          <w:lang w:val="en-GB"/>
        </w:rPr>
        <w:t xml:space="preserve"> ENI CBC</w:t>
      </w:r>
      <w:r>
        <w:rPr>
          <w:sz w:val="22"/>
          <w:szCs w:val="22"/>
          <w:lang w:val="en-GB"/>
        </w:rPr>
        <w:t xml:space="preserve"> thematic</w:t>
      </w:r>
      <w:r w:rsidR="00A50DCF">
        <w:rPr>
          <w:sz w:val="22"/>
          <w:szCs w:val="22"/>
          <w:lang w:val="en-GB"/>
        </w:rPr>
        <w:t xml:space="preserve"> objectives, participating cou</w:t>
      </w:r>
      <w:r>
        <w:rPr>
          <w:sz w:val="22"/>
          <w:szCs w:val="22"/>
          <w:lang w:val="en-GB"/>
        </w:rPr>
        <w:t xml:space="preserve">ntries have agreed a set of </w:t>
      </w:r>
      <w:proofErr w:type="spellStart"/>
      <w:r>
        <w:rPr>
          <w:sz w:val="22"/>
          <w:szCs w:val="22"/>
          <w:lang w:val="en-GB"/>
        </w:rPr>
        <w:t>of</w:t>
      </w:r>
      <w:proofErr w:type="spellEnd"/>
      <w:r>
        <w:rPr>
          <w:sz w:val="22"/>
          <w:szCs w:val="22"/>
          <w:lang w:val="en-GB"/>
        </w:rPr>
        <w:t xml:space="preserve"> </w:t>
      </w:r>
      <w:r w:rsidR="00A50DCF">
        <w:rPr>
          <w:sz w:val="22"/>
          <w:szCs w:val="22"/>
          <w:lang w:val="en-GB"/>
        </w:rPr>
        <w:t>objectives and priorities for the Black Sea Basin programm</w:t>
      </w:r>
      <w:r>
        <w:rPr>
          <w:sz w:val="22"/>
          <w:szCs w:val="22"/>
          <w:lang w:val="en-GB"/>
        </w:rPr>
        <w:t>e, reflecting their specific circumstances and requirements, as presented in the table below.</w:t>
      </w:r>
      <w:r w:rsidR="00A50DCF">
        <w:rPr>
          <w:sz w:val="22"/>
          <w:szCs w:val="22"/>
          <w:lang w:val="en-GB"/>
        </w:rPr>
        <w:t xml:space="preserve"> </w:t>
      </w:r>
    </w:p>
    <w:p w14:paraId="66FFB89A" w14:textId="77777777" w:rsidR="008F5270" w:rsidRPr="00BF6DDD" w:rsidRDefault="008F5270" w:rsidP="00BF6DDD">
      <w:pPr>
        <w:spacing w:before="240" w:after="120"/>
        <w:rPr>
          <w:b/>
          <w:color w:val="983620" w:themeColor="accent2"/>
          <w:sz w:val="22"/>
          <w:szCs w:val="22"/>
          <w:lang w:val="en-GB"/>
        </w:rPr>
      </w:pPr>
      <w:r w:rsidRPr="00BF6DDD">
        <w:rPr>
          <w:b/>
          <w:color w:val="983620" w:themeColor="accent2"/>
          <w:sz w:val="22"/>
          <w:szCs w:val="22"/>
          <w:lang w:val="en-GB"/>
        </w:rPr>
        <w:t>Black Sea Basin ENI Cross-Border Cooperation</w:t>
      </w:r>
      <w:r w:rsidR="00476D32" w:rsidRPr="00BF6DDD">
        <w:rPr>
          <w:b/>
          <w:color w:val="983620" w:themeColor="accent2"/>
          <w:sz w:val="22"/>
          <w:szCs w:val="22"/>
          <w:lang w:val="en-GB"/>
        </w:rPr>
        <w:t xml:space="preserve"> </w:t>
      </w:r>
      <w:r w:rsidR="006860AD">
        <w:rPr>
          <w:b/>
          <w:color w:val="983620" w:themeColor="accent2"/>
          <w:sz w:val="22"/>
          <w:szCs w:val="22"/>
          <w:lang w:val="en-GB"/>
        </w:rPr>
        <w:t xml:space="preserve">programme </w:t>
      </w:r>
      <w:r w:rsidR="00476D32" w:rsidRPr="00BF6DDD">
        <w:rPr>
          <w:b/>
          <w:color w:val="983620" w:themeColor="accent2"/>
          <w:sz w:val="22"/>
          <w:szCs w:val="22"/>
          <w:lang w:val="en-GB"/>
        </w:rPr>
        <w:t>2014-</w:t>
      </w:r>
      <w:r w:rsidR="00927048">
        <w:rPr>
          <w:b/>
          <w:color w:val="983620" w:themeColor="accent2"/>
          <w:sz w:val="22"/>
          <w:szCs w:val="22"/>
          <w:lang w:val="en-GB"/>
        </w:rPr>
        <w:t>20</w:t>
      </w:r>
      <w:r w:rsidR="00476D32" w:rsidRPr="00BF6DDD">
        <w:rPr>
          <w:b/>
          <w:color w:val="983620" w:themeColor="accent2"/>
          <w:sz w:val="22"/>
          <w:szCs w:val="22"/>
          <w:lang w:val="en-GB"/>
        </w:rPr>
        <w:t>20</w:t>
      </w:r>
      <w:r w:rsidRPr="00BF6DDD">
        <w:rPr>
          <w:b/>
          <w:color w:val="983620" w:themeColor="accent2"/>
          <w:sz w:val="22"/>
          <w:szCs w:val="22"/>
          <w:lang w:val="en-GB"/>
        </w:rPr>
        <w:t xml:space="preserve"> - Objectives and Priorities:</w:t>
      </w:r>
    </w:p>
    <w:tbl>
      <w:tblPr>
        <w:tblStyle w:val="LightGrid-Accent4"/>
        <w:tblW w:w="0" w:type="auto"/>
        <w:tblInd w:w="108" w:type="dxa"/>
        <w:tblLook w:val="04A0" w:firstRow="1" w:lastRow="0" w:firstColumn="1" w:lastColumn="0" w:noHBand="0" w:noVBand="1"/>
      </w:tblPr>
      <w:tblGrid>
        <w:gridCol w:w="2298"/>
        <w:gridCol w:w="2573"/>
        <w:gridCol w:w="3680"/>
        <w:gridCol w:w="1854"/>
      </w:tblGrid>
      <w:tr w:rsidR="00026A5C" w:rsidRPr="00A50DCF" w14:paraId="062CA0B4" w14:textId="77777777" w:rsidTr="00D37A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B59E374" w14:textId="77777777" w:rsidR="00026A5C" w:rsidRPr="009A3DCC" w:rsidRDefault="00026A5C" w:rsidP="00EF04F2">
            <w:pPr>
              <w:spacing w:before="60" w:after="60"/>
              <w:rPr>
                <w:color w:val="983620" w:themeColor="accent2"/>
                <w:sz w:val="22"/>
                <w:szCs w:val="22"/>
                <w:lang w:val="en-GB"/>
              </w:rPr>
            </w:pPr>
            <w:r w:rsidRPr="009A3DCC">
              <w:rPr>
                <w:color w:val="983620" w:themeColor="accent2"/>
                <w:sz w:val="22"/>
                <w:szCs w:val="22"/>
                <w:lang w:val="en-GB"/>
              </w:rPr>
              <w:t>Overall objective</w:t>
            </w:r>
          </w:p>
        </w:tc>
        <w:tc>
          <w:tcPr>
            <w:tcW w:w="2693" w:type="dxa"/>
          </w:tcPr>
          <w:p w14:paraId="4277CE7B" w14:textId="77777777" w:rsidR="00026A5C" w:rsidRPr="009A3DCC" w:rsidRDefault="00026A5C" w:rsidP="00EF04F2">
            <w:pPr>
              <w:spacing w:before="60" w:after="60"/>
              <w:cnfStyle w:val="100000000000" w:firstRow="1" w:lastRow="0" w:firstColumn="0" w:lastColumn="0" w:oddVBand="0" w:evenVBand="0" w:oddHBand="0" w:evenHBand="0" w:firstRowFirstColumn="0" w:firstRowLastColumn="0" w:lastRowFirstColumn="0" w:lastRowLastColumn="0"/>
              <w:rPr>
                <w:color w:val="983620" w:themeColor="accent2"/>
                <w:sz w:val="22"/>
                <w:szCs w:val="22"/>
                <w:lang w:val="en-GB"/>
              </w:rPr>
            </w:pPr>
            <w:r w:rsidRPr="009A3DCC">
              <w:rPr>
                <w:color w:val="983620" w:themeColor="accent2"/>
                <w:sz w:val="22"/>
                <w:szCs w:val="22"/>
                <w:lang w:val="en-GB"/>
              </w:rPr>
              <w:t>Specific objectives</w:t>
            </w:r>
          </w:p>
        </w:tc>
        <w:tc>
          <w:tcPr>
            <w:tcW w:w="3969" w:type="dxa"/>
          </w:tcPr>
          <w:p w14:paraId="0939098C" w14:textId="77777777" w:rsidR="00026A5C" w:rsidRPr="009A3DCC" w:rsidRDefault="00026A5C" w:rsidP="00EF04F2">
            <w:pPr>
              <w:spacing w:before="60" w:after="60"/>
              <w:cnfStyle w:val="100000000000" w:firstRow="1" w:lastRow="0" w:firstColumn="0" w:lastColumn="0" w:oddVBand="0" w:evenVBand="0" w:oddHBand="0" w:evenHBand="0" w:firstRowFirstColumn="0" w:firstRowLastColumn="0" w:lastRowFirstColumn="0" w:lastRowLastColumn="0"/>
              <w:rPr>
                <w:color w:val="983620" w:themeColor="accent2"/>
                <w:sz w:val="22"/>
                <w:szCs w:val="22"/>
                <w:lang w:val="en-GB"/>
              </w:rPr>
            </w:pPr>
            <w:r w:rsidRPr="009A3DCC">
              <w:rPr>
                <w:color w:val="983620" w:themeColor="accent2"/>
                <w:sz w:val="22"/>
                <w:szCs w:val="22"/>
                <w:lang w:val="en-GB"/>
              </w:rPr>
              <w:t>Priorities</w:t>
            </w:r>
          </w:p>
        </w:tc>
        <w:tc>
          <w:tcPr>
            <w:tcW w:w="1915" w:type="dxa"/>
          </w:tcPr>
          <w:p w14:paraId="6C2FF08F" w14:textId="77777777" w:rsidR="00026A5C" w:rsidRPr="009A3DCC" w:rsidRDefault="00026A5C" w:rsidP="00EF04F2">
            <w:pPr>
              <w:spacing w:before="60" w:after="60"/>
              <w:cnfStyle w:val="100000000000" w:firstRow="1" w:lastRow="0" w:firstColumn="0" w:lastColumn="0" w:oddVBand="0" w:evenVBand="0" w:oddHBand="0" w:evenHBand="0" w:firstRowFirstColumn="0" w:firstRowLastColumn="0" w:lastRowFirstColumn="0" w:lastRowLastColumn="0"/>
              <w:rPr>
                <w:color w:val="983620" w:themeColor="accent2"/>
                <w:sz w:val="22"/>
                <w:szCs w:val="22"/>
                <w:lang w:val="en-GB"/>
              </w:rPr>
            </w:pPr>
            <w:r>
              <w:rPr>
                <w:color w:val="983620" w:themeColor="accent2"/>
                <w:sz w:val="22"/>
                <w:szCs w:val="22"/>
                <w:lang w:val="en-GB"/>
              </w:rPr>
              <w:t>ENI EU funding (provisional)</w:t>
            </w:r>
          </w:p>
        </w:tc>
      </w:tr>
      <w:tr w:rsidR="00026A5C" w:rsidRPr="009A3DCC" w14:paraId="6286BD4C" w14:textId="77777777" w:rsidTr="001C6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val="restart"/>
            <w:shd w:val="clear" w:color="auto" w:fill="D9CDAE" w:themeFill="accent4" w:themeFillTint="99"/>
            <w:vAlign w:val="center"/>
          </w:tcPr>
          <w:p w14:paraId="791DCB84" w14:textId="77777777" w:rsidR="00026A5C" w:rsidRPr="009A3DCC" w:rsidRDefault="00026A5C" w:rsidP="0004394A">
            <w:pPr>
              <w:spacing w:before="60" w:after="60"/>
              <w:jc w:val="both"/>
              <w:rPr>
                <w:b w:val="0"/>
                <w:sz w:val="22"/>
                <w:szCs w:val="22"/>
                <w:lang w:val="en-GB"/>
              </w:rPr>
            </w:pPr>
            <w:r w:rsidRPr="009A3DCC">
              <w:rPr>
                <w:b w:val="0"/>
                <w:sz w:val="22"/>
                <w:szCs w:val="22"/>
                <w:lang w:val="en-GB"/>
              </w:rPr>
              <w:t>Improve the welfare of the people in the Black Sea basin regions through sustainable growth and joint environmental protection</w:t>
            </w:r>
          </w:p>
        </w:tc>
        <w:tc>
          <w:tcPr>
            <w:tcW w:w="2693" w:type="dxa"/>
            <w:vMerge w:val="restart"/>
            <w:shd w:val="clear" w:color="auto" w:fill="E6DEC9" w:themeFill="accent4" w:themeFillTint="66"/>
            <w:vAlign w:val="center"/>
          </w:tcPr>
          <w:p w14:paraId="071574A7" w14:textId="77777777" w:rsidR="00026A5C" w:rsidRPr="009A3DCC" w:rsidRDefault="00026A5C" w:rsidP="0004394A">
            <w:pPr>
              <w:spacing w:before="80" w:after="80"/>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9A3DCC">
              <w:rPr>
                <w:sz w:val="22"/>
                <w:szCs w:val="22"/>
                <w:lang w:val="en-GB"/>
              </w:rPr>
              <w:t>1. Promote business and entrepreneur</w:t>
            </w:r>
            <w:r w:rsidR="001C68BF">
              <w:rPr>
                <w:sz w:val="22"/>
                <w:szCs w:val="22"/>
                <w:lang w:val="en-GB"/>
              </w:rPr>
              <w:t>ship within the Black Sea basin</w:t>
            </w:r>
          </w:p>
        </w:tc>
        <w:tc>
          <w:tcPr>
            <w:tcW w:w="3969" w:type="dxa"/>
            <w:shd w:val="clear" w:color="auto" w:fill="E6DEC9" w:themeFill="accent4" w:themeFillTint="66"/>
            <w:vAlign w:val="center"/>
          </w:tcPr>
          <w:p w14:paraId="5D28DB25" w14:textId="77777777" w:rsidR="00026A5C" w:rsidRPr="009A3DCC" w:rsidRDefault="00026A5C" w:rsidP="0004394A">
            <w:pPr>
              <w:spacing w:before="80" w:after="80"/>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9A3DCC">
              <w:rPr>
                <w:sz w:val="22"/>
                <w:szCs w:val="22"/>
                <w:lang w:val="en-GB"/>
              </w:rPr>
              <w:t>1.1 Jointly promote business and entrepreneurship in the tourism and cultural sectors</w:t>
            </w:r>
          </w:p>
        </w:tc>
        <w:tc>
          <w:tcPr>
            <w:tcW w:w="1915" w:type="dxa"/>
            <w:vMerge w:val="restart"/>
            <w:shd w:val="clear" w:color="auto" w:fill="E6DEC9" w:themeFill="accent4" w:themeFillTint="66"/>
            <w:vAlign w:val="center"/>
          </w:tcPr>
          <w:p w14:paraId="036C084A" w14:textId="77777777" w:rsidR="00026A5C" w:rsidRPr="009A3DCC" w:rsidRDefault="001C68BF" w:rsidP="001C68BF">
            <w:pPr>
              <w:spacing w:before="80" w:after="80"/>
              <w:cnfStyle w:val="000000100000" w:firstRow="0" w:lastRow="0" w:firstColumn="0" w:lastColumn="0" w:oddVBand="0" w:evenVBand="0" w:oddHBand="1" w:evenHBand="0" w:firstRowFirstColumn="0" w:firstRowLastColumn="0" w:lastRowFirstColumn="0" w:lastRowLastColumn="0"/>
              <w:rPr>
                <w:sz w:val="22"/>
                <w:szCs w:val="22"/>
                <w:lang w:val="en-GB"/>
              </w:rPr>
            </w:pPr>
            <w:r>
              <w:rPr>
                <w:sz w:val="22"/>
                <w:szCs w:val="22"/>
                <w:lang w:val="en-GB"/>
              </w:rPr>
              <w:t>€25.34 million</w:t>
            </w:r>
            <w:r w:rsidR="00026A5C">
              <w:rPr>
                <w:sz w:val="22"/>
                <w:szCs w:val="22"/>
                <w:lang w:val="en-GB"/>
              </w:rPr>
              <w:t xml:space="preserve"> </w:t>
            </w:r>
          </w:p>
        </w:tc>
      </w:tr>
      <w:tr w:rsidR="00026A5C" w:rsidRPr="00B71347" w14:paraId="5FE4CC84" w14:textId="77777777" w:rsidTr="001C68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D9CDAE" w:themeFill="accent4" w:themeFillTint="99"/>
            <w:vAlign w:val="center"/>
          </w:tcPr>
          <w:p w14:paraId="6618F236" w14:textId="77777777" w:rsidR="00026A5C" w:rsidRPr="009A3DCC" w:rsidRDefault="00026A5C" w:rsidP="0004394A">
            <w:pPr>
              <w:spacing w:before="60" w:after="60"/>
              <w:jc w:val="both"/>
              <w:rPr>
                <w:sz w:val="22"/>
                <w:szCs w:val="22"/>
                <w:lang w:val="en-GB"/>
              </w:rPr>
            </w:pPr>
          </w:p>
        </w:tc>
        <w:tc>
          <w:tcPr>
            <w:tcW w:w="2693" w:type="dxa"/>
            <w:vMerge/>
            <w:shd w:val="clear" w:color="auto" w:fill="E6DEC9" w:themeFill="accent4" w:themeFillTint="66"/>
            <w:vAlign w:val="center"/>
          </w:tcPr>
          <w:p w14:paraId="6610E725" w14:textId="77777777" w:rsidR="00026A5C" w:rsidRPr="009A3DCC" w:rsidRDefault="00026A5C" w:rsidP="0004394A">
            <w:pPr>
              <w:spacing w:before="80" w:after="80"/>
              <w:jc w:val="both"/>
              <w:cnfStyle w:val="000000010000" w:firstRow="0" w:lastRow="0" w:firstColumn="0" w:lastColumn="0" w:oddVBand="0" w:evenVBand="0" w:oddHBand="0" w:evenHBand="1" w:firstRowFirstColumn="0" w:firstRowLastColumn="0" w:lastRowFirstColumn="0" w:lastRowLastColumn="0"/>
              <w:rPr>
                <w:b/>
                <w:sz w:val="22"/>
                <w:szCs w:val="22"/>
                <w:lang w:val="en-GB"/>
              </w:rPr>
            </w:pPr>
          </w:p>
        </w:tc>
        <w:tc>
          <w:tcPr>
            <w:tcW w:w="3969" w:type="dxa"/>
            <w:shd w:val="clear" w:color="auto" w:fill="E6DEC9" w:themeFill="accent4" w:themeFillTint="66"/>
            <w:vAlign w:val="center"/>
          </w:tcPr>
          <w:p w14:paraId="31805501" w14:textId="77777777" w:rsidR="00026A5C" w:rsidRPr="009A3DCC" w:rsidRDefault="00026A5C" w:rsidP="0004394A">
            <w:pPr>
              <w:spacing w:before="80" w:after="80"/>
              <w:jc w:val="both"/>
              <w:cnfStyle w:val="000000010000" w:firstRow="0" w:lastRow="0" w:firstColumn="0" w:lastColumn="0" w:oddVBand="0" w:evenVBand="0" w:oddHBand="0" w:evenHBand="1" w:firstRowFirstColumn="0" w:firstRowLastColumn="0" w:lastRowFirstColumn="0" w:lastRowLastColumn="0"/>
              <w:rPr>
                <w:b/>
                <w:sz w:val="22"/>
                <w:szCs w:val="22"/>
                <w:lang w:val="en-GB"/>
              </w:rPr>
            </w:pPr>
            <w:r w:rsidRPr="009A3DCC">
              <w:rPr>
                <w:sz w:val="22"/>
                <w:szCs w:val="22"/>
                <w:lang w:val="en-GB"/>
              </w:rPr>
              <w:t>1.2 Increase cross-border trade opportunities and modernisation in the agricultural and connected sectors</w:t>
            </w:r>
          </w:p>
        </w:tc>
        <w:tc>
          <w:tcPr>
            <w:tcW w:w="1915" w:type="dxa"/>
            <w:vMerge/>
            <w:shd w:val="clear" w:color="auto" w:fill="E6DEC9" w:themeFill="accent4" w:themeFillTint="66"/>
            <w:vAlign w:val="center"/>
          </w:tcPr>
          <w:p w14:paraId="2349C3AF" w14:textId="77777777" w:rsidR="00026A5C" w:rsidRPr="009A3DCC" w:rsidRDefault="00026A5C" w:rsidP="001C68BF">
            <w:pPr>
              <w:spacing w:before="80" w:after="80"/>
              <w:cnfStyle w:val="000000010000" w:firstRow="0" w:lastRow="0" w:firstColumn="0" w:lastColumn="0" w:oddVBand="0" w:evenVBand="0" w:oddHBand="0" w:evenHBand="1" w:firstRowFirstColumn="0" w:firstRowLastColumn="0" w:lastRowFirstColumn="0" w:lastRowLastColumn="0"/>
              <w:rPr>
                <w:sz w:val="22"/>
                <w:szCs w:val="22"/>
                <w:lang w:val="en-GB"/>
              </w:rPr>
            </w:pPr>
          </w:p>
        </w:tc>
      </w:tr>
      <w:tr w:rsidR="00026A5C" w:rsidRPr="009A3DCC" w14:paraId="27188978" w14:textId="77777777" w:rsidTr="001C6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D9CDAE" w:themeFill="accent4" w:themeFillTint="99"/>
            <w:vAlign w:val="center"/>
          </w:tcPr>
          <w:p w14:paraId="6786C9C7" w14:textId="77777777" w:rsidR="00026A5C" w:rsidRPr="009A3DCC" w:rsidRDefault="00026A5C" w:rsidP="0004394A">
            <w:pPr>
              <w:spacing w:before="60" w:after="60"/>
              <w:jc w:val="both"/>
              <w:rPr>
                <w:sz w:val="22"/>
                <w:szCs w:val="22"/>
                <w:lang w:val="en-GB"/>
              </w:rPr>
            </w:pPr>
          </w:p>
        </w:tc>
        <w:tc>
          <w:tcPr>
            <w:tcW w:w="2693" w:type="dxa"/>
            <w:vMerge w:val="restart"/>
            <w:shd w:val="clear" w:color="auto" w:fill="F2EEE4" w:themeFill="accent4" w:themeFillTint="33"/>
            <w:vAlign w:val="center"/>
          </w:tcPr>
          <w:p w14:paraId="38F7D1BA" w14:textId="77777777" w:rsidR="00026A5C" w:rsidRPr="009A3DCC" w:rsidRDefault="00026A5C" w:rsidP="0004394A">
            <w:pPr>
              <w:spacing w:before="80" w:after="80"/>
              <w:jc w:val="both"/>
              <w:cnfStyle w:val="000000100000" w:firstRow="0" w:lastRow="0" w:firstColumn="0" w:lastColumn="0" w:oddVBand="0" w:evenVBand="0" w:oddHBand="1" w:evenHBand="0" w:firstRowFirstColumn="0" w:firstRowLastColumn="0" w:lastRowFirstColumn="0" w:lastRowLastColumn="0"/>
              <w:rPr>
                <w:b/>
                <w:sz w:val="22"/>
                <w:szCs w:val="22"/>
                <w:lang w:val="en-GB"/>
              </w:rPr>
            </w:pPr>
            <w:r w:rsidRPr="009A3DCC">
              <w:rPr>
                <w:sz w:val="22"/>
                <w:szCs w:val="22"/>
                <w:lang w:val="en-GB"/>
              </w:rPr>
              <w:t>2. Promote coordination of environmental protection and joint reduction of marine litter in the Black Sea basin</w:t>
            </w:r>
          </w:p>
        </w:tc>
        <w:tc>
          <w:tcPr>
            <w:tcW w:w="3969" w:type="dxa"/>
            <w:shd w:val="clear" w:color="auto" w:fill="F2EEE4" w:themeFill="accent4" w:themeFillTint="33"/>
            <w:vAlign w:val="center"/>
          </w:tcPr>
          <w:p w14:paraId="16359EC5" w14:textId="77777777" w:rsidR="00026A5C" w:rsidRPr="009A3DCC" w:rsidRDefault="00026A5C" w:rsidP="0004394A">
            <w:pPr>
              <w:spacing w:before="80" w:after="80"/>
              <w:jc w:val="both"/>
              <w:cnfStyle w:val="000000100000" w:firstRow="0" w:lastRow="0" w:firstColumn="0" w:lastColumn="0" w:oddVBand="0" w:evenVBand="0" w:oddHBand="1" w:evenHBand="0" w:firstRowFirstColumn="0" w:firstRowLastColumn="0" w:lastRowFirstColumn="0" w:lastRowLastColumn="0"/>
              <w:rPr>
                <w:b/>
                <w:sz w:val="22"/>
                <w:szCs w:val="22"/>
                <w:lang w:val="en-GB"/>
              </w:rPr>
            </w:pPr>
            <w:r w:rsidRPr="009A3DCC">
              <w:rPr>
                <w:sz w:val="22"/>
                <w:szCs w:val="22"/>
                <w:lang w:val="en-GB"/>
              </w:rPr>
              <w:t>2.1 Improve joint environmental monitoring</w:t>
            </w:r>
          </w:p>
        </w:tc>
        <w:tc>
          <w:tcPr>
            <w:tcW w:w="1915" w:type="dxa"/>
            <w:vMerge w:val="restart"/>
            <w:shd w:val="clear" w:color="auto" w:fill="F2EEE4" w:themeFill="accent4" w:themeFillTint="33"/>
            <w:vAlign w:val="center"/>
          </w:tcPr>
          <w:p w14:paraId="2218A902" w14:textId="77777777" w:rsidR="00026A5C" w:rsidRPr="009A3DCC" w:rsidRDefault="001C68BF" w:rsidP="001C68BF">
            <w:pPr>
              <w:spacing w:before="80" w:after="80"/>
              <w:cnfStyle w:val="000000100000" w:firstRow="0" w:lastRow="0" w:firstColumn="0" w:lastColumn="0" w:oddVBand="0" w:evenVBand="0" w:oddHBand="1" w:evenHBand="0" w:firstRowFirstColumn="0" w:firstRowLastColumn="0" w:lastRowFirstColumn="0" w:lastRowLastColumn="0"/>
              <w:rPr>
                <w:sz w:val="22"/>
                <w:szCs w:val="22"/>
                <w:lang w:val="en-GB"/>
              </w:rPr>
            </w:pPr>
            <w:r>
              <w:rPr>
                <w:sz w:val="22"/>
                <w:szCs w:val="22"/>
                <w:lang w:val="en-GB"/>
              </w:rPr>
              <w:t>€18.80 million</w:t>
            </w:r>
          </w:p>
        </w:tc>
      </w:tr>
      <w:tr w:rsidR="00026A5C" w:rsidRPr="00B71347" w14:paraId="4638BEC1" w14:textId="77777777" w:rsidTr="00D37A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Merge/>
            <w:shd w:val="clear" w:color="auto" w:fill="D9CDAE" w:themeFill="accent4" w:themeFillTint="99"/>
          </w:tcPr>
          <w:p w14:paraId="735E8EF7" w14:textId="77777777" w:rsidR="00026A5C" w:rsidRPr="009A3DCC" w:rsidRDefault="00026A5C" w:rsidP="0004394A">
            <w:pPr>
              <w:spacing w:before="60" w:after="60"/>
              <w:jc w:val="both"/>
              <w:rPr>
                <w:sz w:val="22"/>
                <w:szCs w:val="22"/>
                <w:lang w:val="en-GB"/>
              </w:rPr>
            </w:pPr>
          </w:p>
        </w:tc>
        <w:tc>
          <w:tcPr>
            <w:tcW w:w="2693" w:type="dxa"/>
            <w:vMerge/>
            <w:shd w:val="clear" w:color="auto" w:fill="F2EEE4" w:themeFill="accent4" w:themeFillTint="33"/>
          </w:tcPr>
          <w:p w14:paraId="0D9F99C9" w14:textId="77777777" w:rsidR="00026A5C" w:rsidRPr="009A3DCC" w:rsidRDefault="00026A5C" w:rsidP="0004394A">
            <w:pPr>
              <w:spacing w:before="80" w:after="80"/>
              <w:jc w:val="both"/>
              <w:cnfStyle w:val="000000010000" w:firstRow="0" w:lastRow="0" w:firstColumn="0" w:lastColumn="0" w:oddVBand="0" w:evenVBand="0" w:oddHBand="0" w:evenHBand="1" w:firstRowFirstColumn="0" w:firstRowLastColumn="0" w:lastRowFirstColumn="0" w:lastRowLastColumn="0"/>
              <w:rPr>
                <w:b/>
                <w:sz w:val="22"/>
                <w:szCs w:val="22"/>
                <w:lang w:val="en-GB"/>
              </w:rPr>
            </w:pPr>
          </w:p>
        </w:tc>
        <w:tc>
          <w:tcPr>
            <w:tcW w:w="3969" w:type="dxa"/>
            <w:shd w:val="clear" w:color="auto" w:fill="F2EEE4" w:themeFill="accent4" w:themeFillTint="33"/>
          </w:tcPr>
          <w:p w14:paraId="3EDB77D4" w14:textId="77777777" w:rsidR="00026A5C" w:rsidRPr="009A3DCC" w:rsidRDefault="00026A5C" w:rsidP="0004394A">
            <w:pPr>
              <w:spacing w:before="80" w:after="80"/>
              <w:jc w:val="both"/>
              <w:cnfStyle w:val="000000010000" w:firstRow="0" w:lastRow="0" w:firstColumn="0" w:lastColumn="0" w:oddVBand="0" w:evenVBand="0" w:oddHBand="0" w:evenHBand="1" w:firstRowFirstColumn="0" w:firstRowLastColumn="0" w:lastRowFirstColumn="0" w:lastRowLastColumn="0"/>
              <w:rPr>
                <w:b/>
                <w:sz w:val="22"/>
                <w:szCs w:val="22"/>
                <w:lang w:val="en-GB"/>
              </w:rPr>
            </w:pPr>
            <w:r w:rsidRPr="009A3DCC">
              <w:rPr>
                <w:sz w:val="22"/>
                <w:szCs w:val="22"/>
                <w:lang w:val="en-GB"/>
              </w:rPr>
              <w:t>2.2 Promote common awareness-raising and joint actions to reduce river and marine litter</w:t>
            </w:r>
          </w:p>
        </w:tc>
        <w:tc>
          <w:tcPr>
            <w:tcW w:w="1915" w:type="dxa"/>
            <w:vMerge/>
            <w:shd w:val="clear" w:color="auto" w:fill="F2EEE4" w:themeFill="accent4" w:themeFillTint="33"/>
          </w:tcPr>
          <w:p w14:paraId="0490E89F" w14:textId="77777777" w:rsidR="00026A5C" w:rsidRPr="009A3DCC" w:rsidRDefault="00026A5C" w:rsidP="003F5D82">
            <w:pPr>
              <w:spacing w:before="80" w:after="80"/>
              <w:cnfStyle w:val="000000010000" w:firstRow="0" w:lastRow="0" w:firstColumn="0" w:lastColumn="0" w:oddVBand="0" w:evenVBand="0" w:oddHBand="0" w:evenHBand="1" w:firstRowFirstColumn="0" w:firstRowLastColumn="0" w:lastRowFirstColumn="0" w:lastRowLastColumn="0"/>
              <w:rPr>
                <w:sz w:val="22"/>
                <w:szCs w:val="22"/>
                <w:lang w:val="en-GB"/>
              </w:rPr>
            </w:pPr>
          </w:p>
        </w:tc>
      </w:tr>
    </w:tbl>
    <w:p w14:paraId="09FAC54A" w14:textId="77777777" w:rsidR="00DF3F36" w:rsidRPr="00DF3F36" w:rsidRDefault="00DF3F36" w:rsidP="00DF3F36">
      <w:pPr>
        <w:spacing w:before="120" w:after="0" w:line="264" w:lineRule="auto"/>
        <w:jc w:val="both"/>
        <w:rPr>
          <w:sz w:val="6"/>
          <w:szCs w:val="6"/>
          <w:lang w:val="en-GB"/>
        </w:rPr>
      </w:pPr>
    </w:p>
    <w:p w14:paraId="746F4CD2" w14:textId="77777777" w:rsidR="008A08E7" w:rsidRDefault="008A08E7" w:rsidP="00CC783D">
      <w:pPr>
        <w:autoSpaceDE w:val="0"/>
        <w:autoSpaceDN w:val="0"/>
        <w:adjustRightInd w:val="0"/>
        <w:spacing w:after="60" w:line="252" w:lineRule="auto"/>
        <w:jc w:val="both"/>
        <w:rPr>
          <w:sz w:val="22"/>
          <w:szCs w:val="22"/>
          <w:lang w:val="en-GB"/>
        </w:rPr>
      </w:pPr>
      <w:r>
        <w:rPr>
          <w:sz w:val="22"/>
          <w:szCs w:val="22"/>
          <w:lang w:val="en-GB"/>
        </w:rPr>
        <w:t xml:space="preserve">A number of important elements for successful, sustained and inclusive cross-border cooperation will also be supported as horizontal issues or modalities to be deployed across </w:t>
      </w:r>
      <w:r w:rsidR="004F6BE9">
        <w:rPr>
          <w:sz w:val="22"/>
          <w:szCs w:val="22"/>
          <w:lang w:val="en-GB"/>
        </w:rPr>
        <w:t>any of the priorities</w:t>
      </w:r>
      <w:r w:rsidR="00CC783D">
        <w:rPr>
          <w:sz w:val="22"/>
          <w:szCs w:val="22"/>
          <w:lang w:val="en-GB"/>
        </w:rPr>
        <w:t xml:space="preserve">. </w:t>
      </w:r>
      <w:r>
        <w:rPr>
          <w:sz w:val="22"/>
          <w:szCs w:val="22"/>
          <w:lang w:val="en-GB"/>
        </w:rPr>
        <w:t>They include:</w:t>
      </w:r>
    </w:p>
    <w:p w14:paraId="6CE3032E" w14:textId="5E1F3972" w:rsidR="008A08E7" w:rsidRPr="008A08E7" w:rsidRDefault="008A08E7" w:rsidP="00CC783D">
      <w:pPr>
        <w:pStyle w:val="ListParagraph"/>
        <w:numPr>
          <w:ilvl w:val="0"/>
          <w:numId w:val="69"/>
        </w:numPr>
        <w:autoSpaceDE w:val="0"/>
        <w:autoSpaceDN w:val="0"/>
        <w:adjustRightInd w:val="0"/>
        <w:spacing w:after="120" w:line="252" w:lineRule="auto"/>
        <w:jc w:val="both"/>
        <w:rPr>
          <w:sz w:val="22"/>
          <w:szCs w:val="22"/>
          <w:lang w:val="en-GB"/>
        </w:rPr>
      </w:pPr>
      <w:r w:rsidRPr="008A08E7">
        <w:rPr>
          <w:sz w:val="22"/>
          <w:szCs w:val="22"/>
          <w:lang w:val="en-GB"/>
        </w:rPr>
        <w:t>‘</w:t>
      </w:r>
      <w:r w:rsidR="00A95DF6">
        <w:rPr>
          <w:sz w:val="22"/>
          <w:szCs w:val="22"/>
          <w:lang w:val="en-GB"/>
        </w:rPr>
        <w:t>P</w:t>
      </w:r>
      <w:r w:rsidRPr="008A08E7">
        <w:rPr>
          <w:sz w:val="22"/>
          <w:szCs w:val="22"/>
          <w:lang w:val="en-GB"/>
        </w:rPr>
        <w:t xml:space="preserve">eople-to-people’ actions </w:t>
      </w:r>
    </w:p>
    <w:p w14:paraId="5BFDF551" w14:textId="77777777" w:rsidR="008A08E7" w:rsidRPr="008A08E7" w:rsidRDefault="008A08E7" w:rsidP="00CC783D">
      <w:pPr>
        <w:pStyle w:val="ListParagraph"/>
        <w:numPr>
          <w:ilvl w:val="0"/>
          <w:numId w:val="69"/>
        </w:numPr>
        <w:autoSpaceDE w:val="0"/>
        <w:autoSpaceDN w:val="0"/>
        <w:adjustRightInd w:val="0"/>
        <w:spacing w:after="120" w:line="252" w:lineRule="auto"/>
        <w:jc w:val="both"/>
        <w:rPr>
          <w:sz w:val="22"/>
          <w:szCs w:val="22"/>
          <w:lang w:val="en-GB"/>
        </w:rPr>
      </w:pPr>
      <w:r w:rsidRPr="008A08E7">
        <w:rPr>
          <w:sz w:val="22"/>
          <w:szCs w:val="22"/>
          <w:lang w:val="en-GB"/>
        </w:rPr>
        <w:t>Promotion of loc</w:t>
      </w:r>
      <w:r w:rsidR="007540D5">
        <w:rPr>
          <w:sz w:val="22"/>
          <w:szCs w:val="22"/>
          <w:lang w:val="en-GB"/>
        </w:rPr>
        <w:t>al and regional good governance</w:t>
      </w:r>
    </w:p>
    <w:p w14:paraId="38B91D23" w14:textId="77777777" w:rsidR="008A08E7" w:rsidRPr="008A08E7" w:rsidRDefault="008A08E7" w:rsidP="00CC783D">
      <w:pPr>
        <w:pStyle w:val="ListParagraph"/>
        <w:numPr>
          <w:ilvl w:val="0"/>
          <w:numId w:val="69"/>
        </w:numPr>
        <w:autoSpaceDE w:val="0"/>
        <w:autoSpaceDN w:val="0"/>
        <w:adjustRightInd w:val="0"/>
        <w:spacing w:after="120" w:line="252" w:lineRule="auto"/>
        <w:jc w:val="both"/>
        <w:rPr>
          <w:sz w:val="22"/>
          <w:szCs w:val="22"/>
          <w:lang w:val="en-GB"/>
        </w:rPr>
      </w:pPr>
      <w:r w:rsidRPr="008A08E7">
        <w:rPr>
          <w:sz w:val="22"/>
          <w:szCs w:val="22"/>
          <w:lang w:val="en-GB"/>
        </w:rPr>
        <w:t xml:space="preserve">Promotion of regional integration/coordination </w:t>
      </w:r>
    </w:p>
    <w:p w14:paraId="309F9318" w14:textId="77777777" w:rsidR="008A08E7" w:rsidRPr="008A08E7" w:rsidRDefault="008A08E7" w:rsidP="00CC783D">
      <w:pPr>
        <w:pStyle w:val="ListParagraph"/>
        <w:numPr>
          <w:ilvl w:val="0"/>
          <w:numId w:val="69"/>
        </w:numPr>
        <w:autoSpaceDE w:val="0"/>
        <w:autoSpaceDN w:val="0"/>
        <w:adjustRightInd w:val="0"/>
        <w:spacing w:after="120" w:line="252" w:lineRule="auto"/>
        <w:jc w:val="both"/>
        <w:rPr>
          <w:sz w:val="22"/>
          <w:szCs w:val="22"/>
          <w:lang w:val="en-GB"/>
        </w:rPr>
      </w:pPr>
      <w:r w:rsidRPr="008A08E7">
        <w:rPr>
          <w:sz w:val="22"/>
          <w:szCs w:val="22"/>
          <w:lang w:val="en-GB"/>
        </w:rPr>
        <w:t xml:space="preserve">The use and development of relevant information and communication technologies </w:t>
      </w:r>
    </w:p>
    <w:p w14:paraId="74DACF37" w14:textId="77777777" w:rsidR="008A08E7" w:rsidRPr="008A08E7" w:rsidRDefault="008A08E7" w:rsidP="00CC783D">
      <w:pPr>
        <w:pStyle w:val="ListParagraph"/>
        <w:numPr>
          <w:ilvl w:val="0"/>
          <w:numId w:val="69"/>
        </w:numPr>
        <w:autoSpaceDE w:val="0"/>
        <w:autoSpaceDN w:val="0"/>
        <w:adjustRightInd w:val="0"/>
        <w:spacing w:after="120" w:line="252" w:lineRule="auto"/>
        <w:jc w:val="both"/>
        <w:rPr>
          <w:sz w:val="22"/>
          <w:szCs w:val="22"/>
          <w:lang w:val="en-GB"/>
        </w:rPr>
      </w:pPr>
      <w:r w:rsidRPr="008A08E7">
        <w:rPr>
          <w:sz w:val="22"/>
          <w:szCs w:val="22"/>
          <w:lang w:val="en-GB"/>
        </w:rPr>
        <w:t xml:space="preserve">Promotion of gender equality, and opportunities for youth. </w:t>
      </w:r>
    </w:p>
    <w:p w14:paraId="094C6679" w14:textId="77777777" w:rsidR="00D75AB7" w:rsidRDefault="004F6BE9" w:rsidP="00F13106">
      <w:pPr>
        <w:spacing w:after="0" w:line="21" w:lineRule="atLeast"/>
        <w:jc w:val="both"/>
        <w:rPr>
          <w:sz w:val="22"/>
          <w:szCs w:val="22"/>
          <w:lang w:val="en-GB"/>
        </w:rPr>
      </w:pPr>
      <w:r>
        <w:rPr>
          <w:sz w:val="22"/>
          <w:szCs w:val="22"/>
          <w:lang w:val="en-GB"/>
        </w:rPr>
        <w:lastRenderedPageBreak/>
        <w:t>To achieve its</w:t>
      </w:r>
      <w:r w:rsidR="00DF3F36">
        <w:rPr>
          <w:sz w:val="22"/>
          <w:szCs w:val="22"/>
          <w:lang w:val="en-GB"/>
        </w:rPr>
        <w:t xml:space="preserve"> objectives, the programme</w:t>
      </w:r>
      <w:r w:rsidR="00D75AB7">
        <w:rPr>
          <w:sz w:val="22"/>
          <w:szCs w:val="22"/>
          <w:lang w:val="en-GB"/>
        </w:rPr>
        <w:t xml:space="preserve"> will award</w:t>
      </w:r>
      <w:r w:rsidR="00DF3F36">
        <w:rPr>
          <w:sz w:val="22"/>
          <w:szCs w:val="22"/>
          <w:lang w:val="en-GB"/>
        </w:rPr>
        <w:t xml:space="preserve"> </w:t>
      </w:r>
      <w:r w:rsidR="00D75AB7">
        <w:rPr>
          <w:b/>
          <w:sz w:val="22"/>
          <w:szCs w:val="22"/>
          <w:lang w:val="en-GB"/>
        </w:rPr>
        <w:t xml:space="preserve">grants </w:t>
      </w:r>
      <w:r w:rsidR="00D75AB7" w:rsidRPr="00B467A7">
        <w:rPr>
          <w:b/>
          <w:sz w:val="22"/>
          <w:szCs w:val="22"/>
          <w:lang w:val="en-GB"/>
        </w:rPr>
        <w:t xml:space="preserve">to </w:t>
      </w:r>
      <w:r w:rsidR="00D75AB7">
        <w:rPr>
          <w:b/>
          <w:sz w:val="22"/>
          <w:szCs w:val="22"/>
          <w:lang w:val="en-GB"/>
        </w:rPr>
        <w:t xml:space="preserve">CBC </w:t>
      </w:r>
      <w:r w:rsidR="00D75AB7" w:rsidRPr="00B467A7">
        <w:rPr>
          <w:b/>
          <w:sz w:val="22"/>
          <w:szCs w:val="22"/>
          <w:lang w:val="en-GB"/>
        </w:rPr>
        <w:t>projects selected through calls for proposals</w:t>
      </w:r>
      <w:r w:rsidR="00D75AB7" w:rsidRPr="00B467A7">
        <w:rPr>
          <w:sz w:val="22"/>
          <w:szCs w:val="22"/>
          <w:lang w:val="en-GB"/>
        </w:rPr>
        <w:t>. Two calls for proposals are expected to be launched during the programme lifetime</w:t>
      </w:r>
      <w:r w:rsidR="00D75AB7">
        <w:rPr>
          <w:sz w:val="22"/>
          <w:szCs w:val="22"/>
          <w:lang w:val="en-GB"/>
        </w:rPr>
        <w:t xml:space="preserve">, in 2016 and 2018. </w:t>
      </w:r>
      <w:r w:rsidR="00954908">
        <w:rPr>
          <w:sz w:val="22"/>
          <w:szCs w:val="22"/>
          <w:lang w:val="en-GB"/>
        </w:rPr>
        <w:t>The recommended financial size of projects</w:t>
      </w:r>
      <w:r w:rsidR="00954908" w:rsidRPr="00717B16">
        <w:rPr>
          <w:sz w:val="22"/>
          <w:szCs w:val="22"/>
          <w:lang w:val="en-GB"/>
        </w:rPr>
        <w:t xml:space="preserve"> will be further defined in th</w:t>
      </w:r>
      <w:r w:rsidR="00954908">
        <w:rPr>
          <w:sz w:val="22"/>
          <w:szCs w:val="22"/>
          <w:lang w:val="en-GB"/>
        </w:rPr>
        <w:t>e calls for p</w:t>
      </w:r>
      <w:r w:rsidR="00954908" w:rsidRPr="00717B16">
        <w:rPr>
          <w:sz w:val="22"/>
          <w:szCs w:val="22"/>
          <w:lang w:val="en-GB"/>
        </w:rPr>
        <w:t>roposals.</w:t>
      </w:r>
    </w:p>
    <w:p w14:paraId="5303DC3D" w14:textId="6BAC8977" w:rsidR="00D75AB7" w:rsidRDefault="00D75AB7" w:rsidP="00F13106">
      <w:pPr>
        <w:spacing w:before="120" w:after="0" w:line="21" w:lineRule="atLeast"/>
        <w:jc w:val="both"/>
        <w:rPr>
          <w:sz w:val="22"/>
          <w:szCs w:val="22"/>
          <w:lang w:val="en-GB"/>
        </w:rPr>
      </w:pPr>
      <w:r w:rsidRPr="00FE09B2">
        <w:rPr>
          <w:sz w:val="22"/>
          <w:szCs w:val="22"/>
          <w:lang w:val="en-GB"/>
        </w:rPr>
        <w:t xml:space="preserve">Projects </w:t>
      </w:r>
      <w:r>
        <w:rPr>
          <w:sz w:val="22"/>
          <w:szCs w:val="22"/>
          <w:lang w:val="en-GB"/>
        </w:rPr>
        <w:t>will be submitted</w:t>
      </w:r>
      <w:r w:rsidRPr="00683A03">
        <w:rPr>
          <w:b/>
          <w:sz w:val="22"/>
          <w:szCs w:val="22"/>
          <w:lang w:val="en-GB"/>
        </w:rPr>
        <w:t xml:space="preserve"> jointly</w:t>
      </w:r>
      <w:r>
        <w:rPr>
          <w:sz w:val="22"/>
          <w:szCs w:val="22"/>
          <w:lang w:val="en-GB"/>
        </w:rPr>
        <w:t xml:space="preserve"> by partners effectively established in the programme area</w:t>
      </w:r>
      <w:r w:rsidR="001678C0">
        <w:rPr>
          <w:rStyle w:val="FootnoteReference"/>
          <w:sz w:val="22"/>
          <w:szCs w:val="22"/>
          <w:lang w:val="en-GB"/>
        </w:rPr>
        <w:footnoteReference w:id="4"/>
      </w:r>
      <w:r>
        <w:rPr>
          <w:sz w:val="22"/>
          <w:szCs w:val="22"/>
          <w:lang w:val="en-GB"/>
        </w:rPr>
        <w:t xml:space="preserve">, from </w:t>
      </w:r>
      <w:r w:rsidRPr="00CC783D">
        <w:rPr>
          <w:b/>
          <w:sz w:val="22"/>
          <w:szCs w:val="22"/>
          <w:lang w:val="en-GB"/>
        </w:rPr>
        <w:t>at least</w:t>
      </w:r>
      <w:r>
        <w:rPr>
          <w:sz w:val="22"/>
          <w:szCs w:val="22"/>
          <w:lang w:val="en-GB"/>
        </w:rPr>
        <w:t xml:space="preserve"> one of the participating EU Member States </w:t>
      </w:r>
      <w:r w:rsidRPr="00683A03">
        <w:rPr>
          <w:b/>
          <w:sz w:val="22"/>
          <w:szCs w:val="22"/>
          <w:lang w:val="en-GB"/>
        </w:rPr>
        <w:t>and</w:t>
      </w:r>
      <w:r>
        <w:rPr>
          <w:sz w:val="22"/>
          <w:szCs w:val="22"/>
          <w:lang w:val="en-GB"/>
        </w:rPr>
        <w:t xml:space="preserve"> one of the participating partner countries. </w:t>
      </w:r>
      <w:r w:rsidR="00A95DF6">
        <w:rPr>
          <w:sz w:val="22"/>
          <w:szCs w:val="22"/>
          <w:lang w:val="en-GB"/>
        </w:rPr>
        <w:t>Since Turkey is a</w:t>
      </w:r>
      <w:r w:rsidR="007568D5">
        <w:rPr>
          <w:sz w:val="22"/>
          <w:szCs w:val="22"/>
          <w:lang w:val="en-GB"/>
        </w:rPr>
        <w:t xml:space="preserve"> negotiating</w:t>
      </w:r>
      <w:r w:rsidR="00A95DF6">
        <w:rPr>
          <w:sz w:val="22"/>
          <w:szCs w:val="22"/>
          <w:lang w:val="en-GB"/>
        </w:rPr>
        <w:t xml:space="preserve"> candidate country for EU membership, p</w:t>
      </w:r>
      <w:r>
        <w:rPr>
          <w:sz w:val="22"/>
          <w:szCs w:val="22"/>
          <w:lang w:val="en-GB"/>
        </w:rPr>
        <w:t xml:space="preserve">articipation of Turkish partners is only possible in projects with at least one partner from a participating EU Member State and one partner from a participating partner country. </w:t>
      </w:r>
    </w:p>
    <w:p w14:paraId="5624F769" w14:textId="77777777" w:rsidR="00401175" w:rsidRDefault="00D75AB7" w:rsidP="00F13106">
      <w:pPr>
        <w:spacing w:before="120" w:after="0" w:line="21" w:lineRule="atLeast"/>
        <w:jc w:val="both"/>
        <w:rPr>
          <w:sz w:val="22"/>
          <w:szCs w:val="22"/>
          <w:lang w:val="en-GB"/>
        </w:rPr>
      </w:pPr>
      <w:r>
        <w:rPr>
          <w:sz w:val="22"/>
          <w:szCs w:val="22"/>
          <w:lang w:val="en-GB"/>
        </w:rPr>
        <w:t xml:space="preserve">In line with </w:t>
      </w:r>
      <w:r w:rsidR="00871D66">
        <w:rPr>
          <w:sz w:val="22"/>
          <w:szCs w:val="22"/>
          <w:lang w:val="en-GB"/>
        </w:rPr>
        <w:t xml:space="preserve">the </w:t>
      </w:r>
      <w:r>
        <w:rPr>
          <w:sz w:val="22"/>
          <w:szCs w:val="22"/>
          <w:lang w:val="en-GB"/>
        </w:rPr>
        <w:t>ENI CBC Programming document,</w:t>
      </w:r>
      <w:r w:rsidRPr="005C2FDE">
        <w:rPr>
          <w:sz w:val="22"/>
          <w:szCs w:val="22"/>
          <w:lang w:val="en-GB"/>
        </w:rPr>
        <w:t xml:space="preserve"> the partners implementing projects will primarily represent</w:t>
      </w:r>
      <w:r w:rsidR="00DA635F">
        <w:rPr>
          <w:sz w:val="22"/>
          <w:szCs w:val="22"/>
          <w:lang w:val="en-GB"/>
        </w:rPr>
        <w:t xml:space="preserve"> </w:t>
      </w:r>
      <w:r w:rsidR="00DA635F" w:rsidRPr="005C2FDE">
        <w:rPr>
          <w:sz w:val="22"/>
          <w:szCs w:val="22"/>
          <w:lang w:val="en-GB"/>
        </w:rPr>
        <w:t xml:space="preserve">the </w:t>
      </w:r>
      <w:r w:rsidR="00DA635F" w:rsidRPr="005670FE">
        <w:rPr>
          <w:b/>
          <w:sz w:val="22"/>
          <w:szCs w:val="22"/>
          <w:lang w:val="en-GB"/>
        </w:rPr>
        <w:t>regional and sub-national administrative levels, as well as civil society organisations</w:t>
      </w:r>
      <w:r w:rsidR="00DA635F" w:rsidRPr="005C2FDE">
        <w:rPr>
          <w:sz w:val="22"/>
          <w:szCs w:val="22"/>
          <w:lang w:val="en-GB"/>
        </w:rPr>
        <w:t xml:space="preserve"> based within the eligible programme area</w:t>
      </w:r>
      <w:r w:rsidR="00DA635F">
        <w:rPr>
          <w:sz w:val="22"/>
          <w:szCs w:val="22"/>
          <w:lang w:val="en-GB"/>
        </w:rPr>
        <w:t xml:space="preserve">. </w:t>
      </w:r>
      <w:r w:rsidR="00502226">
        <w:rPr>
          <w:sz w:val="22"/>
          <w:szCs w:val="22"/>
          <w:lang w:val="en-GB"/>
        </w:rPr>
        <w:t>Priority will be given to</w:t>
      </w:r>
      <w:r w:rsidRPr="005C2FDE">
        <w:rPr>
          <w:sz w:val="22"/>
          <w:szCs w:val="22"/>
          <w:lang w:val="en-GB"/>
        </w:rPr>
        <w:t xml:space="preserve"> local and regional authorities, civil society, chambers of commerce, and the academic and educational community; as well as other eligible actors based within the geographical eligibility of the programme and important for the realisation of t</w:t>
      </w:r>
      <w:r>
        <w:rPr>
          <w:sz w:val="22"/>
          <w:szCs w:val="22"/>
          <w:lang w:val="en-GB"/>
        </w:rPr>
        <w:t xml:space="preserve">he objectives of the </w:t>
      </w:r>
      <w:r w:rsidRPr="005C2FDE">
        <w:rPr>
          <w:sz w:val="22"/>
          <w:szCs w:val="22"/>
          <w:lang w:val="en-GB"/>
        </w:rPr>
        <w:t>programme.</w:t>
      </w:r>
      <w:r>
        <w:rPr>
          <w:sz w:val="22"/>
          <w:szCs w:val="22"/>
          <w:lang w:val="en-GB"/>
        </w:rPr>
        <w:t xml:space="preserve"> </w:t>
      </w:r>
    </w:p>
    <w:p w14:paraId="63345C85" w14:textId="77777777" w:rsidR="00DF3F36" w:rsidRPr="005B2C72" w:rsidRDefault="00401175" w:rsidP="007B30E0">
      <w:pPr>
        <w:spacing w:before="120" w:after="0" w:line="21" w:lineRule="atLeast"/>
        <w:jc w:val="both"/>
        <w:rPr>
          <w:sz w:val="22"/>
          <w:szCs w:val="22"/>
          <w:lang w:val="en-GB"/>
        </w:rPr>
      </w:pPr>
      <w:r>
        <w:rPr>
          <w:sz w:val="22"/>
          <w:szCs w:val="22"/>
          <w:lang w:val="en-GB"/>
        </w:rPr>
        <w:t xml:space="preserve">Projects shall always deliver clear </w:t>
      </w:r>
      <w:r w:rsidRPr="00106E5B">
        <w:rPr>
          <w:b/>
          <w:sz w:val="22"/>
          <w:szCs w:val="22"/>
          <w:lang w:val="en-GB"/>
        </w:rPr>
        <w:t>cross-border cooperation impact and benefits</w:t>
      </w:r>
      <w:r>
        <w:rPr>
          <w:sz w:val="22"/>
          <w:szCs w:val="22"/>
          <w:lang w:val="en-GB"/>
        </w:rPr>
        <w:t xml:space="preserve">. Each project shall </w:t>
      </w:r>
      <w:r w:rsidR="00DF3F36">
        <w:rPr>
          <w:sz w:val="22"/>
          <w:szCs w:val="22"/>
          <w:lang w:val="en-GB"/>
        </w:rPr>
        <w:t>aim at establishing</w:t>
      </w:r>
      <w:r w:rsidR="00DF3F36" w:rsidRPr="005B2C72">
        <w:rPr>
          <w:sz w:val="22"/>
          <w:szCs w:val="22"/>
          <w:lang w:val="en-GB"/>
        </w:rPr>
        <w:t>:</w:t>
      </w:r>
    </w:p>
    <w:p w14:paraId="6ACE514D" w14:textId="77777777" w:rsidR="00DF3F36" w:rsidRPr="008A08E7" w:rsidRDefault="00DF3F36" w:rsidP="007B30E0">
      <w:pPr>
        <w:pStyle w:val="ListParagraph"/>
        <w:numPr>
          <w:ilvl w:val="0"/>
          <w:numId w:val="67"/>
        </w:numPr>
        <w:spacing w:before="60" w:after="60" w:line="21" w:lineRule="atLeast"/>
        <w:jc w:val="both"/>
        <w:rPr>
          <w:sz w:val="22"/>
          <w:szCs w:val="22"/>
          <w:lang w:val="en-GB"/>
        </w:rPr>
      </w:pPr>
      <w:r w:rsidRPr="008A08E7">
        <w:rPr>
          <w:b/>
          <w:sz w:val="22"/>
          <w:szCs w:val="22"/>
          <w:lang w:val="en-GB"/>
        </w:rPr>
        <w:t xml:space="preserve">Enhanced cross-border contacts </w:t>
      </w:r>
      <w:r w:rsidRPr="00CC783D">
        <w:rPr>
          <w:sz w:val="22"/>
          <w:szCs w:val="22"/>
          <w:lang w:val="en-GB"/>
        </w:rPr>
        <w:t xml:space="preserve">within the Black Sea Basin </w:t>
      </w:r>
      <w:r w:rsidRPr="008A08E7">
        <w:rPr>
          <w:sz w:val="22"/>
          <w:szCs w:val="22"/>
          <w:lang w:val="en-GB"/>
        </w:rPr>
        <w:t>including e.g. networking, forums and the establishment of lasting partnerships;</w:t>
      </w:r>
    </w:p>
    <w:p w14:paraId="0811E1E6" w14:textId="77777777" w:rsidR="00DF3F36" w:rsidRPr="008A08E7" w:rsidRDefault="00DF3F36" w:rsidP="007B30E0">
      <w:pPr>
        <w:pStyle w:val="ListParagraph"/>
        <w:numPr>
          <w:ilvl w:val="0"/>
          <w:numId w:val="67"/>
        </w:numPr>
        <w:spacing w:before="60" w:after="60" w:line="21" w:lineRule="atLeast"/>
        <w:jc w:val="both"/>
        <w:rPr>
          <w:sz w:val="22"/>
          <w:szCs w:val="22"/>
          <w:lang w:val="en-GB"/>
        </w:rPr>
      </w:pPr>
      <w:r w:rsidRPr="008A08E7">
        <w:rPr>
          <w:b/>
          <w:sz w:val="22"/>
          <w:szCs w:val="22"/>
          <w:lang w:val="en-GB"/>
        </w:rPr>
        <w:t>Enhanced knowledge and skills</w:t>
      </w:r>
      <w:r w:rsidRPr="008A08E7">
        <w:rPr>
          <w:sz w:val="22"/>
          <w:szCs w:val="22"/>
          <w:lang w:val="en-GB"/>
        </w:rPr>
        <w:t xml:space="preserve"> including e.g. the exchange of experience and good practice, innovation, capacity-building and joint research;</w:t>
      </w:r>
    </w:p>
    <w:p w14:paraId="3113EFD3" w14:textId="77777777" w:rsidR="008A08E7" w:rsidRDefault="00DF3F36" w:rsidP="007B30E0">
      <w:pPr>
        <w:pStyle w:val="ListParagraph"/>
        <w:numPr>
          <w:ilvl w:val="0"/>
          <w:numId w:val="67"/>
        </w:numPr>
        <w:spacing w:before="60" w:after="60" w:line="21" w:lineRule="atLeast"/>
        <w:jc w:val="both"/>
        <w:rPr>
          <w:sz w:val="22"/>
          <w:szCs w:val="22"/>
          <w:lang w:val="en-GB"/>
        </w:rPr>
      </w:pPr>
      <w:r w:rsidRPr="008A08E7">
        <w:rPr>
          <w:b/>
          <w:sz w:val="22"/>
          <w:szCs w:val="22"/>
          <w:lang w:val="en-GB"/>
        </w:rPr>
        <w:t>Concrete and visible outputs</w:t>
      </w:r>
      <w:r w:rsidRPr="008A08E7">
        <w:rPr>
          <w:sz w:val="22"/>
          <w:szCs w:val="22"/>
          <w:lang w:val="en-GB"/>
        </w:rPr>
        <w:t xml:space="preserve"> including e.g. small-scale investments, pilot projects, </w:t>
      </w:r>
      <w:proofErr w:type="gramStart"/>
      <w:r w:rsidRPr="008A08E7">
        <w:rPr>
          <w:sz w:val="22"/>
          <w:szCs w:val="22"/>
          <w:lang w:val="en-GB"/>
        </w:rPr>
        <w:t>information</w:t>
      </w:r>
      <w:proofErr w:type="gramEnd"/>
      <w:r w:rsidRPr="008A08E7">
        <w:rPr>
          <w:sz w:val="22"/>
          <w:szCs w:val="22"/>
          <w:lang w:val="en-GB"/>
        </w:rPr>
        <w:t xml:space="preserve"> and communication technologies shared tools, online open-access resources.</w:t>
      </w:r>
    </w:p>
    <w:p w14:paraId="64E43F20" w14:textId="77777777" w:rsidR="006D3AF9" w:rsidRDefault="006D3AF9" w:rsidP="00A30974">
      <w:pPr>
        <w:spacing w:before="120" w:after="0" w:line="252" w:lineRule="auto"/>
        <w:jc w:val="both"/>
        <w:rPr>
          <w:rFonts w:eastAsia="Times New Roman" w:cs="Times New Roman"/>
          <w:sz w:val="22"/>
          <w:szCs w:val="22"/>
          <w:lang w:val="en-GB"/>
        </w:rPr>
      </w:pPr>
      <w:r w:rsidRPr="00FB2C75">
        <w:rPr>
          <w:rFonts w:eastAsia="Times New Roman" w:cs="Times New Roman"/>
          <w:b/>
          <w:sz w:val="22"/>
          <w:szCs w:val="22"/>
          <w:lang w:val="en-GB"/>
        </w:rPr>
        <w:t>Complementarity of support</w:t>
      </w:r>
      <w:r w:rsidRPr="00F12F35">
        <w:rPr>
          <w:rFonts w:eastAsia="Times New Roman" w:cs="Times New Roman"/>
          <w:sz w:val="22"/>
          <w:szCs w:val="22"/>
          <w:lang w:val="en-GB"/>
        </w:rPr>
        <w:t xml:space="preserve"> is essential to ensure the best </w:t>
      </w:r>
      <w:r>
        <w:rPr>
          <w:rFonts w:eastAsia="Times New Roman" w:cs="Times New Roman"/>
          <w:sz w:val="22"/>
          <w:szCs w:val="22"/>
          <w:lang w:val="en-GB"/>
        </w:rPr>
        <w:t>use of resources and the greatest</w:t>
      </w:r>
      <w:r w:rsidRPr="00F12F35">
        <w:rPr>
          <w:rFonts w:eastAsia="Times New Roman" w:cs="Times New Roman"/>
          <w:sz w:val="22"/>
          <w:szCs w:val="22"/>
          <w:lang w:val="en-GB"/>
        </w:rPr>
        <w:t xml:space="preserve"> results for the eligible regions and stakeholders. </w:t>
      </w:r>
      <w:r>
        <w:rPr>
          <w:rFonts w:eastAsia="Times New Roman" w:cs="Times New Roman"/>
          <w:sz w:val="22"/>
          <w:szCs w:val="22"/>
          <w:lang w:val="en-GB"/>
        </w:rPr>
        <w:t>Beyond ensuring further consistency with other initiatives supported by the EU or at regional/national level during programme implementation, the B</w:t>
      </w:r>
      <w:r w:rsidR="00494472">
        <w:rPr>
          <w:rFonts w:eastAsia="Times New Roman" w:cs="Times New Roman"/>
          <w:sz w:val="22"/>
          <w:szCs w:val="22"/>
          <w:lang w:val="en-GB"/>
        </w:rPr>
        <w:t xml:space="preserve">lack </w:t>
      </w:r>
      <w:r>
        <w:rPr>
          <w:rFonts w:eastAsia="Times New Roman" w:cs="Times New Roman"/>
          <w:sz w:val="22"/>
          <w:szCs w:val="22"/>
          <w:lang w:val="en-GB"/>
        </w:rPr>
        <w:t>S</w:t>
      </w:r>
      <w:r w:rsidR="00494472">
        <w:rPr>
          <w:rFonts w:eastAsia="Times New Roman" w:cs="Times New Roman"/>
          <w:sz w:val="22"/>
          <w:szCs w:val="22"/>
          <w:lang w:val="en-GB"/>
        </w:rPr>
        <w:t xml:space="preserve">ea </w:t>
      </w:r>
      <w:r>
        <w:rPr>
          <w:rFonts w:eastAsia="Times New Roman" w:cs="Times New Roman"/>
          <w:sz w:val="22"/>
          <w:szCs w:val="22"/>
          <w:lang w:val="en-GB"/>
        </w:rPr>
        <w:t>B</w:t>
      </w:r>
      <w:r w:rsidR="00494472">
        <w:rPr>
          <w:rFonts w:eastAsia="Times New Roman" w:cs="Times New Roman"/>
          <w:sz w:val="22"/>
          <w:szCs w:val="22"/>
          <w:lang w:val="en-GB"/>
        </w:rPr>
        <w:t>asin ENI CBC</w:t>
      </w:r>
      <w:r>
        <w:rPr>
          <w:rFonts w:eastAsia="Times New Roman" w:cs="Times New Roman"/>
          <w:sz w:val="22"/>
          <w:szCs w:val="22"/>
          <w:lang w:val="en-GB"/>
        </w:rPr>
        <w:t xml:space="preserve"> programme will also look for complementarities </w:t>
      </w:r>
      <w:r w:rsidRPr="00FB2C75">
        <w:rPr>
          <w:rFonts w:eastAsia="Times New Roman" w:cs="Times New Roman"/>
          <w:sz w:val="22"/>
          <w:szCs w:val="22"/>
          <w:lang w:val="en-GB"/>
        </w:rPr>
        <w:t xml:space="preserve">with other </w:t>
      </w:r>
      <w:r>
        <w:rPr>
          <w:rFonts w:eastAsia="Times New Roman" w:cs="Times New Roman"/>
          <w:sz w:val="22"/>
          <w:szCs w:val="22"/>
          <w:lang w:val="en-GB"/>
        </w:rPr>
        <w:t>key</w:t>
      </w:r>
      <w:r w:rsidRPr="00FB2C75">
        <w:rPr>
          <w:rFonts w:eastAsia="Times New Roman" w:cs="Times New Roman"/>
          <w:sz w:val="22"/>
          <w:szCs w:val="22"/>
          <w:lang w:val="en-GB"/>
        </w:rPr>
        <w:t xml:space="preserve"> cooperat</w:t>
      </w:r>
      <w:r>
        <w:rPr>
          <w:rFonts w:eastAsia="Times New Roman" w:cs="Times New Roman"/>
          <w:sz w:val="22"/>
          <w:szCs w:val="22"/>
          <w:lang w:val="en-GB"/>
        </w:rPr>
        <w:t>ion frameworks within the</w:t>
      </w:r>
      <w:r w:rsidR="00494472">
        <w:rPr>
          <w:rFonts w:eastAsia="Times New Roman" w:cs="Times New Roman"/>
          <w:sz w:val="22"/>
          <w:szCs w:val="22"/>
          <w:lang w:val="en-GB"/>
        </w:rPr>
        <w:t xml:space="preserve"> Black Sea </w:t>
      </w:r>
      <w:r w:rsidRPr="00FB2C75">
        <w:rPr>
          <w:rFonts w:eastAsia="Times New Roman" w:cs="Times New Roman"/>
          <w:sz w:val="22"/>
          <w:szCs w:val="22"/>
          <w:lang w:val="en-GB"/>
        </w:rPr>
        <w:t>B</w:t>
      </w:r>
      <w:r w:rsidR="00494472">
        <w:rPr>
          <w:rFonts w:eastAsia="Times New Roman" w:cs="Times New Roman"/>
          <w:sz w:val="22"/>
          <w:szCs w:val="22"/>
          <w:lang w:val="en-GB"/>
        </w:rPr>
        <w:t>asin</w:t>
      </w:r>
      <w:r>
        <w:rPr>
          <w:rFonts w:eastAsia="Times New Roman" w:cs="Times New Roman"/>
          <w:sz w:val="22"/>
          <w:szCs w:val="22"/>
          <w:lang w:val="en-GB"/>
        </w:rPr>
        <w:t xml:space="preserve"> region and by other donors.</w:t>
      </w:r>
      <w:r w:rsidRPr="006D3AF9">
        <w:rPr>
          <w:rFonts w:eastAsia="Times New Roman" w:cs="Times New Roman"/>
          <w:sz w:val="22"/>
          <w:szCs w:val="22"/>
          <w:lang w:val="en-GB"/>
        </w:rPr>
        <w:t xml:space="preserve"> </w:t>
      </w:r>
    </w:p>
    <w:p w14:paraId="2356A7C9" w14:textId="77777777" w:rsidR="004B36E7" w:rsidRPr="004B36E7" w:rsidRDefault="004B36E7" w:rsidP="003A01F9">
      <w:pPr>
        <w:pStyle w:val="Heading3"/>
        <w:numPr>
          <w:ilvl w:val="0"/>
          <w:numId w:val="81"/>
        </w:numPr>
        <w:spacing w:before="360" w:after="120" w:line="252" w:lineRule="auto"/>
        <w:rPr>
          <w:b/>
          <w:sz w:val="28"/>
          <w:szCs w:val="28"/>
          <w:lang w:val="en-GB"/>
        </w:rPr>
      </w:pPr>
      <w:bookmarkStart w:id="5" w:name="_Toc423436264"/>
      <w:r w:rsidRPr="004B36E7">
        <w:rPr>
          <w:b/>
          <w:sz w:val="28"/>
          <w:szCs w:val="28"/>
          <w:lang w:val="en-GB"/>
        </w:rPr>
        <w:t>Summary of programme</w:t>
      </w:r>
      <w:r w:rsidR="005C3473">
        <w:rPr>
          <w:b/>
          <w:sz w:val="28"/>
          <w:szCs w:val="28"/>
          <w:lang w:val="en-GB"/>
        </w:rPr>
        <w:t xml:space="preserve"> management</w:t>
      </w:r>
      <w:r w:rsidR="002C04C0">
        <w:rPr>
          <w:b/>
          <w:sz w:val="28"/>
          <w:szCs w:val="28"/>
          <w:lang w:val="en-GB"/>
        </w:rPr>
        <w:t xml:space="preserve"> and</w:t>
      </w:r>
      <w:r w:rsidRPr="004B36E7">
        <w:rPr>
          <w:b/>
          <w:sz w:val="28"/>
          <w:szCs w:val="28"/>
          <w:lang w:val="en-GB"/>
        </w:rPr>
        <w:t xml:space="preserve"> implementation</w:t>
      </w:r>
      <w:bookmarkEnd w:id="5"/>
    </w:p>
    <w:p w14:paraId="4E6F98D8" w14:textId="77777777" w:rsidR="005C3473" w:rsidRPr="00682784" w:rsidRDefault="005C3473" w:rsidP="00AE3A61">
      <w:pPr>
        <w:spacing w:before="120" w:line="21" w:lineRule="atLeast"/>
        <w:contextualSpacing/>
        <w:jc w:val="both"/>
        <w:rPr>
          <w:rFonts w:cs="ArialMT"/>
          <w:bCs/>
          <w:sz w:val="22"/>
          <w:szCs w:val="22"/>
          <w:lang w:val="en-GB"/>
        </w:rPr>
      </w:pPr>
      <w:r w:rsidRPr="00682784">
        <w:rPr>
          <w:rFonts w:cs="ArialMT"/>
          <w:bCs/>
          <w:sz w:val="22"/>
          <w:szCs w:val="22"/>
          <w:lang w:val="en-GB"/>
        </w:rPr>
        <w:t xml:space="preserve">The Black Sea Basin </w:t>
      </w:r>
      <w:r w:rsidR="006860AD" w:rsidRPr="00682784">
        <w:rPr>
          <w:rFonts w:cs="ArialMT"/>
          <w:bCs/>
          <w:sz w:val="22"/>
          <w:szCs w:val="22"/>
          <w:lang w:val="en-GB"/>
        </w:rPr>
        <w:t xml:space="preserve">ENI-CBC </w:t>
      </w:r>
      <w:r w:rsidRPr="00682784">
        <w:rPr>
          <w:rFonts w:cs="ArialMT"/>
          <w:bCs/>
          <w:sz w:val="22"/>
          <w:szCs w:val="22"/>
          <w:lang w:val="en-GB"/>
        </w:rPr>
        <w:t>Programme management and control system will be organised with the following authorities, structures and bodies:</w:t>
      </w:r>
    </w:p>
    <w:p w14:paraId="2A47739B" w14:textId="77777777" w:rsidR="005C3473" w:rsidRPr="00682784" w:rsidRDefault="005C3473" w:rsidP="00AE3A61">
      <w:pPr>
        <w:numPr>
          <w:ilvl w:val="0"/>
          <w:numId w:val="44"/>
        </w:numPr>
        <w:spacing w:before="200" w:after="0" w:line="21" w:lineRule="atLeast"/>
        <w:ind w:left="714" w:hanging="357"/>
        <w:jc w:val="both"/>
        <w:rPr>
          <w:rFonts w:cs="ArialMT"/>
          <w:bCs/>
          <w:sz w:val="22"/>
          <w:szCs w:val="22"/>
          <w:lang w:val="en-GB"/>
        </w:rPr>
      </w:pPr>
      <w:r w:rsidRPr="00682784">
        <w:rPr>
          <w:rFonts w:cs="ArialMT"/>
          <w:b/>
          <w:sz w:val="22"/>
          <w:szCs w:val="22"/>
          <w:lang w:val="en-GB"/>
        </w:rPr>
        <w:t>Joint Monitoring Committee (JMC)</w:t>
      </w:r>
      <w:r w:rsidRPr="00682784">
        <w:rPr>
          <w:rFonts w:cs="ArialMT"/>
          <w:bCs/>
          <w:sz w:val="22"/>
          <w:szCs w:val="22"/>
          <w:lang w:val="en-GB"/>
        </w:rPr>
        <w:t>: supervises and monitors programme implementation and is responsible for the approval of project proposals;</w:t>
      </w:r>
    </w:p>
    <w:p w14:paraId="122AD2AF"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Managing Authority (MA)</w:t>
      </w:r>
      <w:r w:rsidRPr="00682784">
        <w:rPr>
          <w:rFonts w:cs="ArialMT"/>
          <w:bCs/>
          <w:sz w:val="22"/>
          <w:szCs w:val="22"/>
          <w:lang w:val="en-GB"/>
        </w:rPr>
        <w:t xml:space="preserve">: responsible for the management and implementation of the programme; </w:t>
      </w:r>
    </w:p>
    <w:p w14:paraId="0FE14118"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Audit Authority (AA)</w:t>
      </w:r>
      <w:r w:rsidRPr="00682784">
        <w:rPr>
          <w:rFonts w:cs="ArialMT"/>
          <w:bCs/>
          <w:sz w:val="22"/>
          <w:szCs w:val="22"/>
          <w:lang w:val="en-GB"/>
        </w:rPr>
        <w:t>: carries out audits on the programme management and control systems, on an appropriate sample of projects and on the annual accounts of the programme;</w:t>
      </w:r>
    </w:p>
    <w:p w14:paraId="4F8AEE10"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National Authorities (NAs)</w:t>
      </w:r>
      <w:r w:rsidRPr="00682784">
        <w:rPr>
          <w:rFonts w:cs="ArialMT"/>
          <w:bCs/>
          <w:sz w:val="22"/>
          <w:szCs w:val="22"/>
          <w:lang w:val="en-GB"/>
        </w:rPr>
        <w:t>: national counterpart institution to the Managing Authority in each participating country and overall responsible for supporting the MA in the implementation of the programme in their own countries;</w:t>
      </w:r>
    </w:p>
    <w:p w14:paraId="1FDBCC6F"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Group of Auditors (</w:t>
      </w:r>
      <w:proofErr w:type="spellStart"/>
      <w:r w:rsidRPr="00682784">
        <w:rPr>
          <w:rFonts w:cs="ArialMT"/>
          <w:b/>
          <w:sz w:val="22"/>
          <w:szCs w:val="22"/>
          <w:lang w:val="en-GB"/>
        </w:rPr>
        <w:t>GoA</w:t>
      </w:r>
      <w:proofErr w:type="spellEnd"/>
      <w:r w:rsidRPr="00682784">
        <w:rPr>
          <w:rFonts w:cs="ArialMT"/>
          <w:b/>
          <w:sz w:val="22"/>
          <w:szCs w:val="22"/>
          <w:lang w:val="en-GB"/>
        </w:rPr>
        <w:t>)</w:t>
      </w:r>
      <w:r w:rsidRPr="00682784">
        <w:rPr>
          <w:rFonts w:cs="ArialMT"/>
          <w:bCs/>
          <w:sz w:val="22"/>
          <w:szCs w:val="22"/>
          <w:lang w:val="en-GB"/>
        </w:rPr>
        <w:t>: assists the Audit Authority in carrying out its tasks;</w:t>
      </w:r>
    </w:p>
    <w:p w14:paraId="4E3E7206"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Control Contact Points (CCPs)</w:t>
      </w:r>
      <w:r w:rsidRPr="00682784">
        <w:rPr>
          <w:rFonts w:cs="ArialMT"/>
          <w:bCs/>
          <w:sz w:val="22"/>
          <w:szCs w:val="22"/>
          <w:lang w:val="en-GB"/>
        </w:rPr>
        <w:t>: support the Managing Authority in its control functions;</w:t>
      </w:r>
    </w:p>
    <w:p w14:paraId="4CA936C2"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t>Joint Technical Secretariat (JTS)</w:t>
      </w:r>
      <w:r w:rsidRPr="00682784">
        <w:rPr>
          <w:rFonts w:cs="ArialMT"/>
          <w:bCs/>
          <w:sz w:val="22"/>
          <w:szCs w:val="22"/>
          <w:lang w:val="en-GB"/>
        </w:rPr>
        <w:t>: assists the MA, JMC, AA and the SC in carrying out their respective duties;</w:t>
      </w:r>
    </w:p>
    <w:p w14:paraId="12A67D82" w14:textId="77777777" w:rsidR="005C3473" w:rsidRPr="00682784" w:rsidRDefault="005C3473" w:rsidP="00AE3A61">
      <w:pPr>
        <w:numPr>
          <w:ilvl w:val="0"/>
          <w:numId w:val="44"/>
        </w:numPr>
        <w:spacing w:before="200" w:after="0" w:line="21" w:lineRule="atLeast"/>
        <w:ind w:left="714" w:hanging="357"/>
        <w:contextualSpacing/>
        <w:jc w:val="both"/>
        <w:rPr>
          <w:rFonts w:cs="ArialMT"/>
          <w:bCs/>
          <w:sz w:val="22"/>
          <w:szCs w:val="22"/>
          <w:lang w:val="en-GB"/>
        </w:rPr>
      </w:pPr>
      <w:r w:rsidRPr="00682784">
        <w:rPr>
          <w:rFonts w:cs="ArialMT"/>
          <w:b/>
          <w:sz w:val="22"/>
          <w:szCs w:val="22"/>
          <w:lang w:val="en-GB"/>
        </w:rPr>
        <w:lastRenderedPageBreak/>
        <w:t>Selection Committee (SC)</w:t>
      </w:r>
      <w:r w:rsidRPr="00682784">
        <w:rPr>
          <w:rFonts w:cs="ArialMT"/>
          <w:bCs/>
          <w:sz w:val="22"/>
          <w:szCs w:val="22"/>
          <w:lang w:val="en-GB"/>
        </w:rPr>
        <w:t>: supervises the evaluation and selection</w:t>
      </w:r>
      <w:r w:rsidRPr="00682784">
        <w:rPr>
          <w:lang w:val="en-GB"/>
        </w:rPr>
        <w:t xml:space="preserve"> </w:t>
      </w:r>
      <w:r w:rsidRPr="00682784">
        <w:rPr>
          <w:rFonts w:cs="ArialMT"/>
          <w:bCs/>
          <w:sz w:val="22"/>
          <w:szCs w:val="22"/>
          <w:lang w:val="en-GB"/>
        </w:rPr>
        <w:t>of the project proposals received during calls and issues recommendations for award decisions to JMC.</w:t>
      </w:r>
    </w:p>
    <w:p w14:paraId="18298D37" w14:textId="77777777" w:rsidR="009C2E5D" w:rsidRPr="00682784" w:rsidRDefault="009C2E5D" w:rsidP="006A4033">
      <w:pPr>
        <w:spacing w:before="120" w:after="0" w:line="21" w:lineRule="atLeast"/>
        <w:jc w:val="both"/>
        <w:rPr>
          <w:lang w:val="en-GB"/>
        </w:rPr>
      </w:pPr>
      <w:r>
        <w:rPr>
          <w:rFonts w:ascii="Calisto MT" w:hAnsi="Calisto MT"/>
          <w:sz w:val="22"/>
          <w:szCs w:val="22"/>
          <w:lang w:val="en-GB"/>
        </w:rPr>
        <w:t>The d</w:t>
      </w:r>
      <w:r w:rsidRPr="009C5F8F">
        <w:rPr>
          <w:rFonts w:ascii="Calisto MT" w:hAnsi="Calisto MT"/>
          <w:sz w:val="22"/>
          <w:szCs w:val="22"/>
          <w:lang w:val="en-GB"/>
        </w:rPr>
        <w:t xml:space="preserve">esignation </w:t>
      </w:r>
      <w:r>
        <w:rPr>
          <w:rFonts w:ascii="Calisto MT" w:hAnsi="Calisto MT"/>
          <w:sz w:val="22"/>
          <w:szCs w:val="22"/>
          <w:lang w:val="en-GB"/>
        </w:rPr>
        <w:t>process of the Managing Authority</w:t>
      </w:r>
      <w:r w:rsidRPr="009C5F8F">
        <w:rPr>
          <w:rFonts w:ascii="Calisto MT" w:hAnsi="Calisto MT"/>
          <w:sz w:val="22"/>
          <w:szCs w:val="22"/>
          <w:lang w:val="en-GB"/>
        </w:rPr>
        <w:t xml:space="preserve"> is expected to be complete in</w:t>
      </w:r>
      <w:r w:rsidR="004612D7">
        <w:rPr>
          <w:rFonts w:ascii="Calisto MT" w:hAnsi="Calisto MT"/>
          <w:sz w:val="22"/>
          <w:szCs w:val="22"/>
          <w:lang w:val="en-GB"/>
        </w:rPr>
        <w:t xml:space="preserve"> the</w:t>
      </w:r>
      <w:r w:rsidRPr="009C5F8F">
        <w:rPr>
          <w:rFonts w:ascii="Calisto MT" w:hAnsi="Calisto MT"/>
          <w:sz w:val="22"/>
          <w:szCs w:val="22"/>
          <w:lang w:val="en-GB"/>
        </w:rPr>
        <w:t xml:space="preserve"> first half of 2016</w:t>
      </w:r>
      <w:r w:rsidR="004612D7">
        <w:rPr>
          <w:rFonts w:ascii="Calisto MT" w:hAnsi="Calisto MT"/>
          <w:sz w:val="22"/>
          <w:szCs w:val="22"/>
          <w:lang w:val="en-GB"/>
        </w:rPr>
        <w:t>,</w:t>
      </w:r>
      <w:r w:rsidRPr="009C5F8F">
        <w:rPr>
          <w:rFonts w:ascii="Calisto MT" w:hAnsi="Calisto MT"/>
          <w:sz w:val="22"/>
          <w:szCs w:val="22"/>
          <w:lang w:val="en-GB"/>
        </w:rPr>
        <w:t xml:space="preserve"> allowing the launch of the first call for proposals in the </w:t>
      </w:r>
      <w:r w:rsidRPr="00A31FB9">
        <w:rPr>
          <w:rFonts w:ascii="Calisto MT" w:hAnsi="Calisto MT"/>
          <w:sz w:val="22"/>
          <w:szCs w:val="22"/>
          <w:lang w:val="en-GB"/>
        </w:rPr>
        <w:t>second half of 2016</w:t>
      </w:r>
      <w:r w:rsidRPr="009C5F8F">
        <w:rPr>
          <w:rFonts w:ascii="Calisto MT" w:hAnsi="Calisto MT"/>
          <w:sz w:val="22"/>
          <w:szCs w:val="22"/>
          <w:lang w:val="en-GB"/>
        </w:rPr>
        <w:t>.</w:t>
      </w:r>
      <w:r>
        <w:rPr>
          <w:rFonts w:ascii="Calisto MT" w:hAnsi="Calisto MT"/>
          <w:sz w:val="22"/>
          <w:szCs w:val="22"/>
          <w:lang w:val="en-GB"/>
        </w:rPr>
        <w:t xml:space="preserve"> </w:t>
      </w:r>
    </w:p>
    <w:p w14:paraId="0D1B382C" w14:textId="77777777" w:rsidR="00AC6739" w:rsidRPr="00AC6739" w:rsidRDefault="00AC6739" w:rsidP="00AC6739">
      <w:pPr>
        <w:spacing w:before="120" w:after="0" w:line="21" w:lineRule="atLeast"/>
        <w:jc w:val="both"/>
        <w:rPr>
          <w:rFonts w:eastAsia="Times New Roman" w:cs="Times New Roman"/>
          <w:sz w:val="22"/>
          <w:szCs w:val="22"/>
          <w:lang w:val="en-GB"/>
        </w:rPr>
      </w:pPr>
      <w:r w:rsidRPr="00AC6739">
        <w:rPr>
          <w:rFonts w:eastAsia="Times New Roman" w:cs="Times New Roman"/>
          <w:sz w:val="22"/>
          <w:szCs w:val="22"/>
          <w:lang w:val="en-GB"/>
        </w:rPr>
        <w:t>The</w:t>
      </w:r>
      <w:r w:rsidRPr="00FB12FE">
        <w:rPr>
          <w:rFonts w:eastAsia="Times New Roman" w:cs="Times New Roman"/>
          <w:b/>
          <w:sz w:val="22"/>
          <w:szCs w:val="22"/>
          <w:lang w:val="en-GB"/>
        </w:rPr>
        <w:t xml:space="preserve"> monitoring and evaluation </w:t>
      </w:r>
      <w:r w:rsidRPr="00AC6739">
        <w:rPr>
          <w:rFonts w:eastAsia="Times New Roman" w:cs="Times New Roman"/>
          <w:sz w:val="22"/>
          <w:szCs w:val="22"/>
          <w:lang w:val="en-GB"/>
        </w:rPr>
        <w:t xml:space="preserve">activities will play an important role in the programme implementation cycle and will involve monitoring at project level, monitoring at programme level and evaluation. </w:t>
      </w:r>
      <w:r w:rsidR="001F21E7" w:rsidRPr="00AC6739">
        <w:rPr>
          <w:rFonts w:eastAsia="Times New Roman" w:cs="Times New Roman"/>
          <w:sz w:val="22"/>
          <w:szCs w:val="22"/>
          <w:lang w:val="en-GB"/>
        </w:rPr>
        <w:t>A</w:t>
      </w:r>
      <w:r w:rsidR="00356E08" w:rsidRPr="00AC6739">
        <w:rPr>
          <w:rFonts w:eastAsia="Times New Roman" w:cs="Times New Roman"/>
          <w:sz w:val="22"/>
          <w:szCs w:val="22"/>
          <w:lang w:val="en-GB"/>
        </w:rPr>
        <w:t xml:space="preserve">chievements </w:t>
      </w:r>
      <w:r w:rsidR="00412081" w:rsidRPr="00AC6739">
        <w:rPr>
          <w:rFonts w:eastAsia="Times New Roman" w:cs="Times New Roman"/>
          <w:sz w:val="22"/>
          <w:szCs w:val="22"/>
          <w:lang w:val="en-GB"/>
        </w:rPr>
        <w:t xml:space="preserve">of the programme </w:t>
      </w:r>
      <w:r w:rsidR="00356E08" w:rsidRPr="00AC6739">
        <w:rPr>
          <w:rFonts w:eastAsia="Times New Roman" w:cs="Times New Roman"/>
          <w:sz w:val="22"/>
          <w:szCs w:val="22"/>
          <w:lang w:val="en-GB"/>
        </w:rPr>
        <w:t xml:space="preserve">will be measured at result level by 4 indicators (one for each priority) and at activity level by 6 ENI CBC common output indicators and 3 programme-specific output indicators. </w:t>
      </w:r>
    </w:p>
    <w:p w14:paraId="6846A482" w14:textId="77777777" w:rsidR="00570D24" w:rsidRDefault="007C7F24" w:rsidP="00570D24">
      <w:pPr>
        <w:spacing w:before="120" w:after="0" w:line="21" w:lineRule="atLeast"/>
        <w:jc w:val="both"/>
        <w:rPr>
          <w:rFonts w:eastAsia="Times New Roman" w:cs="Times New Roman"/>
          <w:sz w:val="22"/>
          <w:szCs w:val="22"/>
          <w:lang w:val="en-GB"/>
        </w:rPr>
      </w:pPr>
      <w:r w:rsidRPr="00FB12FE">
        <w:rPr>
          <w:rFonts w:eastAsia="Times New Roman" w:cs="Times New Roman"/>
          <w:b/>
          <w:sz w:val="22"/>
          <w:szCs w:val="22"/>
          <w:lang w:val="en-GB"/>
        </w:rPr>
        <w:t>Communication</w:t>
      </w:r>
      <w:r w:rsidRPr="00AC6739">
        <w:rPr>
          <w:rFonts w:eastAsia="Times New Roman" w:cs="Times New Roman"/>
          <w:sz w:val="22"/>
          <w:szCs w:val="22"/>
          <w:lang w:val="en-GB"/>
        </w:rPr>
        <w:t xml:space="preserve"> </w:t>
      </w:r>
      <w:r w:rsidR="00942E0E">
        <w:rPr>
          <w:rFonts w:eastAsia="Times New Roman" w:cs="Times New Roman"/>
          <w:sz w:val="22"/>
          <w:szCs w:val="22"/>
          <w:lang w:val="en-GB"/>
        </w:rPr>
        <w:t xml:space="preserve">activities will </w:t>
      </w:r>
      <w:r w:rsidR="00B7792A">
        <w:rPr>
          <w:rFonts w:eastAsia="Times New Roman" w:cs="Times New Roman"/>
          <w:sz w:val="22"/>
          <w:szCs w:val="22"/>
          <w:lang w:val="en-GB"/>
        </w:rPr>
        <w:t xml:space="preserve">aim </w:t>
      </w:r>
      <w:r w:rsidR="00570D24" w:rsidRPr="00570D24">
        <w:rPr>
          <w:rFonts w:eastAsia="Times New Roman" w:cs="Times New Roman"/>
          <w:sz w:val="22"/>
          <w:szCs w:val="22"/>
          <w:lang w:val="en-GB"/>
        </w:rPr>
        <w:t>to improve participation, assist successful implementation, ensure transparency and increase awareness of the programme, EU and national support.</w:t>
      </w:r>
    </w:p>
    <w:p w14:paraId="7921F5BA" w14:textId="77777777" w:rsidR="006B119E" w:rsidRDefault="006B119E" w:rsidP="00570D24">
      <w:pPr>
        <w:spacing w:before="120" w:after="0" w:line="21" w:lineRule="atLeast"/>
        <w:jc w:val="both"/>
        <w:rPr>
          <w:rFonts w:eastAsia="Times New Roman" w:cs="Times New Roman"/>
          <w:sz w:val="22"/>
          <w:szCs w:val="22"/>
          <w:lang w:val="en-GB"/>
        </w:rPr>
      </w:pPr>
    </w:p>
    <w:p w14:paraId="26DCCCFE" w14:textId="77777777" w:rsidR="0085204D" w:rsidRPr="00F04553" w:rsidRDefault="0085204D" w:rsidP="009E25C9">
      <w:pPr>
        <w:spacing w:before="120" w:after="0" w:line="21" w:lineRule="atLeast"/>
        <w:jc w:val="both"/>
        <w:rPr>
          <w:rFonts w:ascii="Times New Roman" w:hAnsi="Times New Roman" w:cs="Times New Roman"/>
          <w:sz w:val="20"/>
          <w:szCs w:val="20"/>
          <w:lang w:val="en-GB"/>
        </w:rPr>
      </w:pPr>
    </w:p>
    <w:p w14:paraId="7FB0FFD1" w14:textId="77777777" w:rsidR="00B82610" w:rsidRDefault="00B82610" w:rsidP="00570D24">
      <w:pPr>
        <w:spacing w:before="120" w:after="0" w:line="21" w:lineRule="atLeast"/>
        <w:jc w:val="both"/>
        <w:rPr>
          <w:rFonts w:eastAsia="Times New Roman" w:cs="Times New Roman"/>
          <w:sz w:val="22"/>
          <w:szCs w:val="22"/>
          <w:lang w:val="en-GB"/>
        </w:rPr>
      </w:pPr>
    </w:p>
    <w:p w14:paraId="4452E312" w14:textId="77777777" w:rsidR="00A42DFF" w:rsidRPr="00081ECA" w:rsidRDefault="00A42DFF" w:rsidP="00A42DFF">
      <w:pPr>
        <w:pStyle w:val="Heading2"/>
        <w:spacing w:after="0" w:line="252" w:lineRule="auto"/>
        <w:jc w:val="left"/>
        <w:rPr>
          <w:rFonts w:ascii="Times New Roman" w:hAnsi="Times New Roman" w:cs="Times New Roman"/>
          <w:sz w:val="2"/>
          <w:szCs w:val="2"/>
          <w:lang w:val="en-GB"/>
        </w:rPr>
      </w:pPr>
      <w:r>
        <w:rPr>
          <w:rFonts w:ascii="Times New Roman" w:hAnsi="Times New Roman" w:cs="Times New Roman"/>
          <w:sz w:val="2"/>
          <w:szCs w:val="2"/>
          <w:lang w:val="en-GB"/>
        </w:rPr>
        <w:br w:type="column"/>
      </w:r>
    </w:p>
    <w:p w14:paraId="3ADE03FA" w14:textId="77777777" w:rsidR="002D1AFC" w:rsidRPr="002C30C5" w:rsidRDefault="002D1AFC" w:rsidP="00EF7BA5">
      <w:pPr>
        <w:pStyle w:val="Heading1"/>
        <w:numPr>
          <w:ilvl w:val="0"/>
          <w:numId w:val="82"/>
        </w:numPr>
        <w:spacing w:before="200" w:after="0" w:line="264" w:lineRule="auto"/>
        <w:jc w:val="left"/>
        <w:rPr>
          <w:sz w:val="40"/>
          <w:szCs w:val="40"/>
          <w:lang w:val="en-GB"/>
        </w:rPr>
      </w:pPr>
      <w:bookmarkStart w:id="6" w:name="_Toc423436265"/>
      <w:r w:rsidRPr="002C30C5">
        <w:rPr>
          <w:sz w:val="40"/>
          <w:szCs w:val="40"/>
          <w:lang w:val="en-GB"/>
        </w:rPr>
        <w:t>Description of the Programme area</w:t>
      </w:r>
      <w:bookmarkEnd w:id="6"/>
      <w:bookmarkEnd w:id="1"/>
    </w:p>
    <w:p w14:paraId="724B70DF" w14:textId="77777777" w:rsidR="002D1AFC" w:rsidRPr="00683A03" w:rsidRDefault="002D1AFC" w:rsidP="002D1AFC">
      <w:pPr>
        <w:rPr>
          <w:lang w:val="en-GB"/>
        </w:rPr>
      </w:pPr>
    </w:p>
    <w:p w14:paraId="53362029" w14:textId="2988DD26" w:rsidR="002D1AFC" w:rsidRPr="00F40719" w:rsidRDefault="00EF7BA5" w:rsidP="001625ED">
      <w:pPr>
        <w:pStyle w:val="Heading3"/>
        <w:spacing w:before="360" w:after="120" w:line="252" w:lineRule="auto"/>
        <w:rPr>
          <w:b/>
          <w:sz w:val="28"/>
          <w:szCs w:val="28"/>
          <w:lang w:val="en-GB"/>
        </w:rPr>
      </w:pPr>
      <w:bookmarkStart w:id="7" w:name="_Toc276156664"/>
      <w:bookmarkStart w:id="8" w:name="_Toc423436266"/>
      <w:r>
        <w:rPr>
          <w:b/>
          <w:sz w:val="28"/>
          <w:szCs w:val="28"/>
          <w:lang w:val="en-GB"/>
        </w:rPr>
        <w:t xml:space="preserve">1.1 </w:t>
      </w:r>
      <w:r w:rsidR="002D1AFC" w:rsidRPr="00F40719">
        <w:rPr>
          <w:b/>
          <w:sz w:val="28"/>
          <w:szCs w:val="28"/>
          <w:lang w:val="en-GB"/>
        </w:rPr>
        <w:t>Participating countries</w:t>
      </w:r>
      <w:r w:rsidR="003C01ED">
        <w:rPr>
          <w:b/>
          <w:sz w:val="28"/>
          <w:szCs w:val="28"/>
          <w:lang w:val="en-GB"/>
        </w:rPr>
        <w:t>,</w:t>
      </w:r>
      <w:r w:rsidR="002D1AFC" w:rsidRPr="00F40719">
        <w:rPr>
          <w:b/>
          <w:sz w:val="28"/>
          <w:szCs w:val="28"/>
          <w:lang w:val="en-GB"/>
        </w:rPr>
        <w:t xml:space="preserve"> </w:t>
      </w:r>
      <w:r w:rsidR="003C01ED">
        <w:rPr>
          <w:b/>
          <w:sz w:val="28"/>
          <w:szCs w:val="28"/>
          <w:lang w:val="en-GB"/>
        </w:rPr>
        <w:t>core regions</w:t>
      </w:r>
      <w:r w:rsidR="00626114">
        <w:rPr>
          <w:b/>
          <w:sz w:val="28"/>
          <w:szCs w:val="28"/>
          <w:lang w:val="en-GB"/>
        </w:rPr>
        <w:t xml:space="preserve"> and P</w:t>
      </w:r>
      <w:r w:rsidR="003C01ED">
        <w:rPr>
          <w:b/>
          <w:sz w:val="28"/>
          <w:szCs w:val="28"/>
          <w:lang w:val="en-GB"/>
        </w:rPr>
        <w:t>rogramme area</w:t>
      </w:r>
      <w:bookmarkEnd w:id="7"/>
      <w:bookmarkEnd w:id="8"/>
    </w:p>
    <w:p w14:paraId="5E7C9631" w14:textId="7B6E4605" w:rsidR="002D1AFC" w:rsidRPr="009A76AD" w:rsidRDefault="004B0C7F" w:rsidP="001625ED">
      <w:pPr>
        <w:pStyle w:val="Normaleprogram"/>
        <w:spacing w:before="120" w:after="60" w:line="264" w:lineRule="auto"/>
        <w:ind w:right="-57"/>
        <w:jc w:val="both"/>
        <w:rPr>
          <w:rFonts w:asciiTheme="minorHAnsi" w:hAnsiTheme="minorHAnsi"/>
          <w:bCs/>
          <w:sz w:val="22"/>
          <w:szCs w:val="22"/>
        </w:rPr>
      </w:pPr>
      <w:r>
        <w:rPr>
          <w:rFonts w:asciiTheme="minorHAnsi" w:hAnsiTheme="minorHAnsi"/>
          <w:bCs/>
          <w:sz w:val="22"/>
          <w:szCs w:val="22"/>
        </w:rPr>
        <w:t xml:space="preserve">ENI CBC Programming document provides that the ENI CBC Black Sea Basin (BSB) programme includes the following </w:t>
      </w:r>
      <w:r w:rsidR="002D1AFC">
        <w:rPr>
          <w:rFonts w:asciiTheme="minorHAnsi" w:hAnsiTheme="minorHAnsi"/>
          <w:bCs/>
          <w:sz w:val="22"/>
          <w:szCs w:val="22"/>
        </w:rPr>
        <w:t>‘Participating countries’</w:t>
      </w:r>
      <w:r>
        <w:rPr>
          <w:rFonts w:asciiTheme="minorHAnsi" w:hAnsiTheme="minorHAnsi"/>
          <w:bCs/>
          <w:sz w:val="22"/>
          <w:szCs w:val="22"/>
        </w:rPr>
        <w:t>:</w:t>
      </w:r>
    </w:p>
    <w:p w14:paraId="6C9AB2B6" w14:textId="77777777" w:rsidR="002D1AFC"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Pr>
          <w:rFonts w:asciiTheme="minorHAnsi" w:hAnsiTheme="minorHAnsi"/>
          <w:sz w:val="22"/>
          <w:szCs w:val="22"/>
        </w:rPr>
        <w:t xml:space="preserve">EU </w:t>
      </w:r>
      <w:r w:rsidRPr="009A76AD">
        <w:rPr>
          <w:rFonts w:asciiTheme="minorHAnsi" w:hAnsiTheme="minorHAnsi"/>
          <w:sz w:val="22"/>
          <w:szCs w:val="22"/>
        </w:rPr>
        <w:t>Member State</w:t>
      </w:r>
      <w:r>
        <w:rPr>
          <w:rFonts w:asciiTheme="minorHAnsi" w:hAnsiTheme="minorHAnsi"/>
          <w:sz w:val="22"/>
          <w:szCs w:val="22"/>
        </w:rPr>
        <w:t>s: Bulgaria, Greece and Romania</w:t>
      </w:r>
    </w:p>
    <w:p w14:paraId="05C6D2F4" w14:textId="0525017D" w:rsidR="002D1AFC" w:rsidRPr="00361DC8" w:rsidRDefault="002D1AFC" w:rsidP="001625ED">
      <w:pPr>
        <w:pStyle w:val="Normaleprogram"/>
        <w:numPr>
          <w:ilvl w:val="0"/>
          <w:numId w:val="20"/>
        </w:numPr>
        <w:spacing w:after="60" w:line="264" w:lineRule="auto"/>
        <w:ind w:left="357" w:right="-57" w:hanging="357"/>
        <w:jc w:val="both"/>
        <w:rPr>
          <w:rFonts w:asciiTheme="minorHAnsi" w:hAnsiTheme="minorHAnsi"/>
          <w:bCs/>
          <w:sz w:val="22"/>
          <w:szCs w:val="22"/>
        </w:rPr>
      </w:pPr>
      <w:r>
        <w:rPr>
          <w:rFonts w:asciiTheme="minorHAnsi" w:hAnsiTheme="minorHAnsi"/>
          <w:bCs/>
          <w:sz w:val="22"/>
          <w:szCs w:val="22"/>
        </w:rPr>
        <w:t>Partner countries</w:t>
      </w:r>
      <w:r>
        <w:rPr>
          <w:rStyle w:val="FootnoteReference"/>
          <w:rFonts w:asciiTheme="minorHAnsi" w:hAnsiTheme="minorHAnsi"/>
          <w:bCs/>
          <w:sz w:val="22"/>
          <w:szCs w:val="22"/>
        </w:rPr>
        <w:footnoteReference w:id="5"/>
      </w:r>
      <w:r w:rsidRPr="009A76AD">
        <w:rPr>
          <w:rFonts w:asciiTheme="minorHAnsi" w:hAnsiTheme="minorHAnsi"/>
          <w:bCs/>
          <w:sz w:val="22"/>
          <w:szCs w:val="22"/>
        </w:rPr>
        <w:t>: Armenia, Azerbaij</w:t>
      </w:r>
      <w:r>
        <w:rPr>
          <w:rFonts w:asciiTheme="minorHAnsi" w:hAnsiTheme="minorHAnsi"/>
          <w:bCs/>
          <w:sz w:val="22"/>
          <w:szCs w:val="22"/>
        </w:rPr>
        <w:t>an</w:t>
      </w:r>
      <w:r w:rsidR="00011336">
        <w:rPr>
          <w:rStyle w:val="FootnoteReference"/>
          <w:rFonts w:asciiTheme="minorHAnsi" w:hAnsiTheme="minorHAnsi"/>
          <w:bCs/>
          <w:sz w:val="22"/>
          <w:szCs w:val="22"/>
        </w:rPr>
        <w:footnoteReference w:id="6"/>
      </w:r>
      <w:r>
        <w:rPr>
          <w:rFonts w:asciiTheme="minorHAnsi" w:hAnsiTheme="minorHAnsi"/>
          <w:bCs/>
          <w:sz w:val="22"/>
          <w:szCs w:val="22"/>
        </w:rPr>
        <w:t>, Georgia, Republic of Moldova and Ukraine</w:t>
      </w:r>
    </w:p>
    <w:p w14:paraId="37977E3B" w14:textId="4E362D3A" w:rsidR="002D1AFC" w:rsidRPr="009F4DBD" w:rsidRDefault="009F4DBD"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9F4DBD">
        <w:rPr>
          <w:rFonts w:asciiTheme="minorHAnsi" w:hAnsiTheme="minorHAnsi"/>
          <w:sz w:val="22"/>
          <w:szCs w:val="22"/>
        </w:rPr>
        <w:t>C</w:t>
      </w:r>
      <w:r w:rsidR="002D1AFC" w:rsidRPr="009F4DBD">
        <w:rPr>
          <w:rFonts w:asciiTheme="minorHAnsi" w:hAnsiTheme="minorHAnsi"/>
          <w:sz w:val="22"/>
          <w:szCs w:val="22"/>
        </w:rPr>
        <w:t>andidate country: Turkey</w:t>
      </w:r>
    </w:p>
    <w:p w14:paraId="49D281FD" w14:textId="77B6D985" w:rsidR="002D1AFC"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Pr>
          <w:rFonts w:asciiTheme="minorHAnsi" w:hAnsiTheme="minorHAnsi"/>
          <w:sz w:val="22"/>
          <w:szCs w:val="22"/>
        </w:rPr>
        <w:t>Russian Federation</w:t>
      </w:r>
      <w:r>
        <w:rPr>
          <w:rStyle w:val="FootnoteReference"/>
          <w:rFonts w:asciiTheme="minorHAnsi" w:hAnsiTheme="minorHAnsi"/>
          <w:sz w:val="22"/>
          <w:szCs w:val="22"/>
        </w:rPr>
        <w:footnoteReference w:id="7"/>
      </w:r>
    </w:p>
    <w:p w14:paraId="22CB0CF7" w14:textId="52481168" w:rsidR="002D1AFC" w:rsidRDefault="006B2064" w:rsidP="001625ED">
      <w:pPr>
        <w:pStyle w:val="Normaleprogram"/>
        <w:spacing w:before="120" w:after="60" w:line="264" w:lineRule="auto"/>
        <w:ind w:right="-57"/>
        <w:jc w:val="both"/>
        <w:rPr>
          <w:rFonts w:asciiTheme="minorHAnsi" w:hAnsiTheme="minorHAnsi"/>
          <w:sz w:val="22"/>
          <w:szCs w:val="22"/>
        </w:rPr>
      </w:pPr>
      <w:r>
        <w:rPr>
          <w:rFonts w:asciiTheme="minorHAnsi" w:hAnsiTheme="minorHAnsi"/>
          <w:sz w:val="22"/>
          <w:szCs w:val="22"/>
        </w:rPr>
        <w:t>ENI CBC Programming document also provides that t</w:t>
      </w:r>
      <w:r w:rsidR="002D1AFC">
        <w:rPr>
          <w:rFonts w:asciiTheme="minorHAnsi" w:hAnsiTheme="minorHAnsi"/>
          <w:sz w:val="22"/>
          <w:szCs w:val="22"/>
        </w:rPr>
        <w:t>he following countries or NUTS II (or equivalent) territorial units form the core eligible area of the Black Sea Basin Progra</w:t>
      </w:r>
      <w:r w:rsidR="009327E0">
        <w:rPr>
          <w:rFonts w:asciiTheme="minorHAnsi" w:hAnsiTheme="minorHAnsi"/>
          <w:sz w:val="22"/>
          <w:szCs w:val="22"/>
        </w:rPr>
        <w:t>mme</w:t>
      </w:r>
      <w:r w:rsidR="002D1AFC">
        <w:rPr>
          <w:rFonts w:asciiTheme="minorHAnsi" w:hAnsiTheme="minorHAnsi"/>
          <w:sz w:val="22"/>
          <w:szCs w:val="22"/>
        </w:rPr>
        <w:t xml:space="preserve">:  </w:t>
      </w:r>
    </w:p>
    <w:p w14:paraId="62BD269C"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Romania</w:t>
      </w:r>
      <w:r w:rsidRPr="00365C00">
        <w:rPr>
          <w:rFonts w:asciiTheme="minorHAnsi" w:hAnsiTheme="minorHAnsi"/>
          <w:sz w:val="22"/>
          <w:szCs w:val="22"/>
        </w:rPr>
        <w:t xml:space="preserve">: </w:t>
      </w:r>
      <w:proofErr w:type="spellStart"/>
      <w:r w:rsidRPr="00365C00">
        <w:rPr>
          <w:rFonts w:asciiTheme="minorHAnsi" w:hAnsiTheme="minorHAnsi"/>
          <w:sz w:val="22"/>
          <w:szCs w:val="22"/>
        </w:rPr>
        <w:t>Sud</w:t>
      </w:r>
      <w:proofErr w:type="spellEnd"/>
      <w:r w:rsidRPr="00365C00">
        <w:rPr>
          <w:rFonts w:asciiTheme="minorHAnsi" w:hAnsiTheme="minorHAnsi"/>
          <w:sz w:val="22"/>
          <w:szCs w:val="22"/>
        </w:rPr>
        <w:t>-Est</w:t>
      </w:r>
    </w:p>
    <w:p w14:paraId="0D7F286F"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Bulgaria</w:t>
      </w:r>
      <w:r w:rsidRPr="00365C00">
        <w:rPr>
          <w:rFonts w:asciiTheme="minorHAnsi" w:hAnsiTheme="minorHAnsi"/>
          <w:sz w:val="22"/>
          <w:szCs w:val="22"/>
        </w:rPr>
        <w:t xml:space="preserve">: </w:t>
      </w:r>
      <w:proofErr w:type="spellStart"/>
      <w:r w:rsidRPr="00365C00">
        <w:rPr>
          <w:rFonts w:asciiTheme="minorHAnsi" w:hAnsiTheme="minorHAnsi"/>
          <w:sz w:val="22"/>
          <w:szCs w:val="22"/>
        </w:rPr>
        <w:t>Severoiztochen</w:t>
      </w:r>
      <w:proofErr w:type="spellEnd"/>
      <w:r w:rsidRPr="00365C00">
        <w:rPr>
          <w:rFonts w:asciiTheme="minorHAnsi" w:hAnsiTheme="minorHAnsi"/>
          <w:sz w:val="22"/>
          <w:szCs w:val="22"/>
        </w:rPr>
        <w:t xml:space="preserve">, </w:t>
      </w:r>
      <w:proofErr w:type="spellStart"/>
      <w:r w:rsidRPr="00365C00">
        <w:rPr>
          <w:rFonts w:asciiTheme="minorHAnsi" w:hAnsiTheme="minorHAnsi"/>
          <w:sz w:val="22"/>
          <w:szCs w:val="22"/>
        </w:rPr>
        <w:t>Yugoiztochen</w:t>
      </w:r>
      <w:proofErr w:type="spellEnd"/>
    </w:p>
    <w:p w14:paraId="623EE42B"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Greece</w:t>
      </w:r>
      <w:r w:rsidRPr="00365C00">
        <w:rPr>
          <w:rFonts w:asciiTheme="minorHAnsi" w:hAnsiTheme="minorHAnsi"/>
          <w:sz w:val="22"/>
          <w:szCs w:val="22"/>
        </w:rPr>
        <w:t xml:space="preserve">: </w:t>
      </w:r>
      <w:proofErr w:type="spellStart"/>
      <w:r w:rsidRPr="00365C00">
        <w:rPr>
          <w:rFonts w:asciiTheme="minorHAnsi" w:hAnsiTheme="minorHAnsi"/>
          <w:sz w:val="22"/>
          <w:szCs w:val="22"/>
        </w:rPr>
        <w:t>Kentriki</w:t>
      </w:r>
      <w:proofErr w:type="spellEnd"/>
      <w:r w:rsidRPr="00365C00">
        <w:rPr>
          <w:rFonts w:asciiTheme="minorHAnsi" w:hAnsiTheme="minorHAnsi"/>
          <w:sz w:val="22"/>
          <w:szCs w:val="22"/>
        </w:rPr>
        <w:t xml:space="preserve"> Makedonia, </w:t>
      </w:r>
      <w:proofErr w:type="spellStart"/>
      <w:r w:rsidRPr="00365C00">
        <w:rPr>
          <w:rFonts w:asciiTheme="minorHAnsi" w:hAnsiTheme="minorHAnsi"/>
          <w:sz w:val="22"/>
          <w:szCs w:val="22"/>
        </w:rPr>
        <w:t>Anatoliki</w:t>
      </w:r>
      <w:proofErr w:type="spellEnd"/>
      <w:r w:rsidRPr="00365C00">
        <w:rPr>
          <w:rFonts w:asciiTheme="minorHAnsi" w:hAnsiTheme="minorHAnsi"/>
          <w:sz w:val="22"/>
          <w:szCs w:val="22"/>
        </w:rPr>
        <w:t xml:space="preserve"> Makedonia </w:t>
      </w:r>
      <w:proofErr w:type="spellStart"/>
      <w:r w:rsidRPr="00365C00">
        <w:rPr>
          <w:rFonts w:asciiTheme="minorHAnsi" w:hAnsiTheme="minorHAnsi"/>
          <w:sz w:val="22"/>
          <w:szCs w:val="22"/>
        </w:rPr>
        <w:t>Thraki</w:t>
      </w:r>
      <w:proofErr w:type="spellEnd"/>
    </w:p>
    <w:p w14:paraId="21C42827"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Turkey</w:t>
      </w:r>
      <w:r w:rsidRPr="00365C00">
        <w:rPr>
          <w:rFonts w:asciiTheme="minorHAnsi" w:hAnsiTheme="minorHAnsi"/>
          <w:sz w:val="22"/>
          <w:szCs w:val="22"/>
        </w:rPr>
        <w:t xml:space="preserve">: </w:t>
      </w:r>
      <w:r w:rsidR="000174E4" w:rsidRPr="00365C00">
        <w:rPr>
          <w:rFonts w:asciiTheme="minorHAnsi" w:hAnsiTheme="minorHAnsi"/>
          <w:sz w:val="22"/>
          <w:szCs w:val="22"/>
        </w:rPr>
        <w:t>TR10 (</w:t>
      </w:r>
      <w:r w:rsidR="000174E4" w:rsidRPr="00365C00">
        <w:rPr>
          <w:sz w:val="22"/>
          <w:szCs w:val="22"/>
        </w:rPr>
        <w:t>İstanbul</w:t>
      </w:r>
      <w:r w:rsidR="000174E4" w:rsidRPr="00365C00">
        <w:rPr>
          <w:rFonts w:asciiTheme="minorHAnsi" w:hAnsiTheme="minorHAnsi"/>
          <w:sz w:val="22"/>
          <w:szCs w:val="22"/>
        </w:rPr>
        <w:t>), TR21 (</w:t>
      </w:r>
      <w:proofErr w:type="spellStart"/>
      <w:r w:rsidR="000174E4" w:rsidRPr="00365C00">
        <w:rPr>
          <w:rFonts w:asciiTheme="minorHAnsi" w:hAnsiTheme="minorHAnsi"/>
          <w:sz w:val="22"/>
          <w:szCs w:val="22"/>
        </w:rPr>
        <w:t>Tekirda</w:t>
      </w:r>
      <w:r w:rsidR="000174E4" w:rsidRPr="00365C00">
        <w:rPr>
          <w:sz w:val="22"/>
          <w:szCs w:val="22"/>
        </w:rPr>
        <w:t>ğ</w:t>
      </w:r>
      <w:proofErr w:type="spellEnd"/>
      <w:r w:rsidR="000174E4" w:rsidRPr="00365C00">
        <w:rPr>
          <w:rFonts w:asciiTheme="minorHAnsi" w:hAnsiTheme="minorHAnsi"/>
          <w:sz w:val="22"/>
          <w:szCs w:val="22"/>
        </w:rPr>
        <w:t xml:space="preserve">, Edirne, </w:t>
      </w:r>
      <w:proofErr w:type="spellStart"/>
      <w:r w:rsidR="000174E4" w:rsidRPr="00365C00">
        <w:rPr>
          <w:rFonts w:asciiTheme="minorHAnsi" w:hAnsiTheme="minorHAnsi"/>
          <w:sz w:val="22"/>
          <w:szCs w:val="22"/>
        </w:rPr>
        <w:t>Kırklareli</w:t>
      </w:r>
      <w:proofErr w:type="spellEnd"/>
      <w:r w:rsidR="000174E4" w:rsidRPr="00365C00">
        <w:rPr>
          <w:rFonts w:asciiTheme="minorHAnsi" w:hAnsiTheme="minorHAnsi"/>
          <w:sz w:val="22"/>
          <w:szCs w:val="22"/>
        </w:rPr>
        <w:t>), TR42 (</w:t>
      </w:r>
      <w:proofErr w:type="spellStart"/>
      <w:r w:rsidR="000174E4" w:rsidRPr="00365C00">
        <w:rPr>
          <w:rFonts w:asciiTheme="minorHAnsi" w:hAnsiTheme="minorHAnsi"/>
          <w:sz w:val="22"/>
          <w:szCs w:val="22"/>
        </w:rPr>
        <w:t>Kocaeli</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Sakarya</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Düzce</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Bolu</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Yalova</w:t>
      </w:r>
      <w:proofErr w:type="spellEnd"/>
      <w:r w:rsidR="000174E4" w:rsidRPr="00365C00">
        <w:rPr>
          <w:rFonts w:asciiTheme="minorHAnsi" w:hAnsiTheme="minorHAnsi"/>
          <w:sz w:val="22"/>
          <w:szCs w:val="22"/>
        </w:rPr>
        <w:t>), TR81 (</w:t>
      </w:r>
      <w:proofErr w:type="spellStart"/>
      <w:r w:rsidR="000174E4" w:rsidRPr="00365C00">
        <w:rPr>
          <w:rFonts w:asciiTheme="minorHAnsi" w:hAnsiTheme="minorHAnsi"/>
          <w:sz w:val="22"/>
          <w:szCs w:val="22"/>
        </w:rPr>
        <w:t>Zonguldak</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Karabük</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Bartın</w:t>
      </w:r>
      <w:proofErr w:type="spellEnd"/>
      <w:r w:rsidR="000174E4" w:rsidRPr="00365C00">
        <w:rPr>
          <w:rFonts w:asciiTheme="minorHAnsi" w:hAnsiTheme="minorHAnsi"/>
          <w:sz w:val="22"/>
          <w:szCs w:val="22"/>
        </w:rPr>
        <w:t>), TR82 (</w:t>
      </w:r>
      <w:proofErr w:type="spellStart"/>
      <w:r w:rsidR="000174E4" w:rsidRPr="00365C00">
        <w:rPr>
          <w:rFonts w:asciiTheme="minorHAnsi" w:hAnsiTheme="minorHAnsi"/>
          <w:sz w:val="22"/>
          <w:szCs w:val="22"/>
        </w:rPr>
        <w:t>Kastamonu</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Çankırı</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Sinop</w:t>
      </w:r>
      <w:proofErr w:type="spellEnd"/>
      <w:r w:rsidR="000174E4" w:rsidRPr="00365C00">
        <w:rPr>
          <w:rFonts w:asciiTheme="minorHAnsi" w:hAnsiTheme="minorHAnsi"/>
          <w:sz w:val="22"/>
          <w:szCs w:val="22"/>
        </w:rPr>
        <w:t xml:space="preserve">), TR83 (Samsun, </w:t>
      </w:r>
      <w:proofErr w:type="spellStart"/>
      <w:r w:rsidR="000174E4" w:rsidRPr="00365C00">
        <w:rPr>
          <w:rFonts w:asciiTheme="minorHAnsi" w:hAnsiTheme="minorHAnsi"/>
          <w:sz w:val="22"/>
          <w:szCs w:val="22"/>
        </w:rPr>
        <w:t>Tokat</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Çorum</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Amasya</w:t>
      </w:r>
      <w:proofErr w:type="spellEnd"/>
      <w:r w:rsidR="000174E4" w:rsidRPr="00365C00">
        <w:rPr>
          <w:rFonts w:asciiTheme="minorHAnsi" w:hAnsiTheme="minorHAnsi"/>
          <w:sz w:val="22"/>
          <w:szCs w:val="22"/>
        </w:rPr>
        <w:t xml:space="preserve">) and TR90 (Trabzon, </w:t>
      </w:r>
      <w:proofErr w:type="spellStart"/>
      <w:r w:rsidR="000174E4" w:rsidRPr="00365C00">
        <w:rPr>
          <w:rFonts w:asciiTheme="minorHAnsi" w:hAnsiTheme="minorHAnsi"/>
          <w:sz w:val="22"/>
          <w:szCs w:val="22"/>
        </w:rPr>
        <w:t>Ordu</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Giresun</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Rize</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Artvin</w:t>
      </w:r>
      <w:proofErr w:type="spellEnd"/>
      <w:r w:rsidR="000174E4" w:rsidRPr="00365C00">
        <w:rPr>
          <w:rFonts w:asciiTheme="minorHAnsi" w:hAnsiTheme="minorHAnsi"/>
          <w:sz w:val="22"/>
          <w:szCs w:val="22"/>
        </w:rPr>
        <w:t xml:space="preserve">, </w:t>
      </w:r>
      <w:proofErr w:type="spellStart"/>
      <w:r w:rsidR="000174E4" w:rsidRPr="00365C00">
        <w:rPr>
          <w:rFonts w:asciiTheme="minorHAnsi" w:hAnsiTheme="minorHAnsi"/>
          <w:sz w:val="22"/>
          <w:szCs w:val="22"/>
        </w:rPr>
        <w:t>Gümü</w:t>
      </w:r>
      <w:r w:rsidR="000174E4" w:rsidRPr="00D83D2D">
        <w:rPr>
          <w:sz w:val="22"/>
          <w:szCs w:val="22"/>
        </w:rPr>
        <w:t>şhane</w:t>
      </w:r>
      <w:proofErr w:type="spellEnd"/>
      <w:r w:rsidR="000174E4" w:rsidRPr="00D83D2D">
        <w:rPr>
          <w:rFonts w:asciiTheme="minorHAnsi" w:hAnsiTheme="minorHAnsi"/>
          <w:sz w:val="22"/>
          <w:szCs w:val="22"/>
        </w:rPr>
        <w:t>)</w:t>
      </w:r>
    </w:p>
    <w:p w14:paraId="7D453489"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Russia</w:t>
      </w:r>
      <w:r w:rsidRPr="00365C00">
        <w:rPr>
          <w:rFonts w:asciiTheme="minorHAnsi" w:hAnsiTheme="minorHAnsi"/>
          <w:sz w:val="22"/>
          <w:szCs w:val="22"/>
        </w:rPr>
        <w:t xml:space="preserve">: Rostov Oblast, Krasnodar </w:t>
      </w:r>
      <w:proofErr w:type="spellStart"/>
      <w:r w:rsidRPr="00365C00">
        <w:rPr>
          <w:rFonts w:asciiTheme="minorHAnsi" w:hAnsiTheme="minorHAnsi"/>
          <w:sz w:val="22"/>
          <w:szCs w:val="22"/>
        </w:rPr>
        <w:t>Krai</w:t>
      </w:r>
      <w:proofErr w:type="spellEnd"/>
      <w:r w:rsidRPr="00365C00">
        <w:rPr>
          <w:rFonts w:asciiTheme="minorHAnsi" w:hAnsiTheme="minorHAnsi"/>
          <w:sz w:val="22"/>
          <w:szCs w:val="22"/>
        </w:rPr>
        <w:t xml:space="preserve">, Adygea </w:t>
      </w:r>
      <w:r w:rsidR="007C0D2B" w:rsidRPr="00365C00">
        <w:rPr>
          <w:rFonts w:asciiTheme="minorHAnsi" w:hAnsiTheme="minorHAnsi"/>
          <w:sz w:val="22"/>
          <w:szCs w:val="22"/>
        </w:rPr>
        <w:t>R</w:t>
      </w:r>
      <w:r w:rsidRPr="00365C00">
        <w:rPr>
          <w:rFonts w:asciiTheme="minorHAnsi" w:hAnsiTheme="minorHAnsi"/>
          <w:sz w:val="22"/>
          <w:szCs w:val="22"/>
        </w:rPr>
        <w:t>epublic</w:t>
      </w:r>
    </w:p>
    <w:p w14:paraId="62FD59D6" w14:textId="1273AA41"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Ukraine</w:t>
      </w:r>
      <w:r w:rsidRPr="00365C00">
        <w:rPr>
          <w:rStyle w:val="FootnoteReference"/>
          <w:rFonts w:asciiTheme="minorHAnsi" w:hAnsiTheme="minorHAnsi"/>
          <w:sz w:val="22"/>
          <w:szCs w:val="22"/>
        </w:rPr>
        <w:footnoteReference w:id="8"/>
      </w:r>
      <w:r w:rsidRPr="00365C00">
        <w:rPr>
          <w:rFonts w:asciiTheme="minorHAnsi" w:hAnsiTheme="minorHAnsi"/>
          <w:sz w:val="22"/>
          <w:szCs w:val="22"/>
        </w:rPr>
        <w:t>: Odes</w:t>
      </w:r>
      <w:r w:rsidR="00EF18BE" w:rsidRPr="00365C00">
        <w:rPr>
          <w:rFonts w:asciiTheme="minorHAnsi" w:hAnsiTheme="minorHAnsi"/>
          <w:sz w:val="22"/>
          <w:szCs w:val="22"/>
        </w:rPr>
        <w:t>a, Mykolaiv, Kherson</w:t>
      </w:r>
      <w:r w:rsidRPr="00365C00">
        <w:rPr>
          <w:rFonts w:asciiTheme="minorHAnsi" w:hAnsiTheme="minorHAnsi"/>
          <w:sz w:val="22"/>
          <w:szCs w:val="22"/>
        </w:rPr>
        <w:t xml:space="preserve">, </w:t>
      </w:r>
      <w:proofErr w:type="spellStart"/>
      <w:r w:rsidRPr="00365C00">
        <w:rPr>
          <w:rFonts w:asciiTheme="minorHAnsi" w:hAnsiTheme="minorHAnsi"/>
          <w:sz w:val="22"/>
          <w:szCs w:val="22"/>
        </w:rPr>
        <w:t>Zaporosh’ye</w:t>
      </w:r>
      <w:proofErr w:type="spellEnd"/>
      <w:r w:rsidRPr="00365C00">
        <w:rPr>
          <w:rFonts w:asciiTheme="minorHAnsi" w:hAnsiTheme="minorHAnsi"/>
          <w:sz w:val="22"/>
          <w:szCs w:val="22"/>
        </w:rPr>
        <w:t xml:space="preserve"> and Donetsk Oblasts, Crimea Republic, Sevastopol</w:t>
      </w:r>
    </w:p>
    <w:p w14:paraId="2C6C6081" w14:textId="77777777" w:rsidR="002D1AFC" w:rsidRPr="00365C00" w:rsidRDefault="002D1AFC" w:rsidP="001625ED">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sz w:val="22"/>
          <w:szCs w:val="22"/>
        </w:rPr>
        <w:t>Moldova, Georgia, Armenia, Azerbaijan</w:t>
      </w:r>
      <w:r w:rsidRPr="00365C00">
        <w:rPr>
          <w:rFonts w:asciiTheme="minorHAnsi" w:hAnsiTheme="minorHAnsi"/>
          <w:sz w:val="22"/>
          <w:szCs w:val="22"/>
        </w:rPr>
        <w:t>: the whole country</w:t>
      </w:r>
    </w:p>
    <w:p w14:paraId="7C24A8C3" w14:textId="3D69A90B" w:rsidR="003C01ED" w:rsidRDefault="003C01ED" w:rsidP="003C01ED">
      <w:pPr>
        <w:widowControl w:val="0"/>
        <w:autoSpaceDE w:val="0"/>
        <w:autoSpaceDN w:val="0"/>
        <w:adjustRightInd w:val="0"/>
        <w:spacing w:before="120" w:after="0" w:line="252" w:lineRule="auto"/>
        <w:jc w:val="both"/>
        <w:rPr>
          <w:rFonts w:cs="Times New Roman"/>
          <w:sz w:val="22"/>
          <w:szCs w:val="22"/>
          <w:lang w:val="en-GB"/>
        </w:rPr>
      </w:pPr>
      <w:bookmarkStart w:id="9" w:name="_Toc273788683"/>
      <w:bookmarkStart w:id="10" w:name="_Toc276156668"/>
      <w:r w:rsidRPr="003C01ED">
        <w:rPr>
          <w:rFonts w:eastAsia="Times New Roman" w:cs="Times New Roman"/>
          <w:sz w:val="22"/>
          <w:szCs w:val="22"/>
          <w:lang w:val="en-GB" w:eastAsia="en-US"/>
        </w:rPr>
        <w:t>However, by the time of submission</w:t>
      </w:r>
      <w:r w:rsidR="00D109BC">
        <w:rPr>
          <w:rStyle w:val="FootnoteReference"/>
          <w:rFonts w:eastAsia="Times New Roman" w:cs="Times New Roman"/>
          <w:sz w:val="22"/>
          <w:szCs w:val="22"/>
          <w:lang w:val="en-GB" w:eastAsia="en-US"/>
        </w:rPr>
        <w:footnoteReference w:id="9"/>
      </w:r>
      <w:r>
        <w:rPr>
          <w:rFonts w:eastAsia="Times New Roman" w:cs="Times New Roman"/>
          <w:sz w:val="22"/>
          <w:szCs w:val="22"/>
          <w:lang w:val="en-GB" w:eastAsia="en-US"/>
        </w:rPr>
        <w:t xml:space="preserve"> of the Programme to the European Commission for adoption, </w:t>
      </w:r>
      <w:r w:rsidR="004A0A06">
        <w:rPr>
          <w:rFonts w:eastAsia="Times New Roman" w:cs="Times New Roman"/>
          <w:sz w:val="22"/>
          <w:szCs w:val="22"/>
          <w:lang w:val="en-GB" w:eastAsia="en-US"/>
        </w:rPr>
        <w:t xml:space="preserve">the following countries only </w:t>
      </w:r>
      <w:r w:rsidR="00F72B5B">
        <w:rPr>
          <w:rFonts w:cs="Times New Roman"/>
          <w:sz w:val="22"/>
          <w:szCs w:val="22"/>
          <w:lang w:val="en-GB"/>
        </w:rPr>
        <w:t>have confirmed their participation</w:t>
      </w:r>
      <w:r w:rsidR="001B436A">
        <w:rPr>
          <w:rFonts w:cs="Times New Roman"/>
          <w:sz w:val="22"/>
          <w:szCs w:val="22"/>
          <w:lang w:val="en-GB"/>
        </w:rPr>
        <w:t xml:space="preserve"> in</w:t>
      </w:r>
      <w:r w:rsidR="004A0A06">
        <w:rPr>
          <w:rFonts w:cs="Times New Roman"/>
          <w:sz w:val="22"/>
          <w:szCs w:val="22"/>
          <w:lang w:val="en-GB"/>
        </w:rPr>
        <w:t xml:space="preserve"> the </w:t>
      </w:r>
      <w:r w:rsidR="00365C00">
        <w:rPr>
          <w:rFonts w:cs="Times New Roman"/>
          <w:sz w:val="22"/>
          <w:szCs w:val="22"/>
          <w:lang w:val="en-GB"/>
        </w:rPr>
        <w:t xml:space="preserve">Black Sea Basin </w:t>
      </w:r>
      <w:r w:rsidR="004A0A06">
        <w:rPr>
          <w:rFonts w:cs="Times New Roman"/>
          <w:sz w:val="22"/>
          <w:szCs w:val="22"/>
          <w:lang w:val="en-GB"/>
        </w:rPr>
        <w:t>Programme</w:t>
      </w:r>
      <w:r w:rsidR="00B16B5F">
        <w:rPr>
          <w:rFonts w:cs="Times New Roman"/>
          <w:sz w:val="22"/>
          <w:szCs w:val="22"/>
          <w:lang w:val="en-GB"/>
        </w:rPr>
        <w:t>, including the following</w:t>
      </w:r>
      <w:r w:rsidR="00FD7298">
        <w:rPr>
          <w:rFonts w:cs="Times New Roman"/>
          <w:sz w:val="22"/>
          <w:szCs w:val="22"/>
          <w:lang w:val="en-GB"/>
        </w:rPr>
        <w:t xml:space="preserve"> core</w:t>
      </w:r>
      <w:r w:rsidR="00365C00">
        <w:rPr>
          <w:rFonts w:cs="Times New Roman"/>
          <w:sz w:val="22"/>
          <w:szCs w:val="22"/>
          <w:lang w:val="en-GB"/>
        </w:rPr>
        <w:t xml:space="preserve"> </w:t>
      </w:r>
      <w:r w:rsidR="00B16B5F">
        <w:rPr>
          <w:rFonts w:cs="Times New Roman"/>
          <w:sz w:val="22"/>
          <w:szCs w:val="22"/>
          <w:lang w:val="en-GB"/>
        </w:rPr>
        <w:t>regions</w:t>
      </w:r>
      <w:r w:rsidR="00F72B5B">
        <w:rPr>
          <w:rFonts w:cs="Times New Roman"/>
          <w:sz w:val="22"/>
          <w:szCs w:val="22"/>
          <w:lang w:val="en-GB"/>
        </w:rPr>
        <w:t>:</w:t>
      </w:r>
      <w:r w:rsidR="007B578E">
        <w:rPr>
          <w:rFonts w:cs="Times New Roman"/>
          <w:sz w:val="22"/>
          <w:szCs w:val="22"/>
          <w:lang w:val="en-GB"/>
        </w:rPr>
        <w:t xml:space="preserve"> </w:t>
      </w:r>
      <w:r>
        <w:rPr>
          <w:rFonts w:cs="Times New Roman"/>
          <w:sz w:val="22"/>
          <w:szCs w:val="22"/>
          <w:lang w:val="en-GB"/>
        </w:rPr>
        <w:t xml:space="preserve"> </w:t>
      </w:r>
    </w:p>
    <w:p w14:paraId="6B93EBE5" w14:textId="77777777" w:rsidR="00365C00" w:rsidRPr="00365C00" w:rsidRDefault="00365C00" w:rsidP="00EF79C6">
      <w:pPr>
        <w:pStyle w:val="Normaleprogram"/>
        <w:numPr>
          <w:ilvl w:val="0"/>
          <w:numId w:val="20"/>
        </w:numPr>
        <w:spacing w:before="120" w:after="60" w:line="264" w:lineRule="auto"/>
        <w:ind w:left="357" w:right="-57" w:hanging="357"/>
        <w:jc w:val="both"/>
        <w:rPr>
          <w:rFonts w:asciiTheme="minorHAnsi" w:hAnsiTheme="minorHAnsi"/>
          <w:sz w:val="22"/>
          <w:szCs w:val="22"/>
        </w:rPr>
      </w:pPr>
      <w:r w:rsidRPr="00D83D2D">
        <w:rPr>
          <w:rFonts w:asciiTheme="minorHAnsi" w:hAnsiTheme="minorHAnsi"/>
          <w:b/>
          <w:sz w:val="22"/>
          <w:szCs w:val="22"/>
        </w:rPr>
        <w:t>Romania</w:t>
      </w:r>
      <w:r w:rsidRPr="00365C00">
        <w:rPr>
          <w:rFonts w:asciiTheme="minorHAnsi" w:hAnsiTheme="minorHAnsi"/>
          <w:sz w:val="22"/>
          <w:szCs w:val="22"/>
        </w:rPr>
        <w:t xml:space="preserve">: </w:t>
      </w:r>
      <w:proofErr w:type="spellStart"/>
      <w:r w:rsidRPr="00365C00">
        <w:rPr>
          <w:rFonts w:asciiTheme="minorHAnsi" w:hAnsiTheme="minorHAnsi"/>
          <w:sz w:val="22"/>
          <w:szCs w:val="22"/>
        </w:rPr>
        <w:t>Sud</w:t>
      </w:r>
      <w:proofErr w:type="spellEnd"/>
      <w:r w:rsidRPr="00365C00">
        <w:rPr>
          <w:rFonts w:asciiTheme="minorHAnsi" w:hAnsiTheme="minorHAnsi"/>
          <w:sz w:val="22"/>
          <w:szCs w:val="22"/>
        </w:rPr>
        <w:t>-Est</w:t>
      </w:r>
    </w:p>
    <w:p w14:paraId="24CD8F5A" w14:textId="77777777" w:rsidR="00365C00" w:rsidRPr="00365C00" w:rsidRDefault="00365C00" w:rsidP="00365C00">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b/>
          <w:sz w:val="22"/>
          <w:szCs w:val="22"/>
        </w:rPr>
        <w:t>Bulgaria</w:t>
      </w:r>
      <w:r w:rsidRPr="00365C00">
        <w:rPr>
          <w:rFonts w:asciiTheme="minorHAnsi" w:hAnsiTheme="minorHAnsi"/>
          <w:sz w:val="22"/>
          <w:szCs w:val="22"/>
        </w:rPr>
        <w:t xml:space="preserve">: </w:t>
      </w:r>
      <w:proofErr w:type="spellStart"/>
      <w:r w:rsidRPr="00365C00">
        <w:rPr>
          <w:rFonts w:asciiTheme="minorHAnsi" w:hAnsiTheme="minorHAnsi"/>
          <w:sz w:val="22"/>
          <w:szCs w:val="22"/>
        </w:rPr>
        <w:t>Severoiztochen</w:t>
      </w:r>
      <w:proofErr w:type="spellEnd"/>
      <w:r w:rsidRPr="00365C00">
        <w:rPr>
          <w:rFonts w:asciiTheme="minorHAnsi" w:hAnsiTheme="minorHAnsi"/>
          <w:sz w:val="22"/>
          <w:szCs w:val="22"/>
        </w:rPr>
        <w:t xml:space="preserve">, </w:t>
      </w:r>
      <w:proofErr w:type="spellStart"/>
      <w:r w:rsidRPr="00365C00">
        <w:rPr>
          <w:rFonts w:asciiTheme="minorHAnsi" w:hAnsiTheme="minorHAnsi"/>
          <w:sz w:val="22"/>
          <w:szCs w:val="22"/>
        </w:rPr>
        <w:t>Yugoiztochen</w:t>
      </w:r>
      <w:proofErr w:type="spellEnd"/>
    </w:p>
    <w:p w14:paraId="7D013D8B" w14:textId="77777777" w:rsidR="00365C00" w:rsidRPr="00365C00" w:rsidRDefault="00365C00" w:rsidP="00365C00">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b/>
          <w:sz w:val="22"/>
          <w:szCs w:val="22"/>
        </w:rPr>
        <w:t>Greece</w:t>
      </w:r>
      <w:r w:rsidRPr="00365C00">
        <w:rPr>
          <w:rFonts w:asciiTheme="minorHAnsi" w:hAnsiTheme="minorHAnsi"/>
          <w:sz w:val="22"/>
          <w:szCs w:val="22"/>
        </w:rPr>
        <w:t xml:space="preserve">: </w:t>
      </w:r>
      <w:proofErr w:type="spellStart"/>
      <w:r w:rsidRPr="00365C00">
        <w:rPr>
          <w:rFonts w:asciiTheme="minorHAnsi" w:hAnsiTheme="minorHAnsi"/>
          <w:sz w:val="22"/>
          <w:szCs w:val="22"/>
        </w:rPr>
        <w:t>Kentriki</w:t>
      </w:r>
      <w:proofErr w:type="spellEnd"/>
      <w:r w:rsidRPr="00365C00">
        <w:rPr>
          <w:rFonts w:asciiTheme="minorHAnsi" w:hAnsiTheme="minorHAnsi"/>
          <w:sz w:val="22"/>
          <w:szCs w:val="22"/>
        </w:rPr>
        <w:t xml:space="preserve"> Makedonia, </w:t>
      </w:r>
      <w:proofErr w:type="spellStart"/>
      <w:r w:rsidRPr="00365C00">
        <w:rPr>
          <w:rFonts w:asciiTheme="minorHAnsi" w:hAnsiTheme="minorHAnsi"/>
          <w:sz w:val="22"/>
          <w:szCs w:val="22"/>
        </w:rPr>
        <w:t>Anatoliki</w:t>
      </w:r>
      <w:proofErr w:type="spellEnd"/>
      <w:r w:rsidRPr="00365C00">
        <w:rPr>
          <w:rFonts w:asciiTheme="minorHAnsi" w:hAnsiTheme="minorHAnsi"/>
          <w:sz w:val="22"/>
          <w:szCs w:val="22"/>
        </w:rPr>
        <w:t xml:space="preserve"> Makedonia </w:t>
      </w:r>
      <w:proofErr w:type="spellStart"/>
      <w:r w:rsidRPr="00365C00">
        <w:rPr>
          <w:rFonts w:asciiTheme="minorHAnsi" w:hAnsiTheme="minorHAnsi"/>
          <w:sz w:val="22"/>
          <w:szCs w:val="22"/>
        </w:rPr>
        <w:t>Thraki</w:t>
      </w:r>
      <w:proofErr w:type="spellEnd"/>
    </w:p>
    <w:p w14:paraId="33A2F322" w14:textId="77777777" w:rsidR="00365C00" w:rsidRPr="002C17EC" w:rsidRDefault="00365C00" w:rsidP="00365C00">
      <w:pPr>
        <w:pStyle w:val="Normaleprogram"/>
        <w:numPr>
          <w:ilvl w:val="0"/>
          <w:numId w:val="20"/>
        </w:numPr>
        <w:spacing w:after="60" w:line="264" w:lineRule="auto"/>
        <w:ind w:left="357" w:right="-57" w:hanging="357"/>
        <w:jc w:val="both"/>
        <w:rPr>
          <w:rFonts w:asciiTheme="minorHAnsi" w:hAnsiTheme="minorHAnsi"/>
          <w:sz w:val="22"/>
          <w:szCs w:val="22"/>
        </w:rPr>
      </w:pPr>
      <w:r w:rsidRPr="00D83D2D">
        <w:rPr>
          <w:rFonts w:asciiTheme="minorHAnsi" w:hAnsiTheme="minorHAnsi"/>
          <w:b/>
          <w:sz w:val="22"/>
          <w:szCs w:val="22"/>
        </w:rPr>
        <w:lastRenderedPageBreak/>
        <w:t>Turkey</w:t>
      </w:r>
      <w:r w:rsidRPr="00365C00">
        <w:rPr>
          <w:rFonts w:asciiTheme="minorHAnsi" w:hAnsiTheme="minorHAnsi"/>
          <w:sz w:val="22"/>
          <w:szCs w:val="22"/>
        </w:rPr>
        <w:t xml:space="preserve">: </w:t>
      </w:r>
      <w:r w:rsidRPr="002C17EC">
        <w:rPr>
          <w:rFonts w:asciiTheme="minorHAnsi" w:hAnsiTheme="minorHAnsi"/>
          <w:sz w:val="22"/>
          <w:szCs w:val="22"/>
        </w:rPr>
        <w:t>TR10 (</w:t>
      </w:r>
      <w:r w:rsidRPr="002C17EC">
        <w:rPr>
          <w:sz w:val="22"/>
          <w:szCs w:val="22"/>
        </w:rPr>
        <w:t>İstanbul</w:t>
      </w:r>
      <w:r w:rsidRPr="002C17EC">
        <w:rPr>
          <w:rFonts w:asciiTheme="minorHAnsi" w:hAnsiTheme="minorHAnsi"/>
          <w:sz w:val="22"/>
          <w:szCs w:val="22"/>
        </w:rPr>
        <w:t>), TR21 (</w:t>
      </w:r>
      <w:proofErr w:type="spellStart"/>
      <w:r w:rsidRPr="002C17EC">
        <w:rPr>
          <w:rFonts w:asciiTheme="minorHAnsi" w:hAnsiTheme="minorHAnsi"/>
          <w:sz w:val="22"/>
          <w:szCs w:val="22"/>
        </w:rPr>
        <w:t>Tekirda</w:t>
      </w:r>
      <w:r w:rsidRPr="002C17EC">
        <w:rPr>
          <w:sz w:val="22"/>
          <w:szCs w:val="22"/>
        </w:rPr>
        <w:t>ğ</w:t>
      </w:r>
      <w:proofErr w:type="spellEnd"/>
      <w:r w:rsidRPr="002C17EC">
        <w:rPr>
          <w:rFonts w:asciiTheme="minorHAnsi" w:hAnsiTheme="minorHAnsi"/>
          <w:sz w:val="22"/>
          <w:szCs w:val="22"/>
        </w:rPr>
        <w:t xml:space="preserve">, Edirne, </w:t>
      </w:r>
      <w:proofErr w:type="spellStart"/>
      <w:r w:rsidRPr="002C17EC">
        <w:rPr>
          <w:rFonts w:asciiTheme="minorHAnsi" w:hAnsiTheme="minorHAnsi"/>
          <w:sz w:val="22"/>
          <w:szCs w:val="22"/>
        </w:rPr>
        <w:t>Kırklareli</w:t>
      </w:r>
      <w:proofErr w:type="spellEnd"/>
      <w:r w:rsidRPr="002C17EC">
        <w:rPr>
          <w:rFonts w:asciiTheme="minorHAnsi" w:hAnsiTheme="minorHAnsi"/>
          <w:sz w:val="22"/>
          <w:szCs w:val="22"/>
        </w:rPr>
        <w:t>), TR42 (</w:t>
      </w:r>
      <w:proofErr w:type="spellStart"/>
      <w:r w:rsidRPr="002C17EC">
        <w:rPr>
          <w:rFonts w:asciiTheme="minorHAnsi" w:hAnsiTheme="minorHAnsi"/>
          <w:sz w:val="22"/>
          <w:szCs w:val="22"/>
        </w:rPr>
        <w:t>Kocaeli</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Sakarya</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Düzce</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Bolu</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Yalova</w:t>
      </w:r>
      <w:proofErr w:type="spellEnd"/>
      <w:r w:rsidRPr="002C17EC">
        <w:rPr>
          <w:rFonts w:asciiTheme="minorHAnsi" w:hAnsiTheme="minorHAnsi"/>
          <w:sz w:val="22"/>
          <w:szCs w:val="22"/>
        </w:rPr>
        <w:t>), TR81 (</w:t>
      </w:r>
      <w:proofErr w:type="spellStart"/>
      <w:r w:rsidRPr="002C17EC">
        <w:rPr>
          <w:rFonts w:asciiTheme="minorHAnsi" w:hAnsiTheme="minorHAnsi"/>
          <w:sz w:val="22"/>
          <w:szCs w:val="22"/>
        </w:rPr>
        <w:t>Zonguldak</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Karabük</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Bartın</w:t>
      </w:r>
      <w:proofErr w:type="spellEnd"/>
      <w:r w:rsidRPr="002C17EC">
        <w:rPr>
          <w:rFonts w:asciiTheme="minorHAnsi" w:hAnsiTheme="minorHAnsi"/>
          <w:sz w:val="22"/>
          <w:szCs w:val="22"/>
        </w:rPr>
        <w:t>), TR82 (</w:t>
      </w:r>
      <w:proofErr w:type="spellStart"/>
      <w:r w:rsidRPr="002C17EC">
        <w:rPr>
          <w:rFonts w:asciiTheme="minorHAnsi" w:hAnsiTheme="minorHAnsi"/>
          <w:sz w:val="22"/>
          <w:szCs w:val="22"/>
        </w:rPr>
        <w:t>Kastamonu</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Çankırı</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Sinop</w:t>
      </w:r>
      <w:proofErr w:type="spellEnd"/>
      <w:r w:rsidRPr="002C17EC">
        <w:rPr>
          <w:rFonts w:asciiTheme="minorHAnsi" w:hAnsiTheme="minorHAnsi"/>
          <w:sz w:val="22"/>
          <w:szCs w:val="22"/>
        </w:rPr>
        <w:t xml:space="preserve">), TR83 (Samsun, </w:t>
      </w:r>
      <w:proofErr w:type="spellStart"/>
      <w:r w:rsidRPr="002C17EC">
        <w:rPr>
          <w:rFonts w:asciiTheme="minorHAnsi" w:hAnsiTheme="minorHAnsi"/>
          <w:sz w:val="22"/>
          <w:szCs w:val="22"/>
        </w:rPr>
        <w:t>Tokat</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Çorum</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Amasya</w:t>
      </w:r>
      <w:proofErr w:type="spellEnd"/>
      <w:r w:rsidRPr="002C17EC">
        <w:rPr>
          <w:rFonts w:asciiTheme="minorHAnsi" w:hAnsiTheme="minorHAnsi"/>
          <w:sz w:val="22"/>
          <w:szCs w:val="22"/>
        </w:rPr>
        <w:t xml:space="preserve">) and TR90 (Trabzon, </w:t>
      </w:r>
      <w:proofErr w:type="spellStart"/>
      <w:r w:rsidRPr="002C17EC">
        <w:rPr>
          <w:rFonts w:asciiTheme="minorHAnsi" w:hAnsiTheme="minorHAnsi"/>
          <w:sz w:val="22"/>
          <w:szCs w:val="22"/>
        </w:rPr>
        <w:t>Ordu</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Giresun</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Rize</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Artvin</w:t>
      </w:r>
      <w:proofErr w:type="spellEnd"/>
      <w:r w:rsidRPr="002C17EC">
        <w:rPr>
          <w:rFonts w:asciiTheme="minorHAnsi" w:hAnsiTheme="minorHAnsi"/>
          <w:sz w:val="22"/>
          <w:szCs w:val="22"/>
        </w:rPr>
        <w:t xml:space="preserve">, </w:t>
      </w:r>
      <w:proofErr w:type="spellStart"/>
      <w:r w:rsidRPr="002C17EC">
        <w:rPr>
          <w:rFonts w:asciiTheme="minorHAnsi" w:hAnsiTheme="minorHAnsi"/>
          <w:sz w:val="22"/>
          <w:szCs w:val="22"/>
        </w:rPr>
        <w:t>Gümü</w:t>
      </w:r>
      <w:r w:rsidRPr="002C17EC">
        <w:rPr>
          <w:sz w:val="22"/>
          <w:szCs w:val="22"/>
        </w:rPr>
        <w:t>şhane</w:t>
      </w:r>
      <w:proofErr w:type="spellEnd"/>
      <w:r w:rsidRPr="002C17EC">
        <w:rPr>
          <w:rFonts w:asciiTheme="minorHAnsi" w:hAnsiTheme="minorHAnsi"/>
          <w:sz w:val="22"/>
          <w:szCs w:val="22"/>
        </w:rPr>
        <w:t>)</w:t>
      </w:r>
    </w:p>
    <w:p w14:paraId="40E55293" w14:textId="77777777" w:rsidR="00365C00" w:rsidRPr="002C17EC" w:rsidRDefault="00365C00" w:rsidP="00365C00">
      <w:pPr>
        <w:pStyle w:val="Normaleprogram"/>
        <w:numPr>
          <w:ilvl w:val="0"/>
          <w:numId w:val="20"/>
        </w:numPr>
        <w:spacing w:after="60" w:line="264" w:lineRule="auto"/>
        <w:ind w:left="357" w:right="-57" w:hanging="357"/>
        <w:jc w:val="both"/>
        <w:rPr>
          <w:rFonts w:asciiTheme="minorHAnsi" w:hAnsiTheme="minorHAnsi"/>
          <w:sz w:val="22"/>
          <w:szCs w:val="22"/>
        </w:rPr>
      </w:pPr>
      <w:r w:rsidRPr="00855AAF">
        <w:rPr>
          <w:rFonts w:asciiTheme="minorHAnsi" w:hAnsiTheme="minorHAnsi"/>
          <w:b/>
          <w:sz w:val="22"/>
          <w:szCs w:val="22"/>
        </w:rPr>
        <w:t>Ukraine</w:t>
      </w:r>
      <w:r w:rsidRPr="00365C00">
        <w:rPr>
          <w:rStyle w:val="FootnoteReference"/>
          <w:rFonts w:asciiTheme="minorHAnsi" w:hAnsiTheme="minorHAnsi"/>
          <w:sz w:val="22"/>
          <w:szCs w:val="22"/>
        </w:rPr>
        <w:footnoteReference w:id="10"/>
      </w:r>
      <w:r w:rsidRPr="002C17EC">
        <w:rPr>
          <w:rFonts w:asciiTheme="minorHAnsi" w:hAnsiTheme="minorHAnsi"/>
          <w:sz w:val="22"/>
          <w:szCs w:val="22"/>
        </w:rPr>
        <w:t xml:space="preserve">: Odesa, Mykolaiv, Kherson, </w:t>
      </w:r>
      <w:proofErr w:type="spellStart"/>
      <w:r w:rsidRPr="002C17EC">
        <w:rPr>
          <w:rFonts w:asciiTheme="minorHAnsi" w:hAnsiTheme="minorHAnsi"/>
          <w:sz w:val="22"/>
          <w:szCs w:val="22"/>
        </w:rPr>
        <w:t>Zaporosh’ye</w:t>
      </w:r>
      <w:proofErr w:type="spellEnd"/>
      <w:r w:rsidRPr="002C17EC">
        <w:rPr>
          <w:rFonts w:asciiTheme="minorHAnsi" w:hAnsiTheme="minorHAnsi"/>
          <w:sz w:val="22"/>
          <w:szCs w:val="22"/>
        </w:rPr>
        <w:t xml:space="preserve"> and Donetsk Oblasts, Crimea Republic, Sevastopol</w:t>
      </w:r>
    </w:p>
    <w:p w14:paraId="6FD9CA2E" w14:textId="77777777" w:rsidR="00EF79C6" w:rsidRDefault="00365C00" w:rsidP="00EF79C6">
      <w:pPr>
        <w:pStyle w:val="Normaleprogram"/>
        <w:numPr>
          <w:ilvl w:val="0"/>
          <w:numId w:val="20"/>
        </w:numPr>
        <w:spacing w:after="60" w:line="264" w:lineRule="auto"/>
        <w:ind w:left="357" w:right="-57" w:hanging="357"/>
        <w:jc w:val="both"/>
        <w:rPr>
          <w:rFonts w:asciiTheme="minorHAnsi" w:hAnsiTheme="minorHAnsi"/>
          <w:sz w:val="22"/>
          <w:szCs w:val="22"/>
        </w:rPr>
      </w:pPr>
      <w:r w:rsidRPr="00855AAF">
        <w:rPr>
          <w:rFonts w:asciiTheme="minorHAnsi" w:hAnsiTheme="minorHAnsi"/>
          <w:b/>
          <w:sz w:val="22"/>
          <w:szCs w:val="22"/>
        </w:rPr>
        <w:t>Moldova, Georgia, Armenia</w:t>
      </w:r>
      <w:r w:rsidRPr="00365C00">
        <w:rPr>
          <w:rFonts w:asciiTheme="minorHAnsi" w:hAnsiTheme="minorHAnsi"/>
          <w:sz w:val="22"/>
          <w:szCs w:val="22"/>
        </w:rPr>
        <w:t>: the whole country</w:t>
      </w:r>
    </w:p>
    <w:p w14:paraId="54BEEEB5" w14:textId="112E2E44" w:rsidR="0055637D" w:rsidRPr="00EF79C6" w:rsidRDefault="00EF7BA5" w:rsidP="00EF79C6">
      <w:pPr>
        <w:pStyle w:val="Heading3"/>
        <w:spacing w:before="360" w:after="120" w:line="252" w:lineRule="auto"/>
        <w:rPr>
          <w:b/>
          <w:sz w:val="28"/>
          <w:szCs w:val="28"/>
          <w:lang w:val="en-GB"/>
        </w:rPr>
      </w:pPr>
      <w:bookmarkStart w:id="11" w:name="_Toc423436267"/>
      <w:r w:rsidRPr="00EF79C6">
        <w:rPr>
          <w:b/>
          <w:sz w:val="28"/>
          <w:szCs w:val="28"/>
          <w:lang w:val="en-GB"/>
        </w:rPr>
        <w:t>1.</w:t>
      </w:r>
      <w:r w:rsidR="003C01ED" w:rsidRPr="00EF79C6">
        <w:rPr>
          <w:b/>
          <w:sz w:val="28"/>
          <w:szCs w:val="28"/>
          <w:lang w:val="en-GB"/>
        </w:rPr>
        <w:t>2</w:t>
      </w:r>
      <w:r w:rsidRPr="00EF79C6">
        <w:rPr>
          <w:b/>
          <w:sz w:val="28"/>
          <w:szCs w:val="28"/>
          <w:lang w:val="en-GB"/>
        </w:rPr>
        <w:t xml:space="preserve"> </w:t>
      </w:r>
      <w:r w:rsidR="002D1AFC" w:rsidRPr="00EF79C6">
        <w:rPr>
          <w:b/>
          <w:sz w:val="28"/>
          <w:szCs w:val="28"/>
          <w:lang w:val="en-GB"/>
        </w:rPr>
        <w:t xml:space="preserve">Map of the </w:t>
      </w:r>
      <w:r w:rsidR="00C42603" w:rsidRPr="00EF79C6">
        <w:rPr>
          <w:b/>
          <w:sz w:val="28"/>
          <w:szCs w:val="28"/>
          <w:lang w:val="en-GB"/>
        </w:rPr>
        <w:t>P</w:t>
      </w:r>
      <w:r w:rsidR="002D1AFC" w:rsidRPr="00EF79C6">
        <w:rPr>
          <w:b/>
          <w:sz w:val="28"/>
          <w:szCs w:val="28"/>
          <w:lang w:val="en-GB"/>
        </w:rPr>
        <w:t>rogramme area</w:t>
      </w:r>
      <w:bookmarkEnd w:id="9"/>
      <w:bookmarkEnd w:id="10"/>
      <w:bookmarkEnd w:id="11"/>
    </w:p>
    <w:p w14:paraId="423D151D" w14:textId="09C831BF" w:rsidR="00520CB1" w:rsidRPr="00855AAF" w:rsidRDefault="006263DF" w:rsidP="00E1281E">
      <w:pPr>
        <w:pStyle w:val="Caption"/>
        <w:spacing w:after="0" w:line="252" w:lineRule="auto"/>
        <w:jc w:val="left"/>
        <w:rPr>
          <w:rFonts w:eastAsia="Times New Roman" w:cs="Times New Roman"/>
          <w:bCs w:val="0"/>
          <w:i w:val="0"/>
          <w:color w:val="auto"/>
          <w:sz w:val="22"/>
          <w:szCs w:val="22"/>
          <w:lang w:val="en-GB" w:eastAsia="en-US"/>
        </w:rPr>
      </w:pPr>
      <w:r>
        <w:rPr>
          <w:rFonts w:eastAsia="Times New Roman" w:cs="Times New Roman"/>
          <w:bCs w:val="0"/>
          <w:i w:val="0"/>
          <w:color w:val="auto"/>
          <w:sz w:val="22"/>
          <w:szCs w:val="22"/>
          <w:lang w:val="en-GB" w:eastAsia="en-US"/>
        </w:rPr>
        <w:t>The map below presents</w:t>
      </w:r>
      <w:r w:rsidR="00DB58A1">
        <w:rPr>
          <w:rFonts w:eastAsia="Times New Roman" w:cs="Times New Roman"/>
          <w:bCs w:val="0"/>
          <w:i w:val="0"/>
          <w:color w:val="auto"/>
          <w:sz w:val="22"/>
          <w:szCs w:val="22"/>
          <w:lang w:val="en-GB" w:eastAsia="en-US"/>
        </w:rPr>
        <w:t xml:space="preserve"> the e</w:t>
      </w:r>
      <w:r w:rsidR="00E02001" w:rsidRPr="00E02001">
        <w:rPr>
          <w:rFonts w:eastAsia="Times New Roman" w:cs="Times New Roman"/>
          <w:bCs w:val="0"/>
          <w:i w:val="0"/>
          <w:color w:val="auto"/>
          <w:sz w:val="22"/>
          <w:szCs w:val="22"/>
          <w:lang w:val="en-GB" w:eastAsia="en-US"/>
        </w:rPr>
        <w:t>l</w:t>
      </w:r>
      <w:r w:rsidR="00EF4B7F" w:rsidRPr="00855AAF">
        <w:rPr>
          <w:rFonts w:eastAsia="Times New Roman" w:cs="Times New Roman"/>
          <w:bCs w:val="0"/>
          <w:i w:val="0"/>
          <w:color w:val="auto"/>
          <w:sz w:val="22"/>
          <w:szCs w:val="22"/>
          <w:lang w:val="en-GB" w:eastAsia="en-US"/>
        </w:rPr>
        <w:t>igible area</w:t>
      </w:r>
      <w:r w:rsidR="00DB58A1">
        <w:rPr>
          <w:rFonts w:eastAsia="Times New Roman" w:cs="Times New Roman"/>
          <w:bCs w:val="0"/>
          <w:i w:val="0"/>
          <w:color w:val="auto"/>
          <w:sz w:val="22"/>
          <w:szCs w:val="22"/>
          <w:lang w:val="en-GB" w:eastAsia="en-US"/>
        </w:rPr>
        <w:t>s</w:t>
      </w:r>
      <w:r w:rsidR="00F9459C" w:rsidRPr="00855AAF">
        <w:rPr>
          <w:rFonts w:eastAsia="Times New Roman" w:cs="Times New Roman"/>
          <w:bCs w:val="0"/>
          <w:i w:val="0"/>
          <w:color w:val="auto"/>
          <w:sz w:val="22"/>
          <w:szCs w:val="22"/>
          <w:lang w:val="en-GB" w:eastAsia="en-US"/>
        </w:rPr>
        <w:t xml:space="preserve"> of the countries that have confirmed their participation </w:t>
      </w:r>
      <w:r w:rsidR="00EF4B7F" w:rsidRPr="00855AAF">
        <w:rPr>
          <w:rFonts w:eastAsia="Times New Roman" w:cs="Times New Roman"/>
          <w:bCs w:val="0"/>
          <w:i w:val="0"/>
          <w:color w:val="auto"/>
          <w:sz w:val="22"/>
          <w:szCs w:val="22"/>
          <w:lang w:val="en-GB" w:eastAsia="en-US"/>
        </w:rPr>
        <w:t>in the Black Sea Basin ENI CBC programme</w:t>
      </w:r>
      <w:r w:rsidR="00DB58A1">
        <w:rPr>
          <w:rFonts w:eastAsia="Times New Roman" w:cs="Times New Roman"/>
          <w:bCs w:val="0"/>
          <w:i w:val="0"/>
          <w:color w:val="auto"/>
          <w:sz w:val="22"/>
          <w:szCs w:val="22"/>
          <w:lang w:val="en-GB" w:eastAsia="en-US"/>
        </w:rPr>
        <w:t xml:space="preserve"> by</w:t>
      </w:r>
      <w:r w:rsidR="00EF79C6">
        <w:rPr>
          <w:rFonts w:eastAsia="Times New Roman" w:cs="Times New Roman"/>
          <w:bCs w:val="0"/>
          <w:i w:val="0"/>
          <w:color w:val="auto"/>
          <w:sz w:val="22"/>
          <w:szCs w:val="22"/>
          <w:lang w:val="en-GB" w:eastAsia="en-US"/>
        </w:rPr>
        <w:t xml:space="preserve"> the time of submission of the P</w:t>
      </w:r>
      <w:r w:rsidR="00DB58A1">
        <w:rPr>
          <w:rFonts w:eastAsia="Times New Roman" w:cs="Times New Roman"/>
          <w:bCs w:val="0"/>
          <w:i w:val="0"/>
          <w:color w:val="auto"/>
          <w:sz w:val="22"/>
          <w:szCs w:val="22"/>
          <w:lang w:val="en-GB" w:eastAsia="en-US"/>
        </w:rPr>
        <w:t>rogramme to the EC</w:t>
      </w:r>
      <w:r w:rsidR="00501BB9">
        <w:rPr>
          <w:rFonts w:eastAsia="Times New Roman" w:cs="Times New Roman"/>
          <w:bCs w:val="0"/>
          <w:i w:val="0"/>
          <w:color w:val="auto"/>
          <w:sz w:val="22"/>
          <w:szCs w:val="22"/>
          <w:lang w:val="en-GB" w:eastAsia="en-US"/>
        </w:rPr>
        <w:t>.</w:t>
      </w:r>
    </w:p>
    <w:p w14:paraId="6C1CBBDF" w14:textId="517E8F4B" w:rsidR="004B0C7F" w:rsidRDefault="004B0C7F" w:rsidP="00E1281E">
      <w:pPr>
        <w:pStyle w:val="Caption"/>
        <w:spacing w:after="0" w:line="252" w:lineRule="auto"/>
        <w:jc w:val="left"/>
        <w:rPr>
          <w:sz w:val="22"/>
          <w:szCs w:val="22"/>
          <w:lang w:val="en-GB"/>
        </w:rPr>
      </w:pPr>
      <w:r w:rsidRPr="00855AAF">
        <w:rPr>
          <w:rFonts w:ascii="Helvetica" w:hAnsi="Helvetica" w:cs="Helvetica"/>
          <w:noProof/>
          <w:lang w:val="en-GB" w:eastAsia="en-GB"/>
        </w:rPr>
        <w:drawing>
          <wp:inline distT="0" distB="0" distL="0" distR="0" wp14:anchorId="784301EF" wp14:editId="74053064">
            <wp:extent cx="6538595" cy="5236599"/>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8595" cy="5236599"/>
                    </a:xfrm>
                    <a:prstGeom prst="rect">
                      <a:avLst/>
                    </a:prstGeom>
                    <a:noFill/>
                    <a:ln>
                      <a:noFill/>
                    </a:ln>
                  </pic:spPr>
                </pic:pic>
              </a:graphicData>
            </a:graphic>
          </wp:inline>
        </w:drawing>
      </w:r>
    </w:p>
    <w:p w14:paraId="3BD87849" w14:textId="3C5FCF7A" w:rsidR="00E1281E" w:rsidRPr="004B58D3" w:rsidRDefault="00E1281E" w:rsidP="00E1281E">
      <w:pPr>
        <w:pStyle w:val="Caption"/>
        <w:spacing w:after="0" w:line="252" w:lineRule="auto"/>
        <w:jc w:val="left"/>
        <w:rPr>
          <w:sz w:val="22"/>
          <w:szCs w:val="22"/>
          <w:lang w:val="en-GB"/>
        </w:rPr>
      </w:pPr>
      <w:r w:rsidRPr="001625ED">
        <w:rPr>
          <w:sz w:val="22"/>
          <w:szCs w:val="22"/>
          <w:lang w:val="en-GB"/>
        </w:rPr>
        <w:t>Map of the pr</w:t>
      </w:r>
      <w:r w:rsidR="00B76639" w:rsidRPr="001625ED">
        <w:rPr>
          <w:sz w:val="22"/>
          <w:szCs w:val="22"/>
          <w:lang w:val="en-GB"/>
        </w:rPr>
        <w:t>ogramme</w:t>
      </w:r>
      <w:r w:rsidRPr="001625ED">
        <w:rPr>
          <w:sz w:val="22"/>
          <w:szCs w:val="22"/>
          <w:lang w:val="en-GB"/>
        </w:rPr>
        <w:t>: EU regions</w:t>
      </w:r>
      <w:r w:rsidR="003C3C1D" w:rsidRPr="001625ED">
        <w:rPr>
          <w:sz w:val="22"/>
          <w:szCs w:val="22"/>
          <w:lang w:val="en-GB"/>
        </w:rPr>
        <w:t xml:space="preserve"> cooperation area</w:t>
      </w:r>
      <w:r w:rsidR="005B7B9B" w:rsidRPr="001625ED">
        <w:rPr>
          <w:sz w:val="22"/>
          <w:szCs w:val="22"/>
          <w:lang w:val="en-GB"/>
        </w:rPr>
        <w:t>s</w:t>
      </w:r>
      <w:r w:rsidRPr="001625ED">
        <w:rPr>
          <w:sz w:val="22"/>
          <w:szCs w:val="22"/>
          <w:lang w:val="en-GB"/>
        </w:rPr>
        <w:t xml:space="preserve"> in dark blue, other cooperation area</w:t>
      </w:r>
      <w:r w:rsidR="00EB15ED" w:rsidRPr="001625ED">
        <w:rPr>
          <w:sz w:val="22"/>
          <w:szCs w:val="22"/>
          <w:lang w:val="en-GB"/>
        </w:rPr>
        <w:t>s</w:t>
      </w:r>
      <w:r w:rsidRPr="001625ED">
        <w:rPr>
          <w:sz w:val="22"/>
          <w:szCs w:val="22"/>
          <w:lang w:val="en-GB"/>
        </w:rPr>
        <w:t xml:space="preserve"> in</w:t>
      </w:r>
      <w:r w:rsidR="00EB15ED" w:rsidRPr="001625ED">
        <w:rPr>
          <w:sz w:val="22"/>
          <w:szCs w:val="22"/>
          <w:lang w:val="en-GB"/>
        </w:rPr>
        <w:t xml:space="preserve"> pale blue</w:t>
      </w:r>
      <w:r w:rsidR="006F4961" w:rsidRPr="001625ED">
        <w:rPr>
          <w:rStyle w:val="EndnoteReference"/>
          <w:sz w:val="22"/>
          <w:szCs w:val="22"/>
          <w:lang w:val="en-GB"/>
        </w:rPr>
        <w:endnoteReference w:id="1"/>
      </w:r>
      <w:r>
        <w:rPr>
          <w:sz w:val="22"/>
          <w:szCs w:val="22"/>
          <w:lang w:val="en-GB"/>
        </w:rPr>
        <w:t xml:space="preserve"> </w:t>
      </w:r>
    </w:p>
    <w:p w14:paraId="7A8B5CE3" w14:textId="77777777" w:rsidR="00E2125D" w:rsidRPr="00E1281E" w:rsidRDefault="00E1281E" w:rsidP="00306593">
      <w:pPr>
        <w:pStyle w:val="Heading2"/>
        <w:tabs>
          <w:tab w:val="left" w:pos="1134"/>
        </w:tabs>
        <w:spacing w:after="0" w:line="252" w:lineRule="auto"/>
        <w:jc w:val="left"/>
        <w:rPr>
          <w:rFonts w:ascii="Times New Roman" w:hAnsi="Times New Roman" w:cs="Times New Roman"/>
          <w:sz w:val="10"/>
          <w:szCs w:val="10"/>
          <w:lang w:val="en-GB"/>
        </w:rPr>
      </w:pPr>
      <w:r>
        <w:rPr>
          <w:rFonts w:ascii="Times New Roman" w:hAnsi="Times New Roman" w:cs="Times New Roman"/>
          <w:sz w:val="22"/>
          <w:szCs w:val="22"/>
          <w:lang w:val="en-GB"/>
        </w:rPr>
        <w:br w:type="column"/>
      </w:r>
    </w:p>
    <w:p w14:paraId="4F775E89" w14:textId="77777777" w:rsidR="00752914" w:rsidRDefault="002D1AFC" w:rsidP="003951DF">
      <w:pPr>
        <w:pStyle w:val="Heading1"/>
        <w:numPr>
          <w:ilvl w:val="0"/>
          <w:numId w:val="82"/>
        </w:numPr>
        <w:spacing w:before="120" w:line="252" w:lineRule="auto"/>
        <w:jc w:val="left"/>
      </w:pPr>
      <w:bookmarkStart w:id="12" w:name="_Toc423436268"/>
      <w:r>
        <w:rPr>
          <w:sz w:val="40"/>
          <w:szCs w:val="40"/>
          <w:lang w:val="en-GB"/>
        </w:rPr>
        <w:t>Programme o</w:t>
      </w:r>
      <w:r w:rsidR="00272E36" w:rsidRPr="00272E36">
        <w:rPr>
          <w:sz w:val="40"/>
          <w:szCs w:val="40"/>
          <w:lang w:val="en-GB"/>
        </w:rPr>
        <w:t>verall</w:t>
      </w:r>
      <w:r w:rsidR="002A5FA0" w:rsidRPr="00272E36">
        <w:rPr>
          <w:sz w:val="40"/>
          <w:szCs w:val="40"/>
          <w:lang w:val="en-GB"/>
        </w:rPr>
        <w:t xml:space="preserve"> </w:t>
      </w:r>
      <w:r w:rsidR="00752914" w:rsidRPr="00272E36">
        <w:rPr>
          <w:sz w:val="40"/>
          <w:szCs w:val="40"/>
          <w:lang w:val="en-GB"/>
        </w:rPr>
        <w:t>strategic framework</w:t>
      </w:r>
      <w:bookmarkEnd w:id="12"/>
      <w:r w:rsidR="00272E36" w:rsidRPr="00272E36">
        <w:rPr>
          <w:sz w:val="40"/>
          <w:szCs w:val="40"/>
          <w:lang w:val="en-GB"/>
        </w:rPr>
        <w:t xml:space="preserve"> </w:t>
      </w:r>
    </w:p>
    <w:p w14:paraId="3172812A" w14:textId="77777777" w:rsidR="002B5493" w:rsidRPr="002B5493" w:rsidRDefault="002B5493" w:rsidP="00EE604A">
      <w:pPr>
        <w:pStyle w:val="Heading3"/>
        <w:spacing w:before="200" w:after="240" w:line="264" w:lineRule="auto"/>
        <w:rPr>
          <w:sz w:val="12"/>
          <w:szCs w:val="12"/>
          <w:lang w:val="en-GB"/>
        </w:rPr>
      </w:pPr>
    </w:p>
    <w:p w14:paraId="10D20878" w14:textId="5DB197A3" w:rsidR="00E65C40" w:rsidRPr="00F40719" w:rsidRDefault="003951DF" w:rsidP="003951DF">
      <w:pPr>
        <w:pStyle w:val="Heading3"/>
        <w:spacing w:before="200" w:after="240" w:line="264" w:lineRule="auto"/>
        <w:rPr>
          <w:b/>
          <w:sz w:val="28"/>
          <w:szCs w:val="28"/>
          <w:lang w:val="en-GB"/>
        </w:rPr>
      </w:pPr>
      <w:bookmarkStart w:id="13" w:name="_Toc423436269"/>
      <w:r w:rsidRPr="003951DF">
        <w:rPr>
          <w:b/>
          <w:bCs w:val="0"/>
          <w:sz w:val="28"/>
          <w:szCs w:val="28"/>
          <w:lang w:val="en-GB"/>
        </w:rPr>
        <w:t>2.</w:t>
      </w:r>
      <w:r>
        <w:rPr>
          <w:b/>
          <w:bCs w:val="0"/>
          <w:sz w:val="28"/>
          <w:szCs w:val="28"/>
          <w:lang w:val="en-GB"/>
        </w:rPr>
        <w:t>1</w:t>
      </w:r>
      <w:r>
        <w:rPr>
          <w:b/>
          <w:sz w:val="28"/>
          <w:szCs w:val="28"/>
          <w:lang w:val="en-GB"/>
        </w:rPr>
        <w:t xml:space="preserve"> </w:t>
      </w:r>
      <w:r w:rsidR="004A2E6E" w:rsidRPr="00F40719">
        <w:rPr>
          <w:b/>
          <w:sz w:val="28"/>
          <w:szCs w:val="28"/>
          <w:lang w:val="en-GB"/>
        </w:rPr>
        <w:t>EU</w:t>
      </w:r>
      <w:r w:rsidR="00E65C40" w:rsidRPr="00F40719">
        <w:rPr>
          <w:b/>
          <w:sz w:val="28"/>
          <w:szCs w:val="28"/>
          <w:lang w:val="en-GB"/>
        </w:rPr>
        <w:t xml:space="preserve"> strategy</w:t>
      </w:r>
      <w:r w:rsidR="004A2E6E" w:rsidRPr="00F40719">
        <w:rPr>
          <w:b/>
          <w:sz w:val="28"/>
          <w:szCs w:val="28"/>
          <w:lang w:val="en-GB"/>
        </w:rPr>
        <w:t xml:space="preserve"> for ENI CBC</w:t>
      </w:r>
      <w:bookmarkEnd w:id="13"/>
    </w:p>
    <w:p w14:paraId="649B9FC2" w14:textId="7947D32B" w:rsidR="00D561E3" w:rsidRPr="004408A1" w:rsidRDefault="000D6E4B" w:rsidP="00966685">
      <w:pPr>
        <w:autoSpaceDE w:val="0"/>
        <w:autoSpaceDN w:val="0"/>
        <w:adjustRightInd w:val="0"/>
        <w:spacing w:after="120" w:line="264" w:lineRule="auto"/>
        <w:jc w:val="both"/>
        <w:rPr>
          <w:sz w:val="22"/>
          <w:szCs w:val="22"/>
          <w:lang w:val="en-GB"/>
        </w:rPr>
      </w:pPr>
      <w:r w:rsidRPr="004408A1">
        <w:rPr>
          <w:sz w:val="22"/>
          <w:szCs w:val="22"/>
          <w:lang w:val="en-GB"/>
        </w:rPr>
        <w:t xml:space="preserve">Cross-border cooperation </w:t>
      </w:r>
      <w:r w:rsidR="00FF6B07">
        <w:rPr>
          <w:sz w:val="22"/>
          <w:szCs w:val="22"/>
          <w:lang w:val="en-GB"/>
        </w:rPr>
        <w:t xml:space="preserve">(CBC) </w:t>
      </w:r>
      <w:r w:rsidRPr="004408A1">
        <w:rPr>
          <w:sz w:val="22"/>
          <w:szCs w:val="22"/>
          <w:lang w:val="en-GB"/>
        </w:rPr>
        <w:t xml:space="preserve">on the external borders of the EU is a key priority in the European Neighbourhood Policy. </w:t>
      </w:r>
      <w:r w:rsidR="0057093E" w:rsidRPr="004408A1">
        <w:rPr>
          <w:sz w:val="22"/>
          <w:szCs w:val="22"/>
          <w:lang w:val="en-GB"/>
        </w:rPr>
        <w:t>CBC under the European Neighbourhood Instrument (ENI) will build on CBC under its predecessor, the E</w:t>
      </w:r>
      <w:r w:rsidR="00B61DEB" w:rsidRPr="004408A1">
        <w:rPr>
          <w:sz w:val="22"/>
          <w:szCs w:val="22"/>
          <w:lang w:val="en-GB"/>
        </w:rPr>
        <w:t xml:space="preserve">uropean </w:t>
      </w:r>
      <w:r w:rsidR="0057093E" w:rsidRPr="004408A1">
        <w:rPr>
          <w:sz w:val="22"/>
          <w:szCs w:val="22"/>
          <w:lang w:val="en-GB"/>
        </w:rPr>
        <w:t>N</w:t>
      </w:r>
      <w:r w:rsidR="00B61DEB" w:rsidRPr="004408A1">
        <w:rPr>
          <w:sz w:val="22"/>
          <w:szCs w:val="22"/>
          <w:lang w:val="en-GB"/>
        </w:rPr>
        <w:t>eighbourhood and Partnership Instrument (EN</w:t>
      </w:r>
      <w:r w:rsidR="0057093E" w:rsidRPr="004408A1">
        <w:rPr>
          <w:sz w:val="22"/>
          <w:szCs w:val="22"/>
          <w:lang w:val="en-GB"/>
        </w:rPr>
        <w:t>PI</w:t>
      </w:r>
      <w:r w:rsidR="00B61DEB" w:rsidRPr="004408A1">
        <w:rPr>
          <w:sz w:val="22"/>
          <w:szCs w:val="22"/>
          <w:lang w:val="en-GB"/>
        </w:rPr>
        <w:t>)</w:t>
      </w:r>
      <w:r w:rsidR="0057093E" w:rsidRPr="004408A1">
        <w:rPr>
          <w:sz w:val="22"/>
          <w:szCs w:val="22"/>
          <w:lang w:val="en-GB"/>
        </w:rPr>
        <w:t>.</w:t>
      </w:r>
      <w:r w:rsidR="00F30726" w:rsidRPr="004408A1">
        <w:rPr>
          <w:sz w:val="22"/>
          <w:szCs w:val="22"/>
          <w:lang w:val="en-GB"/>
        </w:rPr>
        <w:t xml:space="preserve"> </w:t>
      </w:r>
    </w:p>
    <w:p w14:paraId="414CD036" w14:textId="77777777" w:rsidR="00062B20" w:rsidRPr="004408A1" w:rsidRDefault="00F728C6" w:rsidP="00966685">
      <w:pPr>
        <w:autoSpaceDE w:val="0"/>
        <w:autoSpaceDN w:val="0"/>
        <w:adjustRightInd w:val="0"/>
        <w:spacing w:after="120" w:line="264" w:lineRule="auto"/>
        <w:jc w:val="both"/>
        <w:rPr>
          <w:sz w:val="22"/>
          <w:szCs w:val="22"/>
          <w:lang w:val="en-GB"/>
        </w:rPr>
      </w:pPr>
      <w:r>
        <w:rPr>
          <w:sz w:val="22"/>
          <w:szCs w:val="22"/>
          <w:lang w:val="en-GB"/>
        </w:rPr>
        <w:t xml:space="preserve">ENI CBC </w:t>
      </w:r>
      <w:r w:rsidR="00F30726" w:rsidRPr="004408A1">
        <w:rPr>
          <w:sz w:val="22"/>
          <w:szCs w:val="22"/>
          <w:lang w:val="en-GB"/>
        </w:rPr>
        <w:t>receives funding from the European Regional Development Fund as well as the Europ</w:t>
      </w:r>
      <w:r w:rsidR="00D561E3" w:rsidRPr="004408A1">
        <w:rPr>
          <w:sz w:val="22"/>
          <w:szCs w:val="22"/>
          <w:lang w:val="en-GB"/>
        </w:rPr>
        <w:t>ean Neighbourhood Instrument</w:t>
      </w:r>
      <w:r w:rsidR="004F5A62">
        <w:rPr>
          <w:sz w:val="22"/>
          <w:szCs w:val="22"/>
          <w:lang w:val="en-GB"/>
        </w:rPr>
        <w:t xml:space="preserve"> and the Instrument for Pre-Accession</w:t>
      </w:r>
      <w:r w:rsidR="0088103C">
        <w:rPr>
          <w:rStyle w:val="FootnoteReference"/>
          <w:sz w:val="22"/>
          <w:szCs w:val="22"/>
          <w:lang w:val="en-GB"/>
        </w:rPr>
        <w:footnoteReference w:id="11"/>
      </w:r>
      <w:r w:rsidR="00D561E3" w:rsidRPr="004408A1">
        <w:rPr>
          <w:sz w:val="22"/>
          <w:szCs w:val="22"/>
          <w:lang w:val="en-GB"/>
        </w:rPr>
        <w:t>.</w:t>
      </w:r>
      <w:r w:rsidR="009A4209" w:rsidRPr="004408A1">
        <w:rPr>
          <w:lang w:val="en-GB"/>
        </w:rPr>
        <w:t xml:space="preserve"> </w:t>
      </w:r>
      <w:r w:rsidR="008921D0">
        <w:rPr>
          <w:sz w:val="22"/>
          <w:szCs w:val="22"/>
          <w:lang w:val="en-GB"/>
        </w:rPr>
        <w:t>All</w:t>
      </w:r>
      <w:r w:rsidR="009A4209" w:rsidRPr="004408A1">
        <w:rPr>
          <w:sz w:val="22"/>
          <w:szCs w:val="22"/>
          <w:lang w:val="en-GB"/>
        </w:rPr>
        <w:t xml:space="preserve"> sources of funding may be used on either side of the EU external border, for actions of common benefit.</w:t>
      </w:r>
      <w:r w:rsidR="00D561E3" w:rsidRPr="004408A1">
        <w:rPr>
          <w:sz w:val="22"/>
          <w:szCs w:val="22"/>
          <w:lang w:val="en-GB"/>
        </w:rPr>
        <w:t xml:space="preserve"> </w:t>
      </w:r>
      <w:r w:rsidR="0012518A" w:rsidRPr="004408A1">
        <w:rPr>
          <w:sz w:val="22"/>
          <w:szCs w:val="22"/>
          <w:lang w:val="en-GB"/>
        </w:rPr>
        <w:t>The ENI Regulation</w:t>
      </w:r>
      <w:r w:rsidR="004408A1">
        <w:rPr>
          <w:rStyle w:val="FootnoteReference"/>
          <w:sz w:val="22"/>
          <w:szCs w:val="22"/>
          <w:lang w:val="en-GB"/>
        </w:rPr>
        <w:footnoteReference w:id="12"/>
      </w:r>
      <w:r w:rsidR="0012518A" w:rsidRPr="004408A1">
        <w:rPr>
          <w:sz w:val="22"/>
          <w:szCs w:val="22"/>
          <w:lang w:val="en-GB"/>
        </w:rPr>
        <w:t xml:space="preserve"> sets out the basis for CBC</w:t>
      </w:r>
      <w:r w:rsidR="008F3EF7" w:rsidRPr="004408A1">
        <w:rPr>
          <w:sz w:val="22"/>
          <w:szCs w:val="22"/>
          <w:lang w:val="en-GB"/>
        </w:rPr>
        <w:t>, further d</w:t>
      </w:r>
      <w:r w:rsidR="00F9487E">
        <w:rPr>
          <w:sz w:val="22"/>
          <w:szCs w:val="22"/>
          <w:lang w:val="en-GB"/>
        </w:rPr>
        <w:t>efined in ENI CBC Implementing Regulation</w:t>
      </w:r>
      <w:r w:rsidR="004408A1">
        <w:rPr>
          <w:rStyle w:val="FootnoteReference"/>
          <w:sz w:val="22"/>
          <w:szCs w:val="22"/>
          <w:lang w:val="en-GB"/>
        </w:rPr>
        <w:footnoteReference w:id="13"/>
      </w:r>
      <w:r w:rsidR="008F3EF7" w:rsidRPr="004408A1">
        <w:rPr>
          <w:sz w:val="22"/>
          <w:szCs w:val="22"/>
          <w:lang w:val="en-GB"/>
        </w:rPr>
        <w:t xml:space="preserve"> and ENI CBC programming document</w:t>
      </w:r>
      <w:r w:rsidR="00422207">
        <w:rPr>
          <w:rStyle w:val="FootnoteReference"/>
          <w:sz w:val="22"/>
          <w:szCs w:val="22"/>
          <w:lang w:val="en-GB"/>
        </w:rPr>
        <w:footnoteReference w:id="14"/>
      </w:r>
      <w:r w:rsidR="008F3EF7" w:rsidRPr="004408A1">
        <w:rPr>
          <w:sz w:val="22"/>
          <w:szCs w:val="22"/>
          <w:lang w:val="en-GB"/>
        </w:rPr>
        <w:t>.</w:t>
      </w:r>
    </w:p>
    <w:p w14:paraId="3ADC6F53" w14:textId="77777777" w:rsidR="00062B20" w:rsidRPr="004408A1" w:rsidRDefault="00752914" w:rsidP="00EE604A">
      <w:pPr>
        <w:autoSpaceDE w:val="0"/>
        <w:autoSpaceDN w:val="0"/>
        <w:adjustRightInd w:val="0"/>
        <w:spacing w:after="180" w:line="264" w:lineRule="auto"/>
        <w:jc w:val="both"/>
        <w:rPr>
          <w:sz w:val="22"/>
          <w:szCs w:val="22"/>
          <w:lang w:val="en-GB"/>
        </w:rPr>
      </w:pPr>
      <w:r w:rsidRPr="004408A1">
        <w:rPr>
          <w:b/>
          <w:lang w:val="en-GB"/>
        </w:rPr>
        <w:t>Overall objective</w:t>
      </w:r>
      <w:r w:rsidR="00A670CC" w:rsidRPr="004408A1">
        <w:rPr>
          <w:b/>
          <w:lang w:val="en-GB"/>
        </w:rPr>
        <w:t xml:space="preserve"> and s</w:t>
      </w:r>
      <w:r w:rsidRPr="004408A1">
        <w:rPr>
          <w:b/>
          <w:lang w:val="en-GB"/>
        </w:rPr>
        <w:t>trategic objectives</w:t>
      </w:r>
    </w:p>
    <w:p w14:paraId="35A79679" w14:textId="7B0FF5DB" w:rsidR="0050606D" w:rsidRDefault="00BB098F" w:rsidP="00966685">
      <w:pPr>
        <w:autoSpaceDE w:val="0"/>
        <w:autoSpaceDN w:val="0"/>
        <w:adjustRightInd w:val="0"/>
        <w:spacing w:before="120" w:after="60" w:line="264" w:lineRule="auto"/>
        <w:jc w:val="both"/>
        <w:rPr>
          <w:sz w:val="22"/>
          <w:szCs w:val="22"/>
          <w:lang w:val="en-GB"/>
        </w:rPr>
      </w:pPr>
      <w:r>
        <w:rPr>
          <w:sz w:val="22"/>
          <w:szCs w:val="22"/>
          <w:lang w:val="en-GB"/>
        </w:rPr>
        <w:t>ENI CBC aims to</w:t>
      </w:r>
      <w:r w:rsidR="00A670CC" w:rsidRPr="004408A1">
        <w:rPr>
          <w:sz w:val="22"/>
          <w:szCs w:val="22"/>
          <w:lang w:val="en-GB"/>
        </w:rPr>
        <w:t xml:space="preserve"> </w:t>
      </w:r>
      <w:r w:rsidR="00C56E1F">
        <w:rPr>
          <w:sz w:val="22"/>
          <w:szCs w:val="22"/>
          <w:lang w:val="en-GB"/>
        </w:rPr>
        <w:t>“</w:t>
      </w:r>
      <w:r w:rsidRPr="004369F3">
        <w:rPr>
          <w:i/>
          <w:sz w:val="22"/>
          <w:szCs w:val="22"/>
          <w:lang w:val="en-GB"/>
        </w:rPr>
        <w:t>promote co-operation across the borders between EU Member States and the countries on the European Neighbourhood and Russian Federation</w:t>
      </w:r>
      <w:r w:rsidR="00C56E1F">
        <w:rPr>
          <w:sz w:val="22"/>
          <w:szCs w:val="22"/>
          <w:lang w:val="en-GB"/>
        </w:rPr>
        <w:t>”</w:t>
      </w:r>
      <w:r w:rsidRPr="004369F3">
        <w:rPr>
          <w:sz w:val="22"/>
          <w:szCs w:val="22"/>
          <w:lang w:val="en-GB"/>
        </w:rPr>
        <w:t xml:space="preserve"> and it </w:t>
      </w:r>
      <w:r w:rsidR="00A670CC" w:rsidRPr="004408A1">
        <w:rPr>
          <w:sz w:val="22"/>
          <w:szCs w:val="22"/>
          <w:lang w:val="en-GB"/>
        </w:rPr>
        <w:t xml:space="preserve">should contribute to the overall ENI objective of progress towards </w:t>
      </w:r>
      <w:r w:rsidR="00C56E1F">
        <w:rPr>
          <w:i/>
          <w:sz w:val="22"/>
          <w:szCs w:val="22"/>
          <w:lang w:val="en-GB"/>
        </w:rPr>
        <w:t>“</w:t>
      </w:r>
      <w:r w:rsidR="00A670CC" w:rsidRPr="004408A1">
        <w:rPr>
          <w:i/>
          <w:sz w:val="22"/>
          <w:szCs w:val="22"/>
          <w:lang w:val="en-GB"/>
        </w:rPr>
        <w:t>an area of shared prosperity and good neighbourliness</w:t>
      </w:r>
      <w:r w:rsidR="002E49C8">
        <w:rPr>
          <w:sz w:val="22"/>
          <w:szCs w:val="22"/>
          <w:lang w:val="en-GB"/>
        </w:rPr>
        <w:t>”</w:t>
      </w:r>
      <w:r w:rsidR="00A670CC" w:rsidRPr="004408A1">
        <w:rPr>
          <w:sz w:val="22"/>
          <w:szCs w:val="22"/>
          <w:lang w:val="en-GB"/>
        </w:rPr>
        <w:t xml:space="preserve"> between EU Member States and their neighbours. </w:t>
      </w:r>
      <w:r w:rsidR="00AB143A">
        <w:rPr>
          <w:sz w:val="22"/>
          <w:szCs w:val="22"/>
          <w:lang w:val="en-GB"/>
        </w:rPr>
        <w:t>Due to its geographical location, Turkey also participate</w:t>
      </w:r>
      <w:r w:rsidR="002525E1">
        <w:rPr>
          <w:sz w:val="22"/>
          <w:szCs w:val="22"/>
          <w:lang w:val="en-GB"/>
        </w:rPr>
        <w:t>s</w:t>
      </w:r>
      <w:r w:rsidR="00AB143A">
        <w:rPr>
          <w:sz w:val="22"/>
          <w:szCs w:val="22"/>
          <w:lang w:val="en-GB"/>
        </w:rPr>
        <w:t xml:space="preserve"> in the Black Sea Basin ENI CBC</w:t>
      </w:r>
      <w:r w:rsidR="003C44A5">
        <w:rPr>
          <w:sz w:val="22"/>
          <w:szCs w:val="22"/>
          <w:lang w:val="en-GB"/>
        </w:rPr>
        <w:t xml:space="preserve"> as a</w:t>
      </w:r>
      <w:r w:rsidR="007568D5">
        <w:rPr>
          <w:sz w:val="22"/>
          <w:szCs w:val="22"/>
          <w:lang w:val="en-GB"/>
        </w:rPr>
        <w:t xml:space="preserve"> negotiating</w:t>
      </w:r>
      <w:r w:rsidR="000D35E9">
        <w:rPr>
          <w:sz w:val="22"/>
          <w:szCs w:val="22"/>
          <w:lang w:val="en-GB"/>
        </w:rPr>
        <w:t xml:space="preserve"> </w:t>
      </w:r>
      <w:r w:rsidR="00A67919">
        <w:rPr>
          <w:sz w:val="22"/>
          <w:szCs w:val="22"/>
          <w:lang w:val="en-GB"/>
        </w:rPr>
        <w:t>candidate country.</w:t>
      </w:r>
    </w:p>
    <w:p w14:paraId="79447932" w14:textId="77777777" w:rsidR="00A670CC" w:rsidRPr="004408A1" w:rsidRDefault="00A670CC" w:rsidP="00966685">
      <w:pPr>
        <w:autoSpaceDE w:val="0"/>
        <w:autoSpaceDN w:val="0"/>
        <w:adjustRightInd w:val="0"/>
        <w:spacing w:before="120" w:after="60" w:line="264" w:lineRule="auto"/>
        <w:jc w:val="both"/>
        <w:rPr>
          <w:sz w:val="22"/>
          <w:szCs w:val="22"/>
          <w:lang w:val="en-GB"/>
        </w:rPr>
      </w:pPr>
      <w:r w:rsidRPr="004408A1">
        <w:rPr>
          <w:sz w:val="22"/>
          <w:szCs w:val="22"/>
          <w:lang w:val="en-GB"/>
        </w:rPr>
        <w:t xml:space="preserve">CBC under the ENI has </w:t>
      </w:r>
      <w:r w:rsidRPr="004408A1">
        <w:rPr>
          <w:b/>
          <w:sz w:val="22"/>
          <w:szCs w:val="22"/>
          <w:lang w:val="en-GB"/>
        </w:rPr>
        <w:t>3 overarching strategic objectives</w:t>
      </w:r>
      <w:r w:rsidRPr="004408A1">
        <w:rPr>
          <w:sz w:val="22"/>
          <w:szCs w:val="22"/>
          <w:lang w:val="en-GB"/>
        </w:rPr>
        <w:t>:</w:t>
      </w:r>
    </w:p>
    <w:p w14:paraId="52EA59D1" w14:textId="77777777" w:rsidR="00A670CC" w:rsidRPr="00976C2F" w:rsidRDefault="00A670CC" w:rsidP="00EE745F">
      <w:pPr>
        <w:pStyle w:val="ListParagraph"/>
        <w:numPr>
          <w:ilvl w:val="0"/>
          <w:numId w:val="13"/>
        </w:numPr>
        <w:autoSpaceDE w:val="0"/>
        <w:autoSpaceDN w:val="0"/>
        <w:adjustRightInd w:val="0"/>
        <w:spacing w:after="60" w:line="264" w:lineRule="auto"/>
        <w:rPr>
          <w:sz w:val="22"/>
          <w:szCs w:val="22"/>
          <w:lang w:val="en-GB"/>
        </w:rPr>
      </w:pPr>
      <w:r w:rsidRPr="00976C2F">
        <w:rPr>
          <w:sz w:val="22"/>
          <w:szCs w:val="22"/>
          <w:lang w:val="en-GB"/>
        </w:rPr>
        <w:t>Promote economic and social development in regions on both sides of common borders;</w:t>
      </w:r>
    </w:p>
    <w:p w14:paraId="03847B13" w14:textId="77777777" w:rsidR="00A670CC" w:rsidRPr="00976C2F" w:rsidRDefault="00A670CC" w:rsidP="00EE745F">
      <w:pPr>
        <w:pStyle w:val="ListParagraph"/>
        <w:numPr>
          <w:ilvl w:val="0"/>
          <w:numId w:val="13"/>
        </w:numPr>
        <w:autoSpaceDE w:val="0"/>
        <w:autoSpaceDN w:val="0"/>
        <w:adjustRightInd w:val="0"/>
        <w:spacing w:after="60" w:line="264" w:lineRule="auto"/>
        <w:rPr>
          <w:sz w:val="22"/>
          <w:szCs w:val="22"/>
          <w:lang w:val="en-GB"/>
        </w:rPr>
      </w:pPr>
      <w:r w:rsidRPr="00976C2F">
        <w:rPr>
          <w:sz w:val="22"/>
          <w:szCs w:val="22"/>
          <w:lang w:val="en-GB"/>
        </w:rPr>
        <w:t>Address common challenges in environment, public health, safety and security;</w:t>
      </w:r>
      <w:r w:rsidR="001D0679" w:rsidRPr="00976C2F">
        <w:rPr>
          <w:sz w:val="22"/>
          <w:szCs w:val="22"/>
          <w:lang w:val="en-GB"/>
        </w:rPr>
        <w:t xml:space="preserve"> </w:t>
      </w:r>
    </w:p>
    <w:p w14:paraId="0C723AB5" w14:textId="77777777" w:rsidR="00A670CC" w:rsidRPr="00976C2F" w:rsidRDefault="00A670CC" w:rsidP="00EE745F">
      <w:pPr>
        <w:pStyle w:val="ListParagraph"/>
        <w:numPr>
          <w:ilvl w:val="0"/>
          <w:numId w:val="13"/>
        </w:numPr>
        <w:autoSpaceDE w:val="0"/>
        <w:autoSpaceDN w:val="0"/>
        <w:adjustRightInd w:val="0"/>
        <w:spacing w:after="60" w:line="264" w:lineRule="auto"/>
        <w:rPr>
          <w:sz w:val="22"/>
          <w:szCs w:val="22"/>
          <w:lang w:val="en-GB"/>
        </w:rPr>
      </w:pPr>
      <w:r w:rsidRPr="00976C2F">
        <w:rPr>
          <w:sz w:val="22"/>
          <w:szCs w:val="22"/>
          <w:lang w:val="en-GB"/>
        </w:rPr>
        <w:t>Promotion of better conditions and modalities for ensuring the mobility of persons, goods and capital.</w:t>
      </w:r>
    </w:p>
    <w:p w14:paraId="1542EB14" w14:textId="77777777" w:rsidR="00A670CC" w:rsidRPr="004408A1" w:rsidRDefault="00A670CC" w:rsidP="00966685">
      <w:pPr>
        <w:autoSpaceDE w:val="0"/>
        <w:autoSpaceDN w:val="0"/>
        <w:adjustRightInd w:val="0"/>
        <w:spacing w:before="120" w:after="180" w:line="264" w:lineRule="auto"/>
        <w:jc w:val="both"/>
        <w:rPr>
          <w:sz w:val="22"/>
          <w:szCs w:val="22"/>
          <w:lang w:val="en-GB"/>
        </w:rPr>
      </w:pPr>
      <w:r w:rsidRPr="004408A1">
        <w:rPr>
          <w:sz w:val="22"/>
          <w:szCs w:val="22"/>
          <w:lang w:val="en-GB"/>
        </w:rPr>
        <w:t xml:space="preserve">Each ENI CBC programme must contribute to </w:t>
      </w:r>
      <w:r w:rsidRPr="004408A1">
        <w:rPr>
          <w:i/>
          <w:sz w:val="22"/>
          <w:szCs w:val="22"/>
          <w:lang w:val="en-GB"/>
        </w:rPr>
        <w:t>at least one</w:t>
      </w:r>
      <w:r w:rsidRPr="004408A1">
        <w:rPr>
          <w:sz w:val="22"/>
          <w:szCs w:val="22"/>
          <w:lang w:val="en-GB"/>
        </w:rPr>
        <w:t xml:space="preserve"> of the strategic objectives.</w:t>
      </w:r>
    </w:p>
    <w:p w14:paraId="43411005" w14:textId="77777777" w:rsidR="00752914" w:rsidRPr="004408A1" w:rsidRDefault="00A54C0E" w:rsidP="00EE604A">
      <w:pPr>
        <w:spacing w:after="180" w:line="264" w:lineRule="auto"/>
        <w:rPr>
          <w:b/>
          <w:lang w:val="en-GB"/>
        </w:rPr>
      </w:pPr>
      <w:r w:rsidRPr="004408A1">
        <w:rPr>
          <w:b/>
          <w:lang w:val="en-GB"/>
        </w:rPr>
        <w:t>T</w:t>
      </w:r>
      <w:r w:rsidR="00752914" w:rsidRPr="004408A1">
        <w:rPr>
          <w:b/>
          <w:lang w:val="en-GB"/>
        </w:rPr>
        <w:t>hematic objectives</w:t>
      </w:r>
      <w:r w:rsidR="00922494" w:rsidRPr="004408A1">
        <w:rPr>
          <w:b/>
          <w:lang w:val="en-GB"/>
        </w:rPr>
        <w:t xml:space="preserve"> </w:t>
      </w:r>
    </w:p>
    <w:p w14:paraId="32105AAC" w14:textId="77777777" w:rsidR="00A670CC" w:rsidRPr="004408A1" w:rsidRDefault="00CC331F" w:rsidP="00EE604A">
      <w:pPr>
        <w:spacing w:after="60" w:line="264" w:lineRule="auto"/>
        <w:jc w:val="both"/>
        <w:rPr>
          <w:sz w:val="22"/>
          <w:szCs w:val="22"/>
          <w:lang w:val="en-GB"/>
        </w:rPr>
      </w:pPr>
      <w:r w:rsidRPr="004408A1">
        <w:rPr>
          <w:sz w:val="22"/>
          <w:szCs w:val="22"/>
          <w:lang w:val="en-GB"/>
        </w:rPr>
        <w:t xml:space="preserve">Taking the strategic objectives above into consideration, </w:t>
      </w:r>
      <w:r w:rsidR="00711912" w:rsidRPr="004408A1">
        <w:rPr>
          <w:sz w:val="22"/>
          <w:szCs w:val="22"/>
          <w:lang w:val="en-GB"/>
        </w:rPr>
        <w:t xml:space="preserve">and based on the specific circumstances and requirements of the programme cooperation area, </w:t>
      </w:r>
      <w:r w:rsidRPr="004408A1">
        <w:rPr>
          <w:sz w:val="22"/>
          <w:szCs w:val="22"/>
          <w:lang w:val="en-GB"/>
        </w:rPr>
        <w:t xml:space="preserve">each programme </w:t>
      </w:r>
      <w:r w:rsidR="004D434B" w:rsidRPr="004408A1">
        <w:rPr>
          <w:sz w:val="22"/>
          <w:szCs w:val="22"/>
          <w:lang w:val="en-GB"/>
        </w:rPr>
        <w:t xml:space="preserve">shall </w:t>
      </w:r>
      <w:r w:rsidRPr="004408A1">
        <w:rPr>
          <w:sz w:val="22"/>
          <w:szCs w:val="22"/>
          <w:lang w:val="en-GB"/>
        </w:rPr>
        <w:t xml:space="preserve">focus on </w:t>
      </w:r>
      <w:r w:rsidRPr="004408A1">
        <w:rPr>
          <w:i/>
          <w:sz w:val="22"/>
          <w:szCs w:val="22"/>
          <w:lang w:val="en-GB"/>
        </w:rPr>
        <w:t>a maximum of 4</w:t>
      </w:r>
      <w:r w:rsidRPr="004408A1">
        <w:rPr>
          <w:sz w:val="22"/>
          <w:szCs w:val="22"/>
          <w:lang w:val="en-GB"/>
        </w:rPr>
        <w:t xml:space="preserve"> thematic objectives chosen within a list defined in ENI CBC </w:t>
      </w:r>
      <w:r w:rsidR="00856BFA" w:rsidRPr="004408A1">
        <w:rPr>
          <w:sz w:val="22"/>
          <w:szCs w:val="22"/>
          <w:lang w:val="en-GB"/>
        </w:rPr>
        <w:t>programming document, that is</w:t>
      </w:r>
      <w:r w:rsidR="004D434B" w:rsidRPr="004408A1">
        <w:rPr>
          <w:sz w:val="22"/>
          <w:szCs w:val="22"/>
          <w:lang w:val="en-GB"/>
        </w:rPr>
        <w:t>:</w:t>
      </w:r>
    </w:p>
    <w:p w14:paraId="38733D92"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Business and SME development (Strategic objective: A)</w:t>
      </w:r>
    </w:p>
    <w:p w14:paraId="380DCFA6" w14:textId="77777777" w:rsid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Support to education, research, technological development and innovation (Strategic objective: A)</w:t>
      </w:r>
    </w:p>
    <w:p w14:paraId="04E3E355"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Promotion of local culture and preservation of historical heritage (Strategic objective: A)</w:t>
      </w:r>
    </w:p>
    <w:p w14:paraId="3594E70E"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Pr</w:t>
      </w:r>
      <w:r>
        <w:rPr>
          <w:rFonts w:eastAsia="Calibri"/>
          <w:sz w:val="22"/>
          <w:szCs w:val="22"/>
          <w:lang w:val="en-GB"/>
        </w:rPr>
        <w:t>omotion of social inclusion and</w:t>
      </w:r>
      <w:r w:rsidRPr="00856BFA">
        <w:rPr>
          <w:rFonts w:eastAsia="Calibri"/>
          <w:sz w:val="22"/>
          <w:szCs w:val="22"/>
          <w:lang w:val="en-GB"/>
        </w:rPr>
        <w:t xml:space="preserve"> f</w:t>
      </w:r>
      <w:r>
        <w:rPr>
          <w:rFonts w:eastAsia="Calibri"/>
          <w:sz w:val="22"/>
          <w:szCs w:val="22"/>
          <w:lang w:val="en-GB"/>
        </w:rPr>
        <w:t xml:space="preserve">ight against poverty </w:t>
      </w:r>
      <w:r w:rsidRPr="00856BFA">
        <w:rPr>
          <w:rFonts w:eastAsia="Calibri"/>
          <w:sz w:val="22"/>
          <w:szCs w:val="22"/>
          <w:lang w:val="en-GB"/>
        </w:rPr>
        <w:t>(Strategic objectives: A, B, C)</w:t>
      </w:r>
    </w:p>
    <w:p w14:paraId="2C70E040"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lastRenderedPageBreak/>
        <w:t>Support to l</w:t>
      </w:r>
      <w:r>
        <w:rPr>
          <w:rFonts w:eastAsia="Calibri"/>
          <w:sz w:val="22"/>
          <w:szCs w:val="22"/>
          <w:lang w:val="en-GB"/>
        </w:rPr>
        <w:t xml:space="preserve">ocal </w:t>
      </w:r>
      <w:r w:rsidR="00746A9A">
        <w:rPr>
          <w:rFonts w:eastAsia="Calibri"/>
          <w:sz w:val="22"/>
          <w:szCs w:val="22"/>
          <w:lang w:val="en-GB"/>
        </w:rPr>
        <w:t>and</w:t>
      </w:r>
      <w:r>
        <w:rPr>
          <w:rFonts w:eastAsia="Calibri"/>
          <w:sz w:val="22"/>
          <w:szCs w:val="22"/>
          <w:lang w:val="en-GB"/>
        </w:rPr>
        <w:t xml:space="preserve"> regional good governance </w:t>
      </w:r>
      <w:r w:rsidRPr="00856BFA">
        <w:rPr>
          <w:rFonts w:eastAsia="Calibri"/>
          <w:sz w:val="22"/>
          <w:szCs w:val="22"/>
          <w:lang w:val="en-GB"/>
        </w:rPr>
        <w:t>(Strategic objectives: A, B, C)</w:t>
      </w:r>
    </w:p>
    <w:p w14:paraId="0157BAC4" w14:textId="77777777" w:rsidR="00856BFA" w:rsidRPr="00856BFA" w:rsidRDefault="00856BFA" w:rsidP="007426FD">
      <w:pPr>
        <w:numPr>
          <w:ilvl w:val="0"/>
          <w:numId w:val="8"/>
        </w:numPr>
        <w:spacing w:after="0" w:line="264" w:lineRule="auto"/>
        <w:ind w:left="714" w:hanging="357"/>
        <w:jc w:val="both"/>
        <w:rPr>
          <w:rFonts w:eastAsia="Calibri"/>
          <w:sz w:val="22"/>
          <w:szCs w:val="22"/>
          <w:lang w:val="fr-BE"/>
        </w:rPr>
      </w:pPr>
      <w:proofErr w:type="spellStart"/>
      <w:r w:rsidRPr="00856BFA">
        <w:rPr>
          <w:rFonts w:eastAsia="Calibri"/>
          <w:sz w:val="22"/>
          <w:szCs w:val="22"/>
          <w:lang w:val="fr-BE"/>
        </w:rPr>
        <w:t>Environmental</w:t>
      </w:r>
      <w:proofErr w:type="spellEnd"/>
      <w:r w:rsidRPr="00856BFA">
        <w:rPr>
          <w:rFonts w:eastAsia="Calibri"/>
          <w:sz w:val="22"/>
          <w:szCs w:val="22"/>
          <w:lang w:val="fr-BE"/>
        </w:rPr>
        <w:t xml:space="preserve"> protection, </w:t>
      </w:r>
      <w:r w:rsidR="00746A9A">
        <w:rPr>
          <w:rFonts w:eastAsia="Calibri"/>
          <w:sz w:val="22"/>
          <w:szCs w:val="22"/>
          <w:lang w:val="fr-BE"/>
        </w:rPr>
        <w:t xml:space="preserve">and </w:t>
      </w:r>
      <w:proofErr w:type="spellStart"/>
      <w:r w:rsidRPr="00856BFA">
        <w:rPr>
          <w:rFonts w:eastAsia="Calibri"/>
          <w:sz w:val="22"/>
          <w:szCs w:val="22"/>
          <w:lang w:val="fr-BE"/>
        </w:rPr>
        <w:t>climate</w:t>
      </w:r>
      <w:proofErr w:type="spellEnd"/>
      <w:r w:rsidRPr="00856BFA">
        <w:rPr>
          <w:rFonts w:eastAsia="Calibri"/>
          <w:sz w:val="22"/>
          <w:szCs w:val="22"/>
          <w:lang w:val="fr-BE"/>
        </w:rPr>
        <w:t xml:space="preserve"> change </w:t>
      </w:r>
      <w:r w:rsidR="00746A9A">
        <w:rPr>
          <w:rFonts w:eastAsia="Calibri"/>
          <w:sz w:val="22"/>
          <w:szCs w:val="22"/>
          <w:lang w:val="fr-BE"/>
        </w:rPr>
        <w:t xml:space="preserve">mitigation and </w:t>
      </w:r>
      <w:r w:rsidRPr="00856BFA">
        <w:rPr>
          <w:rFonts w:eastAsia="Calibri"/>
          <w:sz w:val="22"/>
          <w:szCs w:val="22"/>
          <w:lang w:val="fr-BE"/>
        </w:rPr>
        <w:t>adaptation (Strategic objective: B)</w:t>
      </w:r>
    </w:p>
    <w:p w14:paraId="1DA49792"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 xml:space="preserve">Improvement of accessibility to the regions, development of </w:t>
      </w:r>
      <w:r w:rsidR="00746A9A">
        <w:rPr>
          <w:rFonts w:eastAsia="Calibri"/>
          <w:sz w:val="22"/>
          <w:szCs w:val="22"/>
          <w:lang w:val="en-GB"/>
        </w:rPr>
        <w:t xml:space="preserve">sustainable and climate-proof </w:t>
      </w:r>
      <w:r w:rsidRPr="00856BFA">
        <w:rPr>
          <w:rFonts w:eastAsia="Calibri"/>
          <w:sz w:val="22"/>
          <w:szCs w:val="22"/>
          <w:lang w:val="en-GB"/>
        </w:rPr>
        <w:t>transport and communication networks and system</w:t>
      </w:r>
      <w:r w:rsidR="004A2E6E">
        <w:rPr>
          <w:rFonts w:eastAsia="Calibri"/>
          <w:sz w:val="22"/>
          <w:szCs w:val="22"/>
          <w:lang w:val="en-GB"/>
        </w:rPr>
        <w:t>s</w:t>
      </w:r>
      <w:r w:rsidR="004A2E6E" w:rsidRPr="00856BFA">
        <w:rPr>
          <w:rFonts w:eastAsia="Calibri"/>
          <w:sz w:val="22"/>
          <w:szCs w:val="22"/>
          <w:lang w:val="en-GB"/>
        </w:rPr>
        <w:t xml:space="preserve"> </w:t>
      </w:r>
      <w:r w:rsidRPr="00856BFA">
        <w:rPr>
          <w:rFonts w:eastAsia="Calibri"/>
          <w:sz w:val="22"/>
          <w:szCs w:val="22"/>
          <w:lang w:val="en-GB"/>
        </w:rPr>
        <w:t>(Strategic objective: C)</w:t>
      </w:r>
    </w:p>
    <w:p w14:paraId="4E576F84"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Common challenges in the field of safety and security (Strategic objective: B)</w:t>
      </w:r>
    </w:p>
    <w:p w14:paraId="0B5DF821" w14:textId="77777777" w:rsidR="00856BFA" w:rsidRPr="00856BFA" w:rsidRDefault="00856BFA" w:rsidP="007426FD">
      <w:pPr>
        <w:numPr>
          <w:ilvl w:val="0"/>
          <w:numId w:val="8"/>
        </w:numPr>
        <w:spacing w:after="0" w:line="264" w:lineRule="auto"/>
        <w:ind w:left="714" w:hanging="357"/>
        <w:jc w:val="both"/>
        <w:rPr>
          <w:rFonts w:eastAsia="Calibri"/>
          <w:sz w:val="22"/>
          <w:szCs w:val="22"/>
          <w:lang w:val="en-GB"/>
        </w:rPr>
      </w:pPr>
      <w:r w:rsidRPr="00856BFA">
        <w:rPr>
          <w:rFonts w:eastAsia="Calibri"/>
          <w:sz w:val="22"/>
          <w:szCs w:val="22"/>
          <w:lang w:val="en-GB"/>
        </w:rPr>
        <w:t xml:space="preserve">Promotion of </w:t>
      </w:r>
      <w:r w:rsidR="00746A9A">
        <w:rPr>
          <w:rFonts w:eastAsia="Calibri"/>
          <w:sz w:val="22"/>
          <w:szCs w:val="22"/>
          <w:lang w:val="en-GB"/>
        </w:rPr>
        <w:t xml:space="preserve">and cooperation on sustainable </w:t>
      </w:r>
      <w:r w:rsidRPr="00856BFA">
        <w:rPr>
          <w:rFonts w:eastAsia="Calibri"/>
          <w:sz w:val="22"/>
          <w:szCs w:val="22"/>
          <w:lang w:val="en-GB"/>
        </w:rPr>
        <w:t xml:space="preserve">energy </w:t>
      </w:r>
      <w:r w:rsidR="00746A9A">
        <w:rPr>
          <w:rFonts w:eastAsia="Calibri"/>
          <w:sz w:val="22"/>
          <w:szCs w:val="22"/>
          <w:lang w:val="en-GB"/>
        </w:rPr>
        <w:t>and energy security</w:t>
      </w:r>
      <w:r w:rsidRPr="00856BFA">
        <w:rPr>
          <w:rFonts w:eastAsia="Calibri"/>
          <w:sz w:val="22"/>
          <w:szCs w:val="22"/>
          <w:lang w:val="en-GB"/>
        </w:rPr>
        <w:t xml:space="preserve"> (Strategic objective: B)</w:t>
      </w:r>
    </w:p>
    <w:p w14:paraId="2F04CBA0" w14:textId="77777777" w:rsidR="00856BFA" w:rsidRDefault="00856BFA" w:rsidP="007426FD">
      <w:pPr>
        <w:pStyle w:val="ListParagraph"/>
        <w:numPr>
          <w:ilvl w:val="0"/>
          <w:numId w:val="8"/>
        </w:numPr>
        <w:spacing w:after="60" w:line="264" w:lineRule="auto"/>
        <w:ind w:left="714" w:hanging="357"/>
        <w:jc w:val="both"/>
        <w:rPr>
          <w:rFonts w:eastAsia="Calibri"/>
          <w:sz w:val="22"/>
          <w:szCs w:val="22"/>
          <w:lang w:val="en-GB"/>
        </w:rPr>
      </w:pPr>
      <w:r w:rsidRPr="00856BFA">
        <w:rPr>
          <w:rFonts w:eastAsia="Calibri"/>
          <w:sz w:val="22"/>
          <w:szCs w:val="22"/>
          <w:lang w:val="en-GB"/>
        </w:rPr>
        <w:t>Promotion of border management, border security</w:t>
      </w:r>
      <w:r w:rsidR="00746A9A">
        <w:rPr>
          <w:rFonts w:eastAsia="Calibri"/>
          <w:sz w:val="22"/>
          <w:szCs w:val="22"/>
          <w:lang w:val="en-GB"/>
        </w:rPr>
        <w:t xml:space="preserve"> and mobility</w:t>
      </w:r>
      <w:r w:rsidRPr="00856BFA">
        <w:rPr>
          <w:rFonts w:eastAsia="Calibri"/>
          <w:sz w:val="22"/>
          <w:szCs w:val="22"/>
          <w:lang w:val="en-GB"/>
        </w:rPr>
        <w:t xml:space="preserve"> (Strategic objective: C)</w:t>
      </w:r>
    </w:p>
    <w:p w14:paraId="66049775" w14:textId="77777777" w:rsidR="00746A9A" w:rsidRPr="00746A9A" w:rsidRDefault="00746A9A" w:rsidP="00746A9A">
      <w:pPr>
        <w:spacing w:after="60" w:line="264" w:lineRule="auto"/>
        <w:jc w:val="both"/>
        <w:rPr>
          <w:rFonts w:eastAsia="Calibri"/>
          <w:sz w:val="22"/>
          <w:szCs w:val="22"/>
          <w:lang w:val="en-GB"/>
        </w:rPr>
      </w:pPr>
    </w:p>
    <w:p w14:paraId="593357A4" w14:textId="77777777" w:rsidR="00C4167E" w:rsidRDefault="00C910D0" w:rsidP="00E81C33">
      <w:pPr>
        <w:spacing w:before="120" w:after="120" w:line="264" w:lineRule="auto"/>
        <w:jc w:val="both"/>
        <w:rPr>
          <w:sz w:val="22"/>
          <w:szCs w:val="22"/>
          <w:lang w:val="en-GB"/>
        </w:rPr>
      </w:pPr>
      <w:r w:rsidRPr="004408A1">
        <w:rPr>
          <w:sz w:val="22"/>
          <w:szCs w:val="22"/>
          <w:lang w:val="en-GB"/>
        </w:rPr>
        <w:t xml:space="preserve">A list of indicative activities is provided under each Thematic Objective in </w:t>
      </w:r>
      <w:r w:rsidR="004408A1">
        <w:rPr>
          <w:sz w:val="22"/>
          <w:szCs w:val="22"/>
          <w:lang w:val="en-GB"/>
        </w:rPr>
        <w:t xml:space="preserve">the </w:t>
      </w:r>
      <w:r w:rsidRPr="004408A1">
        <w:rPr>
          <w:sz w:val="22"/>
          <w:szCs w:val="22"/>
          <w:lang w:val="en-GB"/>
        </w:rPr>
        <w:t xml:space="preserve">ENI CBC programming document. </w:t>
      </w:r>
    </w:p>
    <w:p w14:paraId="21B61D40" w14:textId="77777777" w:rsidR="00C910D0" w:rsidRPr="004408A1" w:rsidRDefault="00C4167E" w:rsidP="00966685">
      <w:pPr>
        <w:spacing w:after="120" w:line="264" w:lineRule="auto"/>
        <w:jc w:val="both"/>
        <w:rPr>
          <w:sz w:val="22"/>
          <w:szCs w:val="22"/>
          <w:lang w:val="en-GB"/>
        </w:rPr>
      </w:pPr>
      <w:r>
        <w:rPr>
          <w:sz w:val="22"/>
          <w:szCs w:val="22"/>
          <w:lang w:val="en-GB"/>
        </w:rPr>
        <w:t>Within this framework, it is</w:t>
      </w:r>
      <w:r w:rsidRPr="00C4167E">
        <w:rPr>
          <w:sz w:val="22"/>
          <w:szCs w:val="22"/>
          <w:lang w:val="en-GB"/>
        </w:rPr>
        <w:t xml:space="preserve"> the task of the local programme partners, working together across the borders, </w:t>
      </w:r>
      <w:r w:rsidR="00C56E1F">
        <w:rPr>
          <w:sz w:val="22"/>
          <w:szCs w:val="22"/>
          <w:lang w:val="en-GB"/>
        </w:rPr>
        <w:t>“</w:t>
      </w:r>
      <w:r w:rsidRPr="00650F19">
        <w:rPr>
          <w:i/>
          <w:sz w:val="22"/>
          <w:szCs w:val="22"/>
          <w:lang w:val="en-GB"/>
        </w:rPr>
        <w:t>to analyse the needs in the programme area, to identify the specific thematic objectives and priorities</w:t>
      </w:r>
      <w:r w:rsidR="00C56E1F">
        <w:rPr>
          <w:i/>
          <w:sz w:val="22"/>
          <w:szCs w:val="22"/>
          <w:lang w:val="en-GB"/>
        </w:rPr>
        <w:t>”</w:t>
      </w:r>
      <w:r w:rsidRPr="00C4167E">
        <w:rPr>
          <w:sz w:val="22"/>
          <w:szCs w:val="22"/>
          <w:lang w:val="en-GB"/>
        </w:rPr>
        <w:t xml:space="preserve"> which are most relevant to their own local circumstances.</w:t>
      </w:r>
    </w:p>
    <w:p w14:paraId="628CDE97" w14:textId="77777777" w:rsidR="00890C79" w:rsidRPr="004408A1" w:rsidRDefault="00890C79" w:rsidP="00966685">
      <w:pPr>
        <w:spacing w:after="120" w:line="264" w:lineRule="auto"/>
        <w:jc w:val="both"/>
        <w:rPr>
          <w:sz w:val="22"/>
          <w:szCs w:val="22"/>
          <w:lang w:val="en-GB"/>
        </w:rPr>
      </w:pPr>
      <w:r w:rsidRPr="004408A1">
        <w:rPr>
          <w:sz w:val="22"/>
          <w:szCs w:val="22"/>
          <w:lang w:val="en-GB"/>
        </w:rPr>
        <w:t xml:space="preserve">The promotion of local cross-border </w:t>
      </w:r>
      <w:r w:rsidR="00C56E1F">
        <w:rPr>
          <w:i/>
          <w:sz w:val="22"/>
          <w:szCs w:val="22"/>
          <w:lang w:val="en-GB"/>
        </w:rPr>
        <w:t>“</w:t>
      </w:r>
      <w:r w:rsidRPr="004408A1">
        <w:rPr>
          <w:i/>
          <w:sz w:val="22"/>
          <w:szCs w:val="22"/>
          <w:lang w:val="en-GB"/>
        </w:rPr>
        <w:t xml:space="preserve">people-to-people actions </w:t>
      </w:r>
      <w:r w:rsidR="009548A8" w:rsidRPr="004408A1">
        <w:rPr>
          <w:i/>
          <w:sz w:val="22"/>
          <w:szCs w:val="22"/>
          <w:lang w:val="en-GB"/>
        </w:rPr>
        <w:t>is not considered as a thematic objective but as</w:t>
      </w:r>
      <w:r w:rsidRPr="004408A1">
        <w:rPr>
          <w:i/>
          <w:sz w:val="22"/>
          <w:szCs w:val="22"/>
          <w:lang w:val="en-GB"/>
        </w:rPr>
        <w:t xml:space="preserve"> an important modality to be deployed in support of any of these objectives</w:t>
      </w:r>
      <w:r w:rsidR="00C56E1F">
        <w:rPr>
          <w:i/>
          <w:sz w:val="22"/>
          <w:szCs w:val="22"/>
          <w:lang w:val="en-GB"/>
        </w:rPr>
        <w:t>”</w:t>
      </w:r>
      <w:r w:rsidRPr="004408A1">
        <w:rPr>
          <w:sz w:val="22"/>
          <w:szCs w:val="22"/>
          <w:lang w:val="en-GB"/>
        </w:rPr>
        <w:t>. This could include support for enhanced cooperation among local and regional authorities, NGOs and other civil society groups, universities and schools, chambers of commerce etc.</w:t>
      </w:r>
    </w:p>
    <w:p w14:paraId="5144257D" w14:textId="77777777" w:rsidR="00A670CC" w:rsidRPr="00A670CC" w:rsidRDefault="005A1255" w:rsidP="00966685">
      <w:pPr>
        <w:spacing w:before="180" w:after="120" w:line="264" w:lineRule="auto"/>
        <w:rPr>
          <w:b/>
        </w:rPr>
      </w:pPr>
      <w:r>
        <w:rPr>
          <w:b/>
        </w:rPr>
        <w:t>Key</w:t>
      </w:r>
      <w:r w:rsidR="00CE517B">
        <w:rPr>
          <w:b/>
        </w:rPr>
        <w:t xml:space="preserve"> </w:t>
      </w:r>
      <w:proofErr w:type="spellStart"/>
      <w:r w:rsidR="00CE517B">
        <w:rPr>
          <w:b/>
        </w:rPr>
        <w:t>p</w:t>
      </w:r>
      <w:r w:rsidR="001843E4">
        <w:rPr>
          <w:b/>
        </w:rPr>
        <w:t>rogramming</w:t>
      </w:r>
      <w:proofErr w:type="spellEnd"/>
      <w:r w:rsidR="001843E4">
        <w:rPr>
          <w:b/>
        </w:rPr>
        <w:t xml:space="preserve"> orientations</w:t>
      </w:r>
    </w:p>
    <w:p w14:paraId="3E5F160F" w14:textId="77777777" w:rsidR="00E12B3A" w:rsidRPr="004408A1" w:rsidRDefault="00F7531C" w:rsidP="007426FD">
      <w:pPr>
        <w:pStyle w:val="ListParagraph"/>
        <w:numPr>
          <w:ilvl w:val="0"/>
          <w:numId w:val="9"/>
        </w:numPr>
        <w:spacing w:line="264" w:lineRule="auto"/>
        <w:ind w:left="714" w:hanging="357"/>
        <w:jc w:val="both"/>
        <w:rPr>
          <w:sz w:val="22"/>
          <w:szCs w:val="22"/>
          <w:lang w:val="en-GB"/>
        </w:rPr>
      </w:pPr>
      <w:r w:rsidRPr="004408A1">
        <w:rPr>
          <w:sz w:val="22"/>
          <w:szCs w:val="22"/>
          <w:lang w:val="en-GB"/>
        </w:rPr>
        <w:t xml:space="preserve">Coherence and complementarity between the ENI CBC programmes and other relevant EU instruments are to be ensured through the programming process. </w:t>
      </w:r>
      <w:r w:rsidR="00E12B3A" w:rsidRPr="004408A1">
        <w:rPr>
          <w:sz w:val="22"/>
          <w:szCs w:val="22"/>
          <w:lang w:val="en-GB"/>
        </w:rPr>
        <w:t xml:space="preserve">CBC programmes must deliver </w:t>
      </w:r>
      <w:r w:rsidR="00E12B3A" w:rsidRPr="004408A1">
        <w:rPr>
          <w:i/>
          <w:sz w:val="22"/>
          <w:szCs w:val="22"/>
          <w:lang w:val="en-GB"/>
        </w:rPr>
        <w:t>real cross-border added value and not cover elements which are already funded or could more suitably be funded from other</w:t>
      </w:r>
      <w:r w:rsidR="00E12B3A" w:rsidRPr="004408A1">
        <w:rPr>
          <w:sz w:val="22"/>
          <w:szCs w:val="22"/>
          <w:lang w:val="en-GB"/>
        </w:rPr>
        <w:t xml:space="preserve"> ENI or EU programmes.</w:t>
      </w:r>
    </w:p>
    <w:p w14:paraId="60DE1BA2" w14:textId="77777777" w:rsidR="001843E4" w:rsidRPr="004408A1" w:rsidRDefault="004835F2" w:rsidP="007426FD">
      <w:pPr>
        <w:pStyle w:val="ListParagraph"/>
        <w:numPr>
          <w:ilvl w:val="0"/>
          <w:numId w:val="9"/>
        </w:numPr>
        <w:spacing w:line="264" w:lineRule="auto"/>
        <w:ind w:left="714" w:hanging="357"/>
        <w:jc w:val="both"/>
        <w:rPr>
          <w:sz w:val="22"/>
          <w:szCs w:val="22"/>
          <w:lang w:val="en-GB"/>
        </w:rPr>
      </w:pPr>
      <w:r>
        <w:rPr>
          <w:sz w:val="22"/>
          <w:szCs w:val="22"/>
          <w:lang w:val="en-GB"/>
        </w:rPr>
        <w:t xml:space="preserve">Under </w:t>
      </w:r>
      <w:r w:rsidR="001843E4" w:rsidRPr="004408A1">
        <w:rPr>
          <w:sz w:val="22"/>
          <w:szCs w:val="22"/>
          <w:lang w:val="en-GB"/>
        </w:rPr>
        <w:t xml:space="preserve">sea-basin programmes, it will be </w:t>
      </w:r>
      <w:r w:rsidR="00976C2F" w:rsidRPr="00EE604A">
        <w:rPr>
          <w:i/>
          <w:sz w:val="22"/>
          <w:szCs w:val="22"/>
          <w:lang w:val="en-GB"/>
        </w:rPr>
        <w:t>possible to support activities involving a single partner on either side</w:t>
      </w:r>
      <w:r w:rsidR="00976C2F" w:rsidRPr="00EE604A">
        <w:rPr>
          <w:sz w:val="22"/>
          <w:szCs w:val="22"/>
          <w:lang w:val="en-GB"/>
        </w:rPr>
        <w:t xml:space="preserve"> (EU-internal and –external) of the sea-basins</w:t>
      </w:r>
      <w:r w:rsidR="001843E4" w:rsidRPr="004408A1">
        <w:rPr>
          <w:sz w:val="22"/>
          <w:szCs w:val="22"/>
          <w:lang w:val="en-GB"/>
        </w:rPr>
        <w:t>, as well as activities involving more than one partner on either side of the sea-basin.</w:t>
      </w:r>
      <w:r w:rsidR="001843E4" w:rsidRPr="004408A1">
        <w:rPr>
          <w:lang w:val="en-GB"/>
        </w:rPr>
        <w:t xml:space="preserve"> </w:t>
      </w:r>
    </w:p>
    <w:p w14:paraId="43D6FC0E" w14:textId="77777777" w:rsidR="00CE517B" w:rsidRPr="004408A1" w:rsidRDefault="001843E4" w:rsidP="007426FD">
      <w:pPr>
        <w:pStyle w:val="ListParagraph"/>
        <w:numPr>
          <w:ilvl w:val="0"/>
          <w:numId w:val="9"/>
        </w:numPr>
        <w:spacing w:line="264" w:lineRule="auto"/>
        <w:ind w:left="714" w:hanging="357"/>
        <w:jc w:val="both"/>
        <w:rPr>
          <w:sz w:val="22"/>
          <w:szCs w:val="22"/>
          <w:lang w:val="en-GB"/>
        </w:rPr>
      </w:pPr>
      <w:r w:rsidRPr="004408A1">
        <w:rPr>
          <w:sz w:val="22"/>
          <w:szCs w:val="22"/>
          <w:lang w:val="en-GB"/>
        </w:rPr>
        <w:t>The partners implement</w:t>
      </w:r>
      <w:r w:rsidR="004835F2">
        <w:rPr>
          <w:sz w:val="22"/>
          <w:szCs w:val="22"/>
          <w:lang w:val="en-GB"/>
        </w:rPr>
        <w:t>ing projects under the sea-basin</w:t>
      </w:r>
      <w:r w:rsidRPr="004408A1">
        <w:rPr>
          <w:sz w:val="22"/>
          <w:szCs w:val="22"/>
          <w:lang w:val="en-GB"/>
        </w:rPr>
        <w:t xml:space="preserve"> programmes will </w:t>
      </w:r>
      <w:r w:rsidRPr="004408A1">
        <w:rPr>
          <w:i/>
          <w:sz w:val="22"/>
          <w:szCs w:val="22"/>
          <w:lang w:val="en-GB"/>
        </w:rPr>
        <w:t>primarily represent the regional and sub-national administrative levels, as well as civil society organisations</w:t>
      </w:r>
      <w:r w:rsidRPr="004408A1">
        <w:rPr>
          <w:sz w:val="22"/>
          <w:szCs w:val="22"/>
          <w:lang w:val="en-GB"/>
        </w:rPr>
        <w:t xml:space="preserve"> based within the eligible programme area.</w:t>
      </w:r>
      <w:r w:rsidR="00A33656" w:rsidRPr="004408A1">
        <w:rPr>
          <w:sz w:val="22"/>
          <w:szCs w:val="22"/>
          <w:lang w:val="en-GB"/>
        </w:rPr>
        <w:t xml:space="preserve"> Eligibility is based on the ENI regulation, but priority should be given to local and regional authorities, civil society, chambers of commerce, and the academic and educational community; as well as other eligible actors based within the geographical eligibility of the programme and important for the realisation of the objectives of the individual programme. Involvement of national authorities will be necessary in all programme development stages and, when this is necessary, in project implementation</w:t>
      </w:r>
      <w:r w:rsidR="006A53F4" w:rsidRPr="004408A1">
        <w:rPr>
          <w:sz w:val="22"/>
          <w:szCs w:val="22"/>
          <w:lang w:val="en-GB"/>
        </w:rPr>
        <w:t>.</w:t>
      </w:r>
    </w:p>
    <w:p w14:paraId="299075A3" w14:textId="77777777" w:rsidR="00CE517B" w:rsidRPr="004408A1" w:rsidRDefault="00CE517B" w:rsidP="007426FD">
      <w:pPr>
        <w:pStyle w:val="ListParagraph"/>
        <w:numPr>
          <w:ilvl w:val="0"/>
          <w:numId w:val="9"/>
        </w:numPr>
        <w:spacing w:line="264" w:lineRule="auto"/>
        <w:ind w:left="714" w:hanging="357"/>
        <w:jc w:val="both"/>
        <w:rPr>
          <w:sz w:val="22"/>
          <w:szCs w:val="22"/>
          <w:lang w:val="en-GB"/>
        </w:rPr>
      </w:pPr>
      <w:r w:rsidRPr="004408A1">
        <w:rPr>
          <w:sz w:val="22"/>
          <w:szCs w:val="22"/>
          <w:lang w:val="en-GB"/>
        </w:rPr>
        <w:t xml:space="preserve">Participation of major social, economic or cultural centres in a programme may be considered where it can be </w:t>
      </w:r>
      <w:r w:rsidR="00985C22">
        <w:rPr>
          <w:sz w:val="22"/>
          <w:szCs w:val="22"/>
          <w:lang w:val="en-GB"/>
        </w:rPr>
        <w:t>demonstrated in the Joint Operational Programme</w:t>
      </w:r>
      <w:r w:rsidRPr="004408A1">
        <w:rPr>
          <w:sz w:val="22"/>
          <w:szCs w:val="22"/>
          <w:lang w:val="en-GB"/>
        </w:rPr>
        <w:t xml:space="preserve"> that the involvement of such centres in the programme (</w:t>
      </w:r>
      <w:proofErr w:type="spellStart"/>
      <w:r w:rsidRPr="004408A1">
        <w:rPr>
          <w:sz w:val="22"/>
          <w:szCs w:val="22"/>
          <w:lang w:val="en-GB"/>
        </w:rPr>
        <w:t>i</w:t>
      </w:r>
      <w:proofErr w:type="spellEnd"/>
      <w:r w:rsidRPr="004408A1">
        <w:rPr>
          <w:sz w:val="22"/>
          <w:szCs w:val="22"/>
          <w:lang w:val="en-GB"/>
        </w:rPr>
        <w:t xml:space="preserve">) would bring substantial added value for the core eligible border area, (ii) would strongly contribute to the achievement of the CBC impact in the core eligible border area, and (iii) is essential to achieving the programme objectives in a sustainable way. </w:t>
      </w:r>
      <w:r w:rsidR="00976C2F" w:rsidRPr="00EE604A">
        <w:rPr>
          <w:sz w:val="22"/>
          <w:szCs w:val="22"/>
          <w:lang w:val="en-GB"/>
        </w:rPr>
        <w:t xml:space="preserve">Consideration should be given to involving such centres </w:t>
      </w:r>
      <w:r w:rsidR="00976C2F" w:rsidRPr="00EE604A">
        <w:rPr>
          <w:i/>
          <w:sz w:val="22"/>
          <w:szCs w:val="22"/>
          <w:lang w:val="en-GB"/>
        </w:rPr>
        <w:t>only to address certain programme priorities or measures and to limit their eligibility to certain categories of project partners</w:t>
      </w:r>
      <w:r w:rsidR="00976C2F" w:rsidRPr="00EE604A">
        <w:rPr>
          <w:sz w:val="22"/>
          <w:szCs w:val="22"/>
          <w:lang w:val="en-GB"/>
        </w:rPr>
        <w:t xml:space="preserve"> (e.g. eligibility of public entities and research centres and not of civil society organisations established in the selected centre).  </w:t>
      </w:r>
    </w:p>
    <w:p w14:paraId="25FDABCF" w14:textId="77777777" w:rsidR="00C95057" w:rsidRPr="004408A1" w:rsidRDefault="00C95057" w:rsidP="007426FD">
      <w:pPr>
        <w:pStyle w:val="ListParagraph"/>
        <w:numPr>
          <w:ilvl w:val="0"/>
          <w:numId w:val="9"/>
        </w:numPr>
        <w:spacing w:line="264" w:lineRule="auto"/>
        <w:ind w:left="714" w:hanging="357"/>
        <w:jc w:val="both"/>
        <w:rPr>
          <w:sz w:val="22"/>
          <w:szCs w:val="22"/>
          <w:lang w:val="en-GB"/>
        </w:rPr>
      </w:pPr>
      <w:r w:rsidRPr="004408A1">
        <w:rPr>
          <w:sz w:val="22"/>
          <w:szCs w:val="22"/>
          <w:lang w:val="en-GB"/>
        </w:rPr>
        <w:lastRenderedPageBreak/>
        <w:t xml:space="preserve">Efforts should be made to </w:t>
      </w:r>
      <w:r w:rsidRPr="004408A1">
        <w:rPr>
          <w:i/>
          <w:sz w:val="22"/>
          <w:szCs w:val="22"/>
          <w:lang w:val="en-GB"/>
        </w:rPr>
        <w:t>ensure the benefits of regional and local development supported by CBC can be sustained</w:t>
      </w:r>
      <w:r w:rsidRPr="004408A1">
        <w:rPr>
          <w:sz w:val="22"/>
          <w:szCs w:val="22"/>
          <w:lang w:val="en-GB"/>
        </w:rPr>
        <w:t xml:space="preserve"> after CBC funding is complete. This issue should be reflected in the criteria for calls for proposals.</w:t>
      </w:r>
    </w:p>
    <w:p w14:paraId="0FB4E384" w14:textId="77777777" w:rsidR="00E65C40" w:rsidRPr="00002063" w:rsidRDefault="003951DF" w:rsidP="00E81C33">
      <w:pPr>
        <w:pStyle w:val="Heading3"/>
        <w:spacing w:before="360" w:after="240" w:line="264" w:lineRule="auto"/>
        <w:rPr>
          <w:b/>
          <w:sz w:val="28"/>
          <w:szCs w:val="28"/>
          <w:lang w:val="en-GB"/>
        </w:rPr>
      </w:pPr>
      <w:bookmarkStart w:id="14" w:name="_Toc423436270"/>
      <w:r>
        <w:rPr>
          <w:b/>
          <w:sz w:val="28"/>
          <w:szCs w:val="28"/>
          <w:lang w:val="en-GB"/>
        </w:rPr>
        <w:t xml:space="preserve">2.2 </w:t>
      </w:r>
      <w:r w:rsidR="00240D53" w:rsidRPr="00002063">
        <w:rPr>
          <w:b/>
          <w:sz w:val="28"/>
          <w:szCs w:val="28"/>
          <w:lang w:val="en-GB"/>
        </w:rPr>
        <w:t>EU</w:t>
      </w:r>
      <w:r w:rsidR="00E65C40" w:rsidRPr="00002063">
        <w:rPr>
          <w:b/>
          <w:sz w:val="28"/>
          <w:szCs w:val="28"/>
          <w:lang w:val="en-GB"/>
        </w:rPr>
        <w:t xml:space="preserve"> strategic framework for the Black Sea Basin</w:t>
      </w:r>
      <w:bookmarkEnd w:id="14"/>
      <w:r w:rsidR="00E65C40" w:rsidRPr="00002063">
        <w:rPr>
          <w:b/>
          <w:sz w:val="28"/>
          <w:szCs w:val="28"/>
          <w:lang w:val="en-GB"/>
        </w:rPr>
        <w:t xml:space="preserve"> </w:t>
      </w:r>
    </w:p>
    <w:p w14:paraId="29890516" w14:textId="77777777" w:rsidR="004020DC" w:rsidRPr="004408A1" w:rsidRDefault="00706A77" w:rsidP="00EE604A">
      <w:pPr>
        <w:spacing w:line="264" w:lineRule="auto"/>
        <w:jc w:val="both"/>
        <w:rPr>
          <w:sz w:val="22"/>
          <w:szCs w:val="22"/>
          <w:lang w:val="en-GB"/>
        </w:rPr>
      </w:pPr>
      <w:r>
        <w:rPr>
          <w:sz w:val="22"/>
          <w:szCs w:val="22"/>
          <w:lang w:val="en-GB"/>
        </w:rPr>
        <w:t xml:space="preserve">The </w:t>
      </w:r>
      <w:r w:rsidR="004020DC" w:rsidRPr="004408A1">
        <w:rPr>
          <w:sz w:val="22"/>
          <w:szCs w:val="22"/>
          <w:lang w:val="en-GB"/>
        </w:rPr>
        <w:t xml:space="preserve">EU communication on the Black Sea </w:t>
      </w:r>
      <w:r w:rsidR="002E49C8">
        <w:rPr>
          <w:sz w:val="22"/>
          <w:szCs w:val="22"/>
          <w:lang w:val="en-GB"/>
        </w:rPr>
        <w:t>S</w:t>
      </w:r>
      <w:r w:rsidR="004020DC" w:rsidRPr="004408A1">
        <w:rPr>
          <w:sz w:val="22"/>
          <w:szCs w:val="22"/>
          <w:lang w:val="en-GB"/>
        </w:rPr>
        <w:t xml:space="preserve">ynergy (2007) and </w:t>
      </w:r>
      <w:r>
        <w:rPr>
          <w:sz w:val="22"/>
          <w:szCs w:val="22"/>
          <w:lang w:val="en-GB"/>
        </w:rPr>
        <w:t xml:space="preserve">the </w:t>
      </w:r>
      <w:r w:rsidR="004020DC" w:rsidRPr="004408A1">
        <w:rPr>
          <w:sz w:val="22"/>
          <w:szCs w:val="22"/>
          <w:lang w:val="en-GB"/>
        </w:rPr>
        <w:t>Parliament resolution on a</w:t>
      </w:r>
      <w:r>
        <w:rPr>
          <w:sz w:val="22"/>
          <w:szCs w:val="22"/>
          <w:lang w:val="en-GB"/>
        </w:rPr>
        <w:t>n</w:t>
      </w:r>
      <w:r w:rsidR="004020DC" w:rsidRPr="004408A1">
        <w:rPr>
          <w:sz w:val="22"/>
          <w:szCs w:val="22"/>
          <w:lang w:val="en-GB"/>
        </w:rPr>
        <w:t xml:space="preserve"> EU Strategy for the Black Sea Region (2011) </w:t>
      </w:r>
      <w:r w:rsidR="00192E4E" w:rsidRPr="004408A1">
        <w:rPr>
          <w:sz w:val="22"/>
          <w:szCs w:val="22"/>
          <w:lang w:val="en-GB"/>
        </w:rPr>
        <w:t xml:space="preserve">lay down </w:t>
      </w:r>
      <w:r w:rsidR="001E65F6" w:rsidRPr="004408A1">
        <w:rPr>
          <w:sz w:val="22"/>
          <w:szCs w:val="22"/>
          <w:lang w:val="en-GB"/>
        </w:rPr>
        <w:t>strategic orientations</w:t>
      </w:r>
      <w:r w:rsidR="001A557D" w:rsidRPr="004408A1">
        <w:rPr>
          <w:sz w:val="22"/>
          <w:szCs w:val="22"/>
          <w:lang w:val="en-GB"/>
        </w:rPr>
        <w:t xml:space="preserve"> for cooperation in the</w:t>
      </w:r>
      <w:r w:rsidR="00D42B5E" w:rsidRPr="004408A1">
        <w:rPr>
          <w:sz w:val="22"/>
          <w:szCs w:val="22"/>
          <w:lang w:val="en-GB"/>
        </w:rPr>
        <w:t xml:space="preserve"> </w:t>
      </w:r>
      <w:r w:rsidR="004020DC" w:rsidRPr="004408A1">
        <w:rPr>
          <w:sz w:val="22"/>
          <w:szCs w:val="22"/>
          <w:lang w:val="en-GB"/>
        </w:rPr>
        <w:t>Black Sea Basin</w:t>
      </w:r>
      <w:r w:rsidR="007F774F" w:rsidRPr="004408A1">
        <w:rPr>
          <w:sz w:val="22"/>
          <w:szCs w:val="22"/>
          <w:lang w:val="en-GB"/>
        </w:rPr>
        <w:t>.</w:t>
      </w:r>
    </w:p>
    <w:p w14:paraId="0894F76F" w14:textId="77777777" w:rsidR="00D540C1" w:rsidRDefault="004E597F" w:rsidP="00D540C1">
      <w:pPr>
        <w:spacing w:before="180" w:after="120" w:line="264" w:lineRule="auto"/>
        <w:rPr>
          <w:b/>
          <w:lang w:val="en-GB"/>
        </w:rPr>
      </w:pPr>
      <w:r>
        <w:rPr>
          <w:b/>
          <w:lang w:val="en-GB"/>
        </w:rPr>
        <w:t>Black Sea S</w:t>
      </w:r>
      <w:r w:rsidR="00E65C40" w:rsidRPr="004408A1">
        <w:rPr>
          <w:b/>
          <w:lang w:val="en-GB"/>
        </w:rPr>
        <w:t>ynergy</w:t>
      </w:r>
    </w:p>
    <w:p w14:paraId="55E51A04" w14:textId="77777777" w:rsidR="00B80C16" w:rsidRPr="00D540C1" w:rsidRDefault="00B80C16" w:rsidP="00E81C33">
      <w:pPr>
        <w:spacing w:before="180" w:after="120" w:line="264" w:lineRule="auto"/>
        <w:jc w:val="both"/>
        <w:rPr>
          <w:b/>
          <w:lang w:val="en-GB"/>
        </w:rPr>
      </w:pPr>
      <w:r w:rsidRPr="004408A1">
        <w:rPr>
          <w:sz w:val="22"/>
          <w:szCs w:val="22"/>
          <w:lang w:val="en-GB"/>
        </w:rPr>
        <w:t>The EC commu</w:t>
      </w:r>
      <w:r w:rsidR="001818AA" w:rsidRPr="004408A1">
        <w:rPr>
          <w:sz w:val="22"/>
          <w:szCs w:val="22"/>
          <w:lang w:val="en-GB"/>
        </w:rPr>
        <w:t xml:space="preserve">nication on the Black Sea Synergy, adopted by the European Council in June 2007, </w:t>
      </w:r>
      <w:r w:rsidRPr="004408A1">
        <w:rPr>
          <w:sz w:val="22"/>
          <w:szCs w:val="22"/>
          <w:lang w:val="en-GB"/>
        </w:rPr>
        <w:t>was followed by</w:t>
      </w:r>
      <w:r w:rsidR="001818AA" w:rsidRPr="004408A1">
        <w:rPr>
          <w:sz w:val="22"/>
          <w:szCs w:val="22"/>
          <w:lang w:val="en-GB"/>
        </w:rPr>
        <w:t xml:space="preserve"> a conferen</w:t>
      </w:r>
      <w:r w:rsidR="006C2DB4" w:rsidRPr="004408A1">
        <w:rPr>
          <w:sz w:val="22"/>
          <w:szCs w:val="22"/>
          <w:lang w:val="en-GB"/>
        </w:rPr>
        <w:t>c</w:t>
      </w:r>
      <w:r w:rsidR="001818AA" w:rsidRPr="004408A1">
        <w:rPr>
          <w:sz w:val="22"/>
          <w:szCs w:val="22"/>
          <w:lang w:val="en-GB"/>
        </w:rPr>
        <w:t>e between EU and Black Sea Foreign Affairs Ministers in Kiev</w:t>
      </w:r>
      <w:r w:rsidRPr="004408A1">
        <w:rPr>
          <w:sz w:val="22"/>
          <w:szCs w:val="22"/>
          <w:lang w:val="en-GB"/>
        </w:rPr>
        <w:t xml:space="preserve"> </w:t>
      </w:r>
      <w:r w:rsidR="006C2DB4" w:rsidRPr="004408A1">
        <w:rPr>
          <w:sz w:val="22"/>
          <w:szCs w:val="22"/>
          <w:lang w:val="en-GB"/>
        </w:rPr>
        <w:t>in 2008 that led to a joint statement</w:t>
      </w:r>
      <w:r w:rsidR="00BB73E8" w:rsidRPr="000F4B41">
        <w:rPr>
          <w:vertAlign w:val="superscript"/>
        </w:rPr>
        <w:footnoteReference w:id="15"/>
      </w:r>
      <w:r w:rsidR="006C2DB4" w:rsidRPr="004408A1">
        <w:rPr>
          <w:sz w:val="22"/>
          <w:szCs w:val="22"/>
          <w:lang w:val="en-GB"/>
        </w:rPr>
        <w:t xml:space="preserve"> initiating the Synergy. The initiative is </w:t>
      </w:r>
      <w:r w:rsidRPr="004408A1">
        <w:rPr>
          <w:sz w:val="22"/>
          <w:szCs w:val="22"/>
          <w:lang w:val="en-GB"/>
        </w:rPr>
        <w:t>designed as a flexible framework to ensure greater coherence and policy guidance</w:t>
      </w:r>
      <w:r w:rsidR="006C2DB4" w:rsidRPr="004408A1">
        <w:rPr>
          <w:sz w:val="22"/>
          <w:szCs w:val="22"/>
          <w:lang w:val="en-GB"/>
        </w:rPr>
        <w:t>,</w:t>
      </w:r>
      <w:r w:rsidRPr="004408A1">
        <w:rPr>
          <w:sz w:val="22"/>
          <w:szCs w:val="22"/>
          <w:lang w:val="en-GB"/>
        </w:rPr>
        <w:t xml:space="preserve"> while also inviting a more in</w:t>
      </w:r>
      <w:r w:rsidR="006C2DB4" w:rsidRPr="004408A1">
        <w:rPr>
          <w:sz w:val="22"/>
          <w:szCs w:val="22"/>
          <w:lang w:val="en-GB"/>
        </w:rPr>
        <w:t>tegrated approach and closer regional ties in order to:</w:t>
      </w:r>
    </w:p>
    <w:p w14:paraId="5123EA3D" w14:textId="77777777" w:rsidR="00B80C16" w:rsidRPr="00B80C16" w:rsidRDefault="001B75A5" w:rsidP="007426FD">
      <w:pPr>
        <w:widowControl w:val="0"/>
        <w:numPr>
          <w:ilvl w:val="0"/>
          <w:numId w:val="6"/>
        </w:numPr>
        <w:tabs>
          <w:tab w:val="left" w:pos="220"/>
          <w:tab w:val="left" w:pos="720"/>
        </w:tabs>
        <w:autoSpaceDE w:val="0"/>
        <w:autoSpaceDN w:val="0"/>
        <w:adjustRightInd w:val="0"/>
        <w:spacing w:after="20" w:line="264" w:lineRule="auto"/>
        <w:ind w:left="714" w:hanging="357"/>
        <w:jc w:val="both"/>
        <w:rPr>
          <w:rFonts w:cs="Verdana"/>
          <w:sz w:val="22"/>
          <w:szCs w:val="22"/>
        </w:rPr>
      </w:pPr>
      <w:proofErr w:type="spellStart"/>
      <w:r>
        <w:rPr>
          <w:rFonts w:cs="Verdana"/>
          <w:sz w:val="22"/>
          <w:szCs w:val="22"/>
        </w:rPr>
        <w:t>S</w:t>
      </w:r>
      <w:r w:rsidR="00B80C16" w:rsidRPr="00B80C16">
        <w:rPr>
          <w:rFonts w:cs="Verdana"/>
          <w:sz w:val="22"/>
          <w:szCs w:val="22"/>
        </w:rPr>
        <w:t>timulate</w:t>
      </w:r>
      <w:proofErr w:type="spellEnd"/>
      <w:r w:rsidR="00B80C16" w:rsidRPr="00B80C16">
        <w:rPr>
          <w:rFonts w:cs="Verdana"/>
          <w:sz w:val="22"/>
          <w:szCs w:val="22"/>
        </w:rPr>
        <w:t xml:space="preserve"> </w:t>
      </w:r>
      <w:proofErr w:type="spellStart"/>
      <w:r w:rsidR="00B80C16" w:rsidRPr="00B80C16">
        <w:rPr>
          <w:rFonts w:cs="Verdana"/>
          <w:sz w:val="22"/>
          <w:szCs w:val="22"/>
        </w:rPr>
        <w:t>democratic</w:t>
      </w:r>
      <w:proofErr w:type="spellEnd"/>
      <w:r w:rsidR="00B80C16" w:rsidRPr="00B80C16">
        <w:rPr>
          <w:rFonts w:cs="Verdana"/>
          <w:sz w:val="22"/>
          <w:szCs w:val="22"/>
        </w:rPr>
        <w:t xml:space="preserve"> and </w:t>
      </w:r>
      <w:proofErr w:type="spellStart"/>
      <w:r w:rsidR="00B80C16" w:rsidRPr="00B80C16">
        <w:rPr>
          <w:rFonts w:cs="Verdana"/>
          <w:sz w:val="22"/>
          <w:szCs w:val="22"/>
        </w:rPr>
        <w:t>economic</w:t>
      </w:r>
      <w:proofErr w:type="spellEnd"/>
      <w:r w:rsidR="00B80C16" w:rsidRPr="00B80C16">
        <w:rPr>
          <w:rFonts w:cs="Verdana"/>
          <w:sz w:val="22"/>
          <w:szCs w:val="22"/>
        </w:rPr>
        <w:t xml:space="preserve"> </w:t>
      </w:r>
      <w:proofErr w:type="spellStart"/>
      <w:r w:rsidR="00B80C16" w:rsidRPr="00B80C16">
        <w:rPr>
          <w:rFonts w:cs="Verdana"/>
          <w:sz w:val="22"/>
          <w:szCs w:val="22"/>
        </w:rPr>
        <w:t>reforms</w:t>
      </w:r>
      <w:proofErr w:type="spellEnd"/>
    </w:p>
    <w:p w14:paraId="69DDF761" w14:textId="77777777" w:rsidR="00B80C16" w:rsidRPr="00B80C16" w:rsidRDefault="001B75A5" w:rsidP="007426FD">
      <w:pPr>
        <w:widowControl w:val="0"/>
        <w:numPr>
          <w:ilvl w:val="0"/>
          <w:numId w:val="6"/>
        </w:numPr>
        <w:tabs>
          <w:tab w:val="left" w:pos="220"/>
          <w:tab w:val="left" w:pos="720"/>
        </w:tabs>
        <w:autoSpaceDE w:val="0"/>
        <w:autoSpaceDN w:val="0"/>
        <w:adjustRightInd w:val="0"/>
        <w:spacing w:after="20" w:line="264" w:lineRule="auto"/>
        <w:ind w:left="714" w:hanging="357"/>
        <w:jc w:val="both"/>
        <w:rPr>
          <w:rFonts w:cs="Verdana"/>
          <w:sz w:val="22"/>
          <w:szCs w:val="22"/>
        </w:rPr>
      </w:pPr>
      <w:r>
        <w:rPr>
          <w:rFonts w:cs="Verdana"/>
          <w:sz w:val="22"/>
          <w:szCs w:val="22"/>
        </w:rPr>
        <w:t>S</w:t>
      </w:r>
      <w:r w:rsidR="00B80C16" w:rsidRPr="00B80C16">
        <w:rPr>
          <w:rFonts w:cs="Verdana"/>
          <w:sz w:val="22"/>
          <w:szCs w:val="22"/>
        </w:rPr>
        <w:t xml:space="preserve">upport </w:t>
      </w:r>
      <w:proofErr w:type="spellStart"/>
      <w:r w:rsidR="00B80C16" w:rsidRPr="00B80C16">
        <w:rPr>
          <w:rFonts w:cs="Verdana"/>
          <w:sz w:val="22"/>
          <w:szCs w:val="22"/>
        </w:rPr>
        <w:t>stability</w:t>
      </w:r>
      <w:proofErr w:type="spellEnd"/>
      <w:r w:rsidR="00B80C16" w:rsidRPr="00B80C16">
        <w:rPr>
          <w:rFonts w:cs="Verdana"/>
          <w:sz w:val="22"/>
          <w:szCs w:val="22"/>
        </w:rPr>
        <w:t xml:space="preserve"> and </w:t>
      </w:r>
      <w:proofErr w:type="spellStart"/>
      <w:r w:rsidR="00B80C16" w:rsidRPr="00B80C16">
        <w:rPr>
          <w:rFonts w:cs="Verdana"/>
          <w:sz w:val="22"/>
          <w:szCs w:val="22"/>
        </w:rPr>
        <w:t>promote</w:t>
      </w:r>
      <w:proofErr w:type="spellEnd"/>
      <w:r w:rsidR="00B80C16" w:rsidRPr="00B80C16">
        <w:rPr>
          <w:rFonts w:cs="Verdana"/>
          <w:sz w:val="22"/>
          <w:szCs w:val="22"/>
        </w:rPr>
        <w:t xml:space="preserve"> </w:t>
      </w:r>
      <w:proofErr w:type="spellStart"/>
      <w:r w:rsidR="00B80C16" w:rsidRPr="00B80C16">
        <w:rPr>
          <w:rFonts w:cs="Verdana"/>
          <w:sz w:val="22"/>
          <w:szCs w:val="22"/>
        </w:rPr>
        <w:t>development</w:t>
      </w:r>
      <w:proofErr w:type="spellEnd"/>
    </w:p>
    <w:p w14:paraId="0368408C" w14:textId="77777777" w:rsidR="00B80C16" w:rsidRPr="004408A1" w:rsidRDefault="001B75A5" w:rsidP="007426FD">
      <w:pPr>
        <w:widowControl w:val="0"/>
        <w:numPr>
          <w:ilvl w:val="0"/>
          <w:numId w:val="6"/>
        </w:numPr>
        <w:tabs>
          <w:tab w:val="left" w:pos="220"/>
          <w:tab w:val="left" w:pos="720"/>
        </w:tabs>
        <w:autoSpaceDE w:val="0"/>
        <w:autoSpaceDN w:val="0"/>
        <w:adjustRightInd w:val="0"/>
        <w:spacing w:after="20" w:line="264" w:lineRule="auto"/>
        <w:ind w:left="714" w:hanging="357"/>
        <w:jc w:val="both"/>
        <w:rPr>
          <w:rFonts w:cs="Verdana"/>
          <w:sz w:val="22"/>
          <w:szCs w:val="22"/>
          <w:lang w:val="en-GB"/>
        </w:rPr>
      </w:pPr>
      <w:r w:rsidRPr="004408A1">
        <w:rPr>
          <w:rFonts w:cs="Verdana"/>
          <w:sz w:val="22"/>
          <w:szCs w:val="22"/>
          <w:lang w:val="en-GB"/>
        </w:rPr>
        <w:t>F</w:t>
      </w:r>
      <w:r w:rsidR="00B80C16" w:rsidRPr="004408A1">
        <w:rPr>
          <w:rFonts w:cs="Verdana"/>
          <w:sz w:val="22"/>
          <w:szCs w:val="22"/>
          <w:lang w:val="en-GB"/>
        </w:rPr>
        <w:t>acilitate practical projects in areas of common concern</w:t>
      </w:r>
    </w:p>
    <w:p w14:paraId="5180FB72" w14:textId="77777777" w:rsidR="00B80C16" w:rsidRPr="004408A1" w:rsidRDefault="001B75A5" w:rsidP="007426FD">
      <w:pPr>
        <w:widowControl w:val="0"/>
        <w:numPr>
          <w:ilvl w:val="0"/>
          <w:numId w:val="6"/>
        </w:numPr>
        <w:tabs>
          <w:tab w:val="left" w:pos="220"/>
          <w:tab w:val="left" w:pos="720"/>
        </w:tabs>
        <w:autoSpaceDE w:val="0"/>
        <w:autoSpaceDN w:val="0"/>
        <w:adjustRightInd w:val="0"/>
        <w:spacing w:after="20" w:line="264" w:lineRule="auto"/>
        <w:ind w:left="714" w:hanging="357"/>
        <w:jc w:val="both"/>
        <w:rPr>
          <w:rFonts w:cs="Verdana"/>
          <w:sz w:val="22"/>
          <w:szCs w:val="22"/>
          <w:lang w:val="en-GB"/>
        </w:rPr>
      </w:pPr>
      <w:r w:rsidRPr="004408A1">
        <w:rPr>
          <w:rFonts w:cs="Verdana"/>
          <w:sz w:val="22"/>
          <w:szCs w:val="22"/>
          <w:lang w:val="en-GB"/>
        </w:rPr>
        <w:t>O</w:t>
      </w:r>
      <w:r w:rsidR="00B80C16" w:rsidRPr="004408A1">
        <w:rPr>
          <w:rFonts w:cs="Verdana"/>
          <w:sz w:val="22"/>
          <w:szCs w:val="22"/>
          <w:lang w:val="en-GB"/>
        </w:rPr>
        <w:t>pen up opportunities and challenges through coordinated action in a regional framework</w:t>
      </w:r>
    </w:p>
    <w:p w14:paraId="5C3B3448" w14:textId="77777777" w:rsidR="0050376E" w:rsidRPr="004408A1" w:rsidRDefault="001B75A5" w:rsidP="007426FD">
      <w:pPr>
        <w:widowControl w:val="0"/>
        <w:numPr>
          <w:ilvl w:val="0"/>
          <w:numId w:val="6"/>
        </w:numPr>
        <w:tabs>
          <w:tab w:val="left" w:pos="220"/>
          <w:tab w:val="left" w:pos="720"/>
        </w:tabs>
        <w:autoSpaceDE w:val="0"/>
        <w:autoSpaceDN w:val="0"/>
        <w:adjustRightInd w:val="0"/>
        <w:spacing w:after="60" w:line="264" w:lineRule="auto"/>
        <w:ind w:left="714" w:hanging="357"/>
        <w:jc w:val="both"/>
        <w:rPr>
          <w:rFonts w:cs="Verdana"/>
          <w:sz w:val="22"/>
          <w:szCs w:val="22"/>
          <w:lang w:val="en-GB"/>
        </w:rPr>
      </w:pPr>
      <w:r w:rsidRPr="004408A1">
        <w:rPr>
          <w:rFonts w:cs="Verdana"/>
          <w:sz w:val="22"/>
          <w:szCs w:val="22"/>
          <w:lang w:val="en-GB"/>
        </w:rPr>
        <w:t>E</w:t>
      </w:r>
      <w:r w:rsidR="00E81C33">
        <w:rPr>
          <w:rFonts w:cs="Verdana"/>
          <w:sz w:val="22"/>
          <w:szCs w:val="22"/>
          <w:lang w:val="en-GB"/>
        </w:rPr>
        <w:t xml:space="preserve">ncourage the peaceful </w:t>
      </w:r>
      <w:r w:rsidR="00B80C16" w:rsidRPr="004408A1">
        <w:rPr>
          <w:rFonts w:cs="Verdana"/>
          <w:sz w:val="22"/>
          <w:szCs w:val="22"/>
          <w:lang w:val="en-GB"/>
        </w:rPr>
        <w:t>resolution of conflicts in the region</w:t>
      </w:r>
    </w:p>
    <w:p w14:paraId="66518F43" w14:textId="77777777" w:rsidR="00D94F3E" w:rsidRPr="004408A1" w:rsidRDefault="002A5FA0" w:rsidP="00EE604A">
      <w:pPr>
        <w:spacing w:before="180" w:after="180" w:line="264" w:lineRule="auto"/>
        <w:rPr>
          <w:b/>
          <w:lang w:val="en-GB"/>
        </w:rPr>
      </w:pPr>
      <w:r w:rsidRPr="004408A1">
        <w:rPr>
          <w:b/>
          <w:lang w:val="en-GB"/>
        </w:rPr>
        <w:t>A</w:t>
      </w:r>
      <w:r w:rsidR="00E65C40" w:rsidRPr="004408A1">
        <w:rPr>
          <w:b/>
          <w:lang w:val="en-GB"/>
        </w:rPr>
        <w:t xml:space="preserve"> strategy for</w:t>
      </w:r>
      <w:r w:rsidR="00F82130" w:rsidRPr="004408A1">
        <w:rPr>
          <w:b/>
          <w:lang w:val="en-GB"/>
        </w:rPr>
        <w:t xml:space="preserve"> the Black Sea </w:t>
      </w:r>
    </w:p>
    <w:p w14:paraId="61F1E6C3" w14:textId="77777777" w:rsidR="00E65C40" w:rsidRPr="004408A1" w:rsidRDefault="00706A77" w:rsidP="00EE604A">
      <w:pPr>
        <w:spacing w:after="60" w:line="264" w:lineRule="auto"/>
        <w:jc w:val="both"/>
        <w:rPr>
          <w:sz w:val="22"/>
          <w:szCs w:val="22"/>
          <w:lang w:val="en-GB"/>
        </w:rPr>
      </w:pPr>
      <w:r>
        <w:rPr>
          <w:sz w:val="22"/>
          <w:szCs w:val="22"/>
          <w:lang w:val="en-GB"/>
        </w:rPr>
        <w:t xml:space="preserve">The </w:t>
      </w:r>
      <w:r w:rsidR="008B7D46" w:rsidRPr="004408A1">
        <w:rPr>
          <w:sz w:val="22"/>
          <w:szCs w:val="22"/>
          <w:lang w:val="en-GB"/>
        </w:rPr>
        <w:t>EU Parliament adopted a resolution</w:t>
      </w:r>
      <w:r w:rsidR="00DA7C6B" w:rsidRPr="004408A1">
        <w:rPr>
          <w:sz w:val="22"/>
          <w:szCs w:val="22"/>
          <w:lang w:val="en-GB"/>
        </w:rPr>
        <w:t xml:space="preserve"> </w:t>
      </w:r>
      <w:r w:rsidR="0049087B" w:rsidRPr="004408A1">
        <w:rPr>
          <w:sz w:val="22"/>
          <w:szCs w:val="22"/>
          <w:lang w:val="en-GB"/>
        </w:rPr>
        <w:t>on 20 January 2011</w:t>
      </w:r>
      <w:r w:rsidR="00A26B1D">
        <w:rPr>
          <w:rStyle w:val="FootnoteReference"/>
          <w:sz w:val="22"/>
          <w:szCs w:val="22"/>
        </w:rPr>
        <w:footnoteReference w:id="16"/>
      </w:r>
      <w:r w:rsidR="0049087B" w:rsidRPr="004408A1">
        <w:rPr>
          <w:sz w:val="22"/>
          <w:szCs w:val="22"/>
          <w:lang w:val="en-GB"/>
        </w:rPr>
        <w:t xml:space="preserve"> </w:t>
      </w:r>
      <w:r w:rsidR="00DA7C6B" w:rsidRPr="004408A1">
        <w:rPr>
          <w:sz w:val="22"/>
          <w:szCs w:val="22"/>
          <w:lang w:val="en-GB"/>
        </w:rPr>
        <w:t>for a</w:t>
      </w:r>
      <w:r>
        <w:rPr>
          <w:sz w:val="22"/>
          <w:szCs w:val="22"/>
          <w:lang w:val="en-GB"/>
        </w:rPr>
        <w:t>n</w:t>
      </w:r>
      <w:r w:rsidR="00DA7C6B" w:rsidRPr="004408A1">
        <w:rPr>
          <w:sz w:val="22"/>
          <w:szCs w:val="22"/>
          <w:lang w:val="en-GB"/>
        </w:rPr>
        <w:t xml:space="preserve"> EU Strategy for the Black Sea Region</w:t>
      </w:r>
      <w:r w:rsidR="0049087B" w:rsidRPr="004408A1">
        <w:rPr>
          <w:sz w:val="22"/>
          <w:szCs w:val="22"/>
          <w:lang w:val="en-GB"/>
        </w:rPr>
        <w:t xml:space="preserve"> to be launched</w:t>
      </w:r>
      <w:r w:rsidR="00DA7C6B" w:rsidRPr="004408A1">
        <w:rPr>
          <w:sz w:val="22"/>
          <w:szCs w:val="22"/>
          <w:lang w:val="en-GB"/>
        </w:rPr>
        <w:t xml:space="preserve">. </w:t>
      </w:r>
      <w:r w:rsidR="00350835" w:rsidRPr="004408A1">
        <w:rPr>
          <w:sz w:val="22"/>
          <w:szCs w:val="22"/>
          <w:lang w:val="en-GB"/>
        </w:rPr>
        <w:t xml:space="preserve">Parliament </w:t>
      </w:r>
      <w:r w:rsidR="00DA7C6B" w:rsidRPr="004408A1">
        <w:rPr>
          <w:sz w:val="22"/>
          <w:szCs w:val="22"/>
          <w:lang w:val="en-GB"/>
        </w:rPr>
        <w:t>stress</w:t>
      </w:r>
      <w:r w:rsidR="005665BA" w:rsidRPr="004408A1">
        <w:rPr>
          <w:sz w:val="22"/>
          <w:szCs w:val="22"/>
          <w:lang w:val="en-GB"/>
        </w:rPr>
        <w:t>e</w:t>
      </w:r>
      <w:r>
        <w:rPr>
          <w:sz w:val="22"/>
          <w:szCs w:val="22"/>
          <w:lang w:val="en-GB"/>
        </w:rPr>
        <w:t>d</w:t>
      </w:r>
      <w:r w:rsidR="00DA7C6B" w:rsidRPr="004408A1">
        <w:rPr>
          <w:sz w:val="22"/>
          <w:szCs w:val="22"/>
          <w:lang w:val="en-GB"/>
        </w:rPr>
        <w:t xml:space="preserve"> that the main obj</w:t>
      </w:r>
      <w:r w:rsidR="00C92F63" w:rsidRPr="004408A1">
        <w:rPr>
          <w:sz w:val="22"/>
          <w:szCs w:val="22"/>
          <w:lang w:val="en-GB"/>
        </w:rPr>
        <w:t xml:space="preserve">ective </w:t>
      </w:r>
      <w:r w:rsidR="00A127B4">
        <w:rPr>
          <w:sz w:val="22"/>
          <w:szCs w:val="22"/>
          <w:lang w:val="en-GB"/>
        </w:rPr>
        <w:t>for</w:t>
      </w:r>
      <w:r w:rsidR="00C92F63" w:rsidRPr="004408A1">
        <w:rPr>
          <w:sz w:val="22"/>
          <w:szCs w:val="22"/>
          <w:lang w:val="en-GB"/>
        </w:rPr>
        <w:t xml:space="preserve"> the EU and </w:t>
      </w:r>
      <w:r>
        <w:rPr>
          <w:sz w:val="22"/>
          <w:szCs w:val="22"/>
          <w:lang w:val="en-GB"/>
        </w:rPr>
        <w:t xml:space="preserve">the </w:t>
      </w:r>
      <w:r w:rsidR="00C92F63" w:rsidRPr="004408A1">
        <w:rPr>
          <w:sz w:val="22"/>
          <w:szCs w:val="22"/>
          <w:lang w:val="en-GB"/>
        </w:rPr>
        <w:t>EU</w:t>
      </w:r>
      <w:r w:rsidR="00DA7C6B" w:rsidRPr="004408A1">
        <w:rPr>
          <w:sz w:val="22"/>
          <w:szCs w:val="22"/>
          <w:lang w:val="en-GB"/>
        </w:rPr>
        <w:t xml:space="preserve"> Member States in this strategy </w:t>
      </w:r>
      <w:r w:rsidR="00A127B4">
        <w:rPr>
          <w:sz w:val="22"/>
          <w:szCs w:val="22"/>
          <w:lang w:val="en-GB"/>
        </w:rPr>
        <w:t>is</w:t>
      </w:r>
      <w:r w:rsidR="00DA7C6B" w:rsidRPr="004408A1">
        <w:rPr>
          <w:sz w:val="22"/>
          <w:szCs w:val="22"/>
          <w:lang w:val="en-GB"/>
        </w:rPr>
        <w:t xml:space="preserve"> </w:t>
      </w:r>
      <w:r w:rsidR="008273F1" w:rsidRPr="004408A1">
        <w:rPr>
          <w:sz w:val="22"/>
          <w:szCs w:val="22"/>
          <w:lang w:val="en-GB"/>
        </w:rPr>
        <w:t>to establish an area of peace, democracy, prosperity and stability founded on respect for human rights and fundamental freedoms and providing for EU energy security. It consider</w:t>
      </w:r>
      <w:r w:rsidR="00A127B4">
        <w:rPr>
          <w:sz w:val="22"/>
          <w:szCs w:val="22"/>
          <w:lang w:val="en-GB"/>
        </w:rPr>
        <w:t>ed</w:t>
      </w:r>
      <w:r w:rsidR="008273F1" w:rsidRPr="004408A1">
        <w:rPr>
          <w:sz w:val="22"/>
          <w:szCs w:val="22"/>
          <w:lang w:val="en-GB"/>
        </w:rPr>
        <w:t xml:space="preserve"> that good governance, the rule of law, promotion of respect </w:t>
      </w:r>
      <w:r w:rsidR="002E49C8">
        <w:rPr>
          <w:sz w:val="22"/>
          <w:szCs w:val="22"/>
          <w:lang w:val="en-GB"/>
        </w:rPr>
        <w:t>for</w:t>
      </w:r>
      <w:r w:rsidR="002E49C8" w:rsidRPr="004408A1">
        <w:rPr>
          <w:sz w:val="22"/>
          <w:szCs w:val="22"/>
          <w:lang w:val="en-GB"/>
        </w:rPr>
        <w:t xml:space="preserve"> </w:t>
      </w:r>
      <w:r w:rsidR="008273F1" w:rsidRPr="004408A1">
        <w:rPr>
          <w:sz w:val="22"/>
          <w:szCs w:val="22"/>
          <w:lang w:val="en-GB"/>
        </w:rPr>
        <w:t>human rights, migration management, energy, transport, the environment and economic and social development should constitute priority actions.</w:t>
      </w:r>
    </w:p>
    <w:p w14:paraId="182EB67C" w14:textId="77777777" w:rsidR="00CF39DE" w:rsidRPr="004408A1" w:rsidRDefault="00CF39DE" w:rsidP="00EE604A">
      <w:pPr>
        <w:spacing w:after="60" w:line="264" w:lineRule="auto"/>
        <w:jc w:val="both"/>
        <w:rPr>
          <w:sz w:val="22"/>
          <w:szCs w:val="22"/>
          <w:lang w:val="en-GB"/>
        </w:rPr>
      </w:pPr>
      <w:r w:rsidRPr="004408A1">
        <w:rPr>
          <w:sz w:val="22"/>
          <w:szCs w:val="22"/>
          <w:lang w:val="en-GB"/>
        </w:rPr>
        <w:t xml:space="preserve">The resolution encourages priority financing </w:t>
      </w:r>
      <w:r w:rsidR="00A127B4">
        <w:rPr>
          <w:sz w:val="22"/>
          <w:szCs w:val="22"/>
          <w:lang w:val="en-GB"/>
        </w:rPr>
        <w:t>for</w:t>
      </w:r>
      <w:r w:rsidR="00A127B4" w:rsidRPr="004408A1">
        <w:rPr>
          <w:sz w:val="22"/>
          <w:szCs w:val="22"/>
          <w:lang w:val="en-GB"/>
        </w:rPr>
        <w:t xml:space="preserve"> </w:t>
      </w:r>
      <w:r w:rsidRPr="004408A1">
        <w:rPr>
          <w:sz w:val="22"/>
          <w:szCs w:val="22"/>
          <w:lang w:val="en-GB"/>
        </w:rPr>
        <w:t>small-scale development projects and stresses the need for a project-based approach with a view to including local authorities, business communities, NGOs or other civil society organisations.</w:t>
      </w:r>
    </w:p>
    <w:p w14:paraId="531B7F40" w14:textId="77777777" w:rsidR="00CF39DE" w:rsidRPr="004408A1" w:rsidRDefault="00CF39DE" w:rsidP="00EE604A">
      <w:pPr>
        <w:spacing w:after="60" w:line="264" w:lineRule="auto"/>
        <w:jc w:val="both"/>
        <w:rPr>
          <w:sz w:val="22"/>
          <w:szCs w:val="22"/>
          <w:lang w:val="en-GB"/>
        </w:rPr>
      </w:pPr>
      <w:r w:rsidRPr="004408A1">
        <w:rPr>
          <w:sz w:val="22"/>
          <w:szCs w:val="22"/>
          <w:lang w:val="en-GB"/>
        </w:rPr>
        <w:t>It encourages the development of syn</w:t>
      </w:r>
      <w:r w:rsidR="009C716B" w:rsidRPr="004408A1">
        <w:rPr>
          <w:sz w:val="22"/>
          <w:szCs w:val="22"/>
          <w:lang w:val="en-GB"/>
        </w:rPr>
        <w:t>ergies between the various EU</w:t>
      </w:r>
      <w:r w:rsidRPr="004408A1">
        <w:rPr>
          <w:sz w:val="22"/>
          <w:szCs w:val="22"/>
          <w:lang w:val="en-GB"/>
        </w:rPr>
        <w:t xml:space="preserve"> policies that come into play in the Strategy, particularly the Structural Funds, the Research and Development Framework Programme and the Trans-European Transport Networks in order to ensure the sustainability of t</w:t>
      </w:r>
      <w:r w:rsidR="003F469B" w:rsidRPr="004408A1">
        <w:rPr>
          <w:sz w:val="22"/>
          <w:szCs w:val="22"/>
          <w:lang w:val="en-GB"/>
        </w:rPr>
        <w:t>he actions financed so that</w:t>
      </w:r>
      <w:r w:rsidRPr="004408A1">
        <w:rPr>
          <w:sz w:val="22"/>
          <w:szCs w:val="22"/>
          <w:lang w:val="en-GB"/>
        </w:rPr>
        <w:t xml:space="preserve"> opportunities created by one economic development initiative can be taken up by another, complementary initiative.</w:t>
      </w:r>
    </w:p>
    <w:p w14:paraId="60ED89AC" w14:textId="77777777" w:rsidR="00E65C40" w:rsidRPr="00002063" w:rsidRDefault="003951DF" w:rsidP="00E81C33">
      <w:pPr>
        <w:pStyle w:val="Heading3"/>
        <w:spacing w:before="360" w:after="240" w:line="264" w:lineRule="auto"/>
        <w:rPr>
          <w:b/>
          <w:sz w:val="28"/>
          <w:szCs w:val="28"/>
          <w:lang w:val="en-GB"/>
        </w:rPr>
      </w:pPr>
      <w:bookmarkStart w:id="15" w:name="_Toc423436271"/>
      <w:r>
        <w:rPr>
          <w:b/>
          <w:sz w:val="28"/>
          <w:szCs w:val="28"/>
          <w:lang w:val="en-GB"/>
        </w:rPr>
        <w:lastRenderedPageBreak/>
        <w:t xml:space="preserve">2.3 </w:t>
      </w:r>
      <w:r w:rsidR="00CC219A" w:rsidRPr="00002063">
        <w:rPr>
          <w:b/>
          <w:sz w:val="28"/>
          <w:szCs w:val="28"/>
          <w:lang w:val="en-GB"/>
        </w:rPr>
        <w:t>Other relevant EU policies and initiatives</w:t>
      </w:r>
      <w:bookmarkEnd w:id="15"/>
    </w:p>
    <w:p w14:paraId="13C77A02" w14:textId="77777777" w:rsidR="001949C1" w:rsidRPr="004408A1" w:rsidRDefault="001949C1" w:rsidP="00EE604A">
      <w:pPr>
        <w:spacing w:after="60" w:line="264" w:lineRule="auto"/>
        <w:jc w:val="both"/>
        <w:rPr>
          <w:sz w:val="22"/>
          <w:szCs w:val="22"/>
          <w:lang w:val="en-GB"/>
        </w:rPr>
      </w:pPr>
      <w:r w:rsidRPr="004408A1">
        <w:rPr>
          <w:sz w:val="22"/>
          <w:szCs w:val="22"/>
          <w:lang w:val="en-GB"/>
        </w:rPr>
        <w:t xml:space="preserve">Other </w:t>
      </w:r>
      <w:r w:rsidR="002810BA" w:rsidRPr="004408A1">
        <w:rPr>
          <w:sz w:val="22"/>
          <w:szCs w:val="22"/>
          <w:lang w:val="en-GB"/>
        </w:rPr>
        <w:t>key EU</w:t>
      </w:r>
      <w:r w:rsidR="00453BA8" w:rsidRPr="004408A1">
        <w:rPr>
          <w:sz w:val="22"/>
          <w:szCs w:val="22"/>
          <w:lang w:val="en-GB"/>
        </w:rPr>
        <w:t xml:space="preserve"> strategies and</w:t>
      </w:r>
      <w:r w:rsidR="002810BA" w:rsidRPr="004408A1">
        <w:rPr>
          <w:sz w:val="22"/>
          <w:szCs w:val="22"/>
          <w:lang w:val="en-GB"/>
        </w:rPr>
        <w:t xml:space="preserve"> </w:t>
      </w:r>
      <w:r w:rsidR="00453BA8" w:rsidRPr="004408A1">
        <w:rPr>
          <w:sz w:val="22"/>
          <w:szCs w:val="22"/>
          <w:lang w:val="en-GB"/>
        </w:rPr>
        <w:t>policies</w:t>
      </w:r>
      <w:r w:rsidR="002260F5" w:rsidRPr="004408A1">
        <w:rPr>
          <w:sz w:val="22"/>
          <w:szCs w:val="22"/>
          <w:lang w:val="en-GB"/>
        </w:rPr>
        <w:t xml:space="preserve"> to take into </w:t>
      </w:r>
      <w:proofErr w:type="spellStart"/>
      <w:r w:rsidR="002260F5" w:rsidRPr="004408A1">
        <w:rPr>
          <w:sz w:val="22"/>
          <w:szCs w:val="22"/>
          <w:lang w:val="en-GB"/>
        </w:rPr>
        <w:t>acccount</w:t>
      </w:r>
      <w:proofErr w:type="spellEnd"/>
      <w:r w:rsidR="002260F5" w:rsidRPr="004408A1">
        <w:rPr>
          <w:sz w:val="22"/>
          <w:szCs w:val="22"/>
          <w:lang w:val="en-GB"/>
        </w:rPr>
        <w:t xml:space="preserve"> in</w:t>
      </w:r>
      <w:r w:rsidR="005A0164" w:rsidRPr="004408A1">
        <w:rPr>
          <w:sz w:val="22"/>
          <w:szCs w:val="22"/>
          <w:lang w:val="en-GB"/>
        </w:rPr>
        <w:t xml:space="preserve"> ENI CBC</w:t>
      </w:r>
      <w:r w:rsidR="002260F5" w:rsidRPr="004408A1">
        <w:rPr>
          <w:sz w:val="22"/>
          <w:szCs w:val="22"/>
          <w:lang w:val="en-GB"/>
        </w:rPr>
        <w:t xml:space="preserve"> Black Sea Basin</w:t>
      </w:r>
      <w:r w:rsidRPr="004408A1">
        <w:rPr>
          <w:sz w:val="22"/>
          <w:szCs w:val="22"/>
          <w:lang w:val="en-GB"/>
        </w:rPr>
        <w:t xml:space="preserve"> strategy development</w:t>
      </w:r>
      <w:r w:rsidR="002260F5" w:rsidRPr="004408A1">
        <w:rPr>
          <w:sz w:val="22"/>
          <w:szCs w:val="22"/>
          <w:lang w:val="en-GB"/>
        </w:rPr>
        <w:t xml:space="preserve"> include the following</w:t>
      </w:r>
      <w:r w:rsidR="0066045A">
        <w:rPr>
          <w:sz w:val="22"/>
          <w:szCs w:val="22"/>
          <w:lang w:val="en-GB"/>
        </w:rPr>
        <w:t>.</w:t>
      </w:r>
    </w:p>
    <w:p w14:paraId="66A04F21" w14:textId="77777777" w:rsidR="0050376E" w:rsidRPr="004408A1" w:rsidRDefault="00480683" w:rsidP="00EE604A">
      <w:pPr>
        <w:spacing w:before="180" w:after="180" w:line="264" w:lineRule="auto"/>
        <w:rPr>
          <w:b/>
          <w:lang w:val="en-GB"/>
        </w:rPr>
      </w:pPr>
      <w:r w:rsidRPr="004408A1">
        <w:rPr>
          <w:b/>
          <w:lang w:val="en-GB"/>
        </w:rPr>
        <w:t>Eastern P</w:t>
      </w:r>
      <w:r w:rsidR="009C7C9A" w:rsidRPr="004408A1">
        <w:rPr>
          <w:b/>
          <w:lang w:val="en-GB"/>
        </w:rPr>
        <w:t>artnership </w:t>
      </w:r>
    </w:p>
    <w:p w14:paraId="2F088BDE" w14:textId="77777777" w:rsidR="009C7C9A" w:rsidRPr="004408A1" w:rsidRDefault="0050376E" w:rsidP="00EE604A">
      <w:pPr>
        <w:spacing w:after="60" w:line="264" w:lineRule="auto"/>
        <w:jc w:val="both"/>
        <w:rPr>
          <w:sz w:val="22"/>
          <w:szCs w:val="22"/>
          <w:lang w:val="en-GB"/>
        </w:rPr>
      </w:pPr>
      <w:r w:rsidRPr="004408A1">
        <w:rPr>
          <w:sz w:val="22"/>
          <w:szCs w:val="22"/>
          <w:lang w:val="en-GB"/>
        </w:rPr>
        <w:t>R</w:t>
      </w:r>
      <w:r w:rsidR="009C7C9A" w:rsidRPr="004408A1">
        <w:rPr>
          <w:sz w:val="22"/>
          <w:szCs w:val="22"/>
          <w:lang w:val="en-GB"/>
        </w:rPr>
        <w:t xml:space="preserve">epresenting the Eastern dimension of the </w:t>
      </w:r>
      <w:r w:rsidR="009C7C9A" w:rsidRPr="004408A1">
        <w:rPr>
          <w:b/>
          <w:sz w:val="22"/>
          <w:szCs w:val="22"/>
          <w:lang w:val="en-GB"/>
        </w:rPr>
        <w:t xml:space="preserve">European </w:t>
      </w:r>
      <w:proofErr w:type="spellStart"/>
      <w:r w:rsidR="009C7C9A" w:rsidRPr="004408A1">
        <w:rPr>
          <w:b/>
          <w:sz w:val="22"/>
          <w:szCs w:val="22"/>
          <w:lang w:val="en-GB"/>
        </w:rPr>
        <w:t>Neigbourhood</w:t>
      </w:r>
      <w:proofErr w:type="spellEnd"/>
      <w:r w:rsidR="009C7C9A" w:rsidRPr="004408A1">
        <w:rPr>
          <w:b/>
          <w:sz w:val="22"/>
          <w:szCs w:val="22"/>
          <w:lang w:val="en-GB"/>
        </w:rPr>
        <w:t xml:space="preserve"> Policy</w:t>
      </w:r>
      <w:r w:rsidR="009C7C9A" w:rsidRPr="004408A1">
        <w:rPr>
          <w:sz w:val="22"/>
          <w:szCs w:val="22"/>
          <w:lang w:val="en-GB"/>
        </w:rPr>
        <w:t>, this initiative was launched at the Prague summit in 2009</w:t>
      </w:r>
      <w:r w:rsidR="00A127B4">
        <w:rPr>
          <w:sz w:val="22"/>
          <w:szCs w:val="22"/>
          <w:lang w:val="en-GB"/>
        </w:rPr>
        <w:t xml:space="preserve"> and</w:t>
      </w:r>
      <w:r w:rsidR="009C7C9A" w:rsidRPr="004408A1">
        <w:rPr>
          <w:sz w:val="22"/>
          <w:szCs w:val="22"/>
          <w:lang w:val="en-GB"/>
        </w:rPr>
        <w:t xml:space="preserve"> </w:t>
      </w:r>
      <w:r w:rsidR="004F0D7B">
        <w:rPr>
          <w:sz w:val="22"/>
          <w:szCs w:val="22"/>
          <w:lang w:val="en-GB"/>
        </w:rPr>
        <w:t xml:space="preserve">was </w:t>
      </w:r>
      <w:r w:rsidR="009C7C9A" w:rsidRPr="004408A1">
        <w:rPr>
          <w:sz w:val="22"/>
          <w:szCs w:val="22"/>
          <w:lang w:val="en-GB"/>
        </w:rPr>
        <w:t xml:space="preserve">reaffirmed in 2011 and 2013. It aims to deepen and strengthen relations between the European Union and its </w:t>
      </w:r>
      <w:r w:rsidR="00A127B4">
        <w:rPr>
          <w:sz w:val="22"/>
          <w:szCs w:val="22"/>
          <w:lang w:val="en-GB"/>
        </w:rPr>
        <w:t>six</w:t>
      </w:r>
      <w:r w:rsidR="00A127B4" w:rsidRPr="004408A1">
        <w:rPr>
          <w:sz w:val="22"/>
          <w:szCs w:val="22"/>
          <w:lang w:val="en-GB"/>
        </w:rPr>
        <w:t xml:space="preserve"> </w:t>
      </w:r>
      <w:r w:rsidR="009C7C9A" w:rsidRPr="004408A1">
        <w:rPr>
          <w:sz w:val="22"/>
          <w:szCs w:val="22"/>
          <w:lang w:val="en-GB"/>
        </w:rPr>
        <w:t>Eastern neighbours</w:t>
      </w:r>
      <w:r w:rsidR="00A127B4">
        <w:rPr>
          <w:sz w:val="22"/>
          <w:szCs w:val="22"/>
          <w:lang w:val="en-GB"/>
        </w:rPr>
        <w:t>,</w:t>
      </w:r>
      <w:r w:rsidR="009C7C9A" w:rsidRPr="004408A1">
        <w:rPr>
          <w:sz w:val="22"/>
          <w:szCs w:val="22"/>
          <w:lang w:val="en-GB"/>
        </w:rPr>
        <w:t xml:space="preserve"> Armenia, Azerbaijan, Belarus, Georgia, Moldova and Ukraine. The main objective is to support political and socio-economic reforms in partner countries to:</w:t>
      </w:r>
    </w:p>
    <w:p w14:paraId="75EA862F" w14:textId="77777777" w:rsidR="009C7C9A" w:rsidRPr="004408A1" w:rsidRDefault="001B75A5" w:rsidP="007426FD">
      <w:pPr>
        <w:widowControl w:val="0"/>
        <w:numPr>
          <w:ilvl w:val="0"/>
          <w:numId w:val="5"/>
        </w:numPr>
        <w:tabs>
          <w:tab w:val="left" w:pos="220"/>
          <w:tab w:val="left" w:pos="720"/>
        </w:tabs>
        <w:autoSpaceDE w:val="0"/>
        <w:autoSpaceDN w:val="0"/>
        <w:adjustRightInd w:val="0"/>
        <w:spacing w:after="0" w:line="264" w:lineRule="auto"/>
        <w:rPr>
          <w:rFonts w:cs="Verdana"/>
          <w:sz w:val="22"/>
          <w:szCs w:val="22"/>
          <w:lang w:val="en-GB"/>
        </w:rPr>
      </w:pPr>
      <w:r w:rsidRPr="004408A1">
        <w:rPr>
          <w:rFonts w:cs="Verdana"/>
          <w:sz w:val="22"/>
          <w:szCs w:val="22"/>
          <w:lang w:val="en-GB"/>
        </w:rPr>
        <w:t>F</w:t>
      </w:r>
      <w:r w:rsidR="009C7C9A" w:rsidRPr="004408A1">
        <w:rPr>
          <w:rFonts w:cs="Verdana"/>
          <w:sz w:val="22"/>
          <w:szCs w:val="22"/>
          <w:lang w:val="en-GB"/>
        </w:rPr>
        <w:t>oster political association and further economic integration</w:t>
      </w:r>
    </w:p>
    <w:p w14:paraId="412A9E4D" w14:textId="77777777" w:rsidR="009C7C9A" w:rsidRPr="00EA42F2" w:rsidRDefault="001B75A5" w:rsidP="007426FD">
      <w:pPr>
        <w:widowControl w:val="0"/>
        <w:numPr>
          <w:ilvl w:val="0"/>
          <w:numId w:val="5"/>
        </w:numPr>
        <w:tabs>
          <w:tab w:val="left" w:pos="220"/>
          <w:tab w:val="left" w:pos="720"/>
        </w:tabs>
        <w:autoSpaceDE w:val="0"/>
        <w:autoSpaceDN w:val="0"/>
        <w:adjustRightInd w:val="0"/>
        <w:spacing w:after="0" w:line="264" w:lineRule="auto"/>
        <w:rPr>
          <w:rFonts w:cs="Verdana"/>
          <w:sz w:val="22"/>
          <w:szCs w:val="22"/>
          <w:lang w:val="en-GB"/>
        </w:rPr>
      </w:pPr>
      <w:r w:rsidRPr="00EA42F2">
        <w:rPr>
          <w:rFonts w:cs="Verdana"/>
          <w:sz w:val="22"/>
          <w:szCs w:val="22"/>
          <w:lang w:val="en-GB"/>
        </w:rPr>
        <w:t>S</w:t>
      </w:r>
      <w:r w:rsidR="009C7C9A" w:rsidRPr="00EA42F2">
        <w:rPr>
          <w:rFonts w:cs="Verdana"/>
          <w:sz w:val="22"/>
          <w:szCs w:val="22"/>
          <w:lang w:val="en-GB"/>
        </w:rPr>
        <w:t>upport mobility of citizens and visa liberalisation as a long term goal</w:t>
      </w:r>
    </w:p>
    <w:p w14:paraId="1B07D91A" w14:textId="77777777" w:rsidR="009C7C9A" w:rsidRPr="0034253F" w:rsidRDefault="001B75A5" w:rsidP="007426FD">
      <w:pPr>
        <w:widowControl w:val="0"/>
        <w:numPr>
          <w:ilvl w:val="0"/>
          <w:numId w:val="5"/>
        </w:numPr>
        <w:tabs>
          <w:tab w:val="left" w:pos="220"/>
          <w:tab w:val="left" w:pos="720"/>
        </w:tabs>
        <w:autoSpaceDE w:val="0"/>
        <w:autoSpaceDN w:val="0"/>
        <w:adjustRightInd w:val="0"/>
        <w:spacing w:after="0" w:line="264" w:lineRule="auto"/>
        <w:rPr>
          <w:rFonts w:cs="Verdana"/>
          <w:sz w:val="22"/>
          <w:szCs w:val="22"/>
        </w:rPr>
      </w:pPr>
      <w:proofErr w:type="spellStart"/>
      <w:r>
        <w:rPr>
          <w:rFonts w:cs="Verdana"/>
          <w:sz w:val="22"/>
          <w:szCs w:val="22"/>
        </w:rPr>
        <w:t>E</w:t>
      </w:r>
      <w:r w:rsidR="009C7C9A" w:rsidRPr="0034253F">
        <w:rPr>
          <w:rFonts w:cs="Verdana"/>
          <w:sz w:val="22"/>
          <w:szCs w:val="22"/>
        </w:rPr>
        <w:t>nhance</w:t>
      </w:r>
      <w:proofErr w:type="spellEnd"/>
      <w:r w:rsidR="009C7C9A" w:rsidRPr="0034253F">
        <w:rPr>
          <w:rFonts w:cs="Verdana"/>
          <w:sz w:val="22"/>
          <w:szCs w:val="22"/>
        </w:rPr>
        <w:t xml:space="preserve"> </w:t>
      </w:r>
      <w:proofErr w:type="spellStart"/>
      <w:r w:rsidR="009C7C9A" w:rsidRPr="0034253F">
        <w:rPr>
          <w:rFonts w:cs="Verdana"/>
          <w:sz w:val="22"/>
          <w:szCs w:val="22"/>
        </w:rPr>
        <w:t>sector</w:t>
      </w:r>
      <w:proofErr w:type="spellEnd"/>
      <w:r w:rsidR="009C7C9A" w:rsidRPr="0034253F">
        <w:rPr>
          <w:rFonts w:cs="Verdana"/>
          <w:sz w:val="22"/>
          <w:szCs w:val="22"/>
        </w:rPr>
        <w:t xml:space="preserve"> </w:t>
      </w:r>
      <w:proofErr w:type="spellStart"/>
      <w:r w:rsidR="009C7C9A" w:rsidRPr="0034253F">
        <w:rPr>
          <w:rFonts w:cs="Verdana"/>
          <w:sz w:val="22"/>
          <w:szCs w:val="22"/>
        </w:rPr>
        <w:t>cooperation</w:t>
      </w:r>
      <w:proofErr w:type="spellEnd"/>
    </w:p>
    <w:p w14:paraId="172067DB" w14:textId="77777777" w:rsidR="009C7C9A" w:rsidRPr="00C04013" w:rsidRDefault="001B75A5" w:rsidP="007426FD">
      <w:pPr>
        <w:pStyle w:val="ListParagraph"/>
        <w:widowControl w:val="0"/>
        <w:numPr>
          <w:ilvl w:val="0"/>
          <w:numId w:val="5"/>
        </w:numPr>
        <w:autoSpaceDE w:val="0"/>
        <w:autoSpaceDN w:val="0"/>
        <w:adjustRightInd w:val="0"/>
        <w:spacing w:after="60" w:line="264" w:lineRule="auto"/>
        <w:ind w:left="714" w:hanging="357"/>
        <w:jc w:val="both"/>
        <w:rPr>
          <w:rFonts w:cs="Times New Roman"/>
          <w:sz w:val="22"/>
          <w:szCs w:val="22"/>
        </w:rPr>
      </w:pPr>
      <w:r>
        <w:rPr>
          <w:rFonts w:cs="Verdana"/>
          <w:sz w:val="22"/>
          <w:szCs w:val="22"/>
        </w:rPr>
        <w:t>S</w:t>
      </w:r>
      <w:r w:rsidR="009C7C9A" w:rsidRPr="0034253F">
        <w:rPr>
          <w:rFonts w:cs="Verdana"/>
          <w:sz w:val="22"/>
          <w:szCs w:val="22"/>
        </w:rPr>
        <w:t>upport civil society</w:t>
      </w:r>
    </w:p>
    <w:p w14:paraId="513CF2E2" w14:textId="77777777" w:rsidR="00112CC3" w:rsidRPr="004408A1" w:rsidRDefault="00112CC3" w:rsidP="00EE604A">
      <w:pPr>
        <w:spacing w:after="60" w:line="264" w:lineRule="auto"/>
        <w:jc w:val="both"/>
        <w:rPr>
          <w:sz w:val="22"/>
          <w:szCs w:val="22"/>
          <w:lang w:val="en-GB"/>
        </w:rPr>
      </w:pPr>
      <w:r w:rsidRPr="004408A1">
        <w:rPr>
          <w:sz w:val="22"/>
          <w:szCs w:val="22"/>
          <w:lang w:val="en-GB"/>
        </w:rPr>
        <w:t>I</w:t>
      </w:r>
      <w:r w:rsidR="00C72B16" w:rsidRPr="004408A1">
        <w:rPr>
          <w:sz w:val="22"/>
          <w:szCs w:val="22"/>
          <w:lang w:val="en-GB"/>
        </w:rPr>
        <w:t>t i</w:t>
      </w:r>
      <w:r w:rsidRPr="004408A1">
        <w:rPr>
          <w:sz w:val="22"/>
          <w:szCs w:val="22"/>
          <w:lang w:val="en-GB"/>
        </w:rPr>
        <w:t>ncludes four multi-lateral platforms focusing on:</w:t>
      </w:r>
    </w:p>
    <w:p w14:paraId="2A3E9607" w14:textId="77777777" w:rsidR="00112CC3" w:rsidRPr="00D52D3F" w:rsidRDefault="00112CC3" w:rsidP="007426FD">
      <w:pPr>
        <w:numPr>
          <w:ilvl w:val="0"/>
          <w:numId w:val="10"/>
        </w:numPr>
        <w:spacing w:after="0" w:line="264" w:lineRule="auto"/>
        <w:jc w:val="both"/>
        <w:rPr>
          <w:rFonts w:eastAsia="Calibri"/>
          <w:sz w:val="22"/>
          <w:szCs w:val="22"/>
          <w:lang w:val="en-GB"/>
        </w:rPr>
      </w:pPr>
      <w:r w:rsidRPr="00D52D3F">
        <w:rPr>
          <w:rFonts w:eastAsia="Calibri"/>
          <w:sz w:val="22"/>
          <w:szCs w:val="22"/>
          <w:lang w:val="en-GB"/>
        </w:rPr>
        <w:t xml:space="preserve">Democracy, Good governance and Stability </w:t>
      </w:r>
    </w:p>
    <w:p w14:paraId="3E0E60C9" w14:textId="77777777" w:rsidR="00014C13" w:rsidRPr="00D52D3F" w:rsidRDefault="00B90B49" w:rsidP="00014C13">
      <w:pPr>
        <w:numPr>
          <w:ilvl w:val="0"/>
          <w:numId w:val="10"/>
        </w:numPr>
        <w:spacing w:after="0" w:line="264" w:lineRule="auto"/>
        <w:ind w:left="714" w:hanging="357"/>
        <w:jc w:val="both"/>
        <w:rPr>
          <w:rFonts w:eastAsia="Calibri"/>
          <w:sz w:val="22"/>
          <w:szCs w:val="22"/>
          <w:lang w:val="en-GB"/>
        </w:rPr>
      </w:pPr>
      <w:r w:rsidRPr="00D52D3F">
        <w:rPr>
          <w:rFonts w:eastAsia="Calibri"/>
          <w:sz w:val="22"/>
          <w:szCs w:val="22"/>
          <w:lang w:val="en-GB"/>
        </w:rPr>
        <w:t>Economic Integration and Convergence with EU Policies</w:t>
      </w:r>
    </w:p>
    <w:p w14:paraId="48A3DB7B" w14:textId="77777777" w:rsidR="00112CC3" w:rsidRPr="00D52D3F" w:rsidRDefault="00112CC3" w:rsidP="007426FD">
      <w:pPr>
        <w:numPr>
          <w:ilvl w:val="0"/>
          <w:numId w:val="10"/>
        </w:numPr>
        <w:spacing w:after="0" w:line="264" w:lineRule="auto"/>
        <w:ind w:left="714" w:hanging="357"/>
        <w:jc w:val="both"/>
        <w:rPr>
          <w:rFonts w:eastAsia="Calibri"/>
          <w:sz w:val="22"/>
          <w:szCs w:val="22"/>
          <w:lang w:val="en-GB"/>
        </w:rPr>
      </w:pPr>
      <w:r w:rsidRPr="00D52D3F">
        <w:rPr>
          <w:rFonts w:eastAsia="Calibri"/>
          <w:sz w:val="22"/>
          <w:szCs w:val="22"/>
          <w:lang w:val="en-GB"/>
        </w:rPr>
        <w:t xml:space="preserve">Energy Security </w:t>
      </w:r>
    </w:p>
    <w:p w14:paraId="5127DD11" w14:textId="77777777" w:rsidR="002517BE" w:rsidRPr="00BE564F" w:rsidRDefault="00112CC3" w:rsidP="00BE564F">
      <w:pPr>
        <w:numPr>
          <w:ilvl w:val="0"/>
          <w:numId w:val="10"/>
        </w:numPr>
        <w:spacing w:after="0" w:line="264" w:lineRule="auto"/>
        <w:ind w:left="714" w:hanging="357"/>
        <w:jc w:val="both"/>
        <w:rPr>
          <w:rFonts w:eastAsia="Calibri"/>
          <w:sz w:val="22"/>
          <w:szCs w:val="22"/>
          <w:lang w:val="en-GB"/>
        </w:rPr>
      </w:pPr>
      <w:r w:rsidRPr="00D52D3F">
        <w:rPr>
          <w:rFonts w:eastAsia="Calibri"/>
          <w:sz w:val="22"/>
          <w:szCs w:val="22"/>
          <w:lang w:val="en-GB"/>
        </w:rPr>
        <w:t>Contacts between people</w:t>
      </w:r>
      <w:r w:rsidR="00FE0006">
        <w:rPr>
          <w:rStyle w:val="FootnoteReference"/>
          <w:rFonts w:eastAsia="Calibri"/>
          <w:sz w:val="22"/>
          <w:szCs w:val="22"/>
          <w:lang w:val="en-GB"/>
        </w:rPr>
        <w:footnoteReference w:id="17"/>
      </w:r>
    </w:p>
    <w:p w14:paraId="0158B7C9" w14:textId="77777777" w:rsidR="009C7C9A" w:rsidRPr="0050376E" w:rsidRDefault="00547859" w:rsidP="00EE604A">
      <w:pPr>
        <w:spacing w:before="180" w:after="180" w:line="264" w:lineRule="auto"/>
        <w:rPr>
          <w:b/>
        </w:rPr>
      </w:pPr>
      <w:r w:rsidRPr="0050376E">
        <w:rPr>
          <w:b/>
        </w:rPr>
        <w:t xml:space="preserve">Danube </w:t>
      </w:r>
      <w:proofErr w:type="spellStart"/>
      <w:r w:rsidRPr="0050376E">
        <w:rPr>
          <w:b/>
        </w:rPr>
        <w:t>Strategy</w:t>
      </w:r>
      <w:proofErr w:type="spellEnd"/>
    </w:p>
    <w:p w14:paraId="438F4EFE" w14:textId="77777777" w:rsidR="00E65C40" w:rsidRPr="004408A1" w:rsidRDefault="00F06F4B" w:rsidP="00EE604A">
      <w:pPr>
        <w:spacing w:after="60" w:line="264" w:lineRule="auto"/>
        <w:jc w:val="both"/>
        <w:rPr>
          <w:sz w:val="22"/>
          <w:szCs w:val="22"/>
          <w:lang w:val="en-GB"/>
        </w:rPr>
      </w:pPr>
      <w:r w:rsidRPr="004408A1">
        <w:rPr>
          <w:sz w:val="22"/>
          <w:szCs w:val="22"/>
          <w:lang w:val="en-GB"/>
        </w:rPr>
        <w:t xml:space="preserve">A </w:t>
      </w:r>
      <w:r w:rsidR="004E3E20" w:rsidRPr="004408A1">
        <w:rPr>
          <w:sz w:val="22"/>
          <w:szCs w:val="22"/>
          <w:lang w:val="en-GB"/>
        </w:rPr>
        <w:t xml:space="preserve">macro-regional </w:t>
      </w:r>
      <w:r w:rsidRPr="004408A1">
        <w:rPr>
          <w:sz w:val="22"/>
          <w:szCs w:val="22"/>
          <w:lang w:val="en-GB"/>
        </w:rPr>
        <w:t>strategy to boost the development of the Danube Region was proposed by the European Commission in 2010 and endorsed by the European Council on 13 April 2011</w:t>
      </w:r>
      <w:r w:rsidR="00423F0A" w:rsidRPr="004408A1">
        <w:rPr>
          <w:sz w:val="22"/>
          <w:szCs w:val="22"/>
          <w:lang w:val="en-GB"/>
        </w:rPr>
        <w:t>.</w:t>
      </w:r>
      <w:r w:rsidR="00EE3B3A" w:rsidRPr="004408A1">
        <w:rPr>
          <w:sz w:val="22"/>
          <w:szCs w:val="22"/>
          <w:lang w:val="en-GB"/>
        </w:rPr>
        <w:t xml:space="preserve"> The Strategy seeks to create synergies and coordination between existing policies and initiatives taking place across the Danube Region</w:t>
      </w:r>
      <w:r w:rsidR="00A657D3" w:rsidRPr="004408A1">
        <w:rPr>
          <w:sz w:val="22"/>
          <w:szCs w:val="22"/>
          <w:lang w:val="en-GB"/>
        </w:rPr>
        <w:t xml:space="preserve">, </w:t>
      </w:r>
      <w:r w:rsidR="00147D40" w:rsidRPr="004408A1">
        <w:rPr>
          <w:sz w:val="22"/>
          <w:szCs w:val="22"/>
          <w:lang w:val="en-GB"/>
        </w:rPr>
        <w:t xml:space="preserve">including </w:t>
      </w:r>
      <w:r w:rsidR="00785A2A" w:rsidRPr="004408A1">
        <w:rPr>
          <w:sz w:val="22"/>
          <w:szCs w:val="22"/>
          <w:lang w:val="en-GB"/>
        </w:rPr>
        <w:t xml:space="preserve">14 countries among which </w:t>
      </w:r>
      <w:r w:rsidR="00147D40" w:rsidRPr="004408A1">
        <w:rPr>
          <w:sz w:val="22"/>
          <w:szCs w:val="22"/>
          <w:lang w:val="en-GB"/>
        </w:rPr>
        <w:t>Bulgaria, Romania, Moldova and Ukraine</w:t>
      </w:r>
      <w:r w:rsidR="00F701E1">
        <w:rPr>
          <w:sz w:val="22"/>
          <w:szCs w:val="22"/>
          <w:lang w:val="en-GB"/>
        </w:rPr>
        <w:t xml:space="preserve"> are</w:t>
      </w:r>
      <w:r w:rsidR="00785A2A" w:rsidRPr="004408A1">
        <w:rPr>
          <w:sz w:val="22"/>
          <w:szCs w:val="22"/>
          <w:lang w:val="en-GB"/>
        </w:rPr>
        <w:t xml:space="preserve"> from </w:t>
      </w:r>
      <w:r w:rsidR="00A127B4">
        <w:rPr>
          <w:sz w:val="22"/>
          <w:szCs w:val="22"/>
          <w:lang w:val="en-GB"/>
        </w:rPr>
        <w:t xml:space="preserve">the </w:t>
      </w:r>
      <w:r w:rsidR="00785A2A" w:rsidRPr="004408A1">
        <w:rPr>
          <w:sz w:val="22"/>
          <w:szCs w:val="22"/>
          <w:lang w:val="en-GB"/>
        </w:rPr>
        <w:t>B</w:t>
      </w:r>
      <w:r w:rsidR="00A127B4">
        <w:rPr>
          <w:sz w:val="22"/>
          <w:szCs w:val="22"/>
          <w:lang w:val="en-GB"/>
        </w:rPr>
        <w:t xml:space="preserve">lack </w:t>
      </w:r>
      <w:r w:rsidR="00785A2A" w:rsidRPr="004408A1">
        <w:rPr>
          <w:sz w:val="22"/>
          <w:szCs w:val="22"/>
          <w:lang w:val="en-GB"/>
        </w:rPr>
        <w:t>S</w:t>
      </w:r>
      <w:r w:rsidR="00A127B4">
        <w:rPr>
          <w:sz w:val="22"/>
          <w:szCs w:val="22"/>
          <w:lang w:val="en-GB"/>
        </w:rPr>
        <w:t xml:space="preserve">ea </w:t>
      </w:r>
      <w:r w:rsidR="00785A2A" w:rsidRPr="004408A1">
        <w:rPr>
          <w:sz w:val="22"/>
          <w:szCs w:val="22"/>
          <w:lang w:val="en-GB"/>
        </w:rPr>
        <w:t>B</w:t>
      </w:r>
      <w:r w:rsidR="00A127B4">
        <w:rPr>
          <w:sz w:val="22"/>
          <w:szCs w:val="22"/>
          <w:lang w:val="en-GB"/>
        </w:rPr>
        <w:t>asin</w:t>
      </w:r>
      <w:r w:rsidR="00EE3B3A" w:rsidRPr="004408A1">
        <w:rPr>
          <w:sz w:val="22"/>
          <w:szCs w:val="22"/>
          <w:lang w:val="en-GB"/>
        </w:rPr>
        <w:t>.</w:t>
      </w:r>
    </w:p>
    <w:p w14:paraId="6BD65039" w14:textId="77777777" w:rsidR="002E0FBD" w:rsidRPr="004408A1" w:rsidRDefault="00D77CCE" w:rsidP="00EE604A">
      <w:pPr>
        <w:spacing w:after="60" w:line="264" w:lineRule="auto"/>
        <w:jc w:val="both"/>
        <w:rPr>
          <w:rFonts w:cs="Verdana"/>
          <w:sz w:val="22"/>
          <w:szCs w:val="22"/>
          <w:lang w:val="en-GB"/>
        </w:rPr>
      </w:pPr>
      <w:r w:rsidRPr="004408A1">
        <w:rPr>
          <w:sz w:val="22"/>
          <w:szCs w:val="22"/>
          <w:lang w:val="en-GB"/>
        </w:rPr>
        <w:t xml:space="preserve">The Danube Region Strategy addresses a wide range of issues, divided among 11 priority areas within </w:t>
      </w:r>
      <w:r w:rsidR="00A127B4">
        <w:rPr>
          <w:sz w:val="22"/>
          <w:szCs w:val="22"/>
          <w:lang w:val="en-GB"/>
        </w:rPr>
        <w:t>four</w:t>
      </w:r>
      <w:r w:rsidR="00A127B4" w:rsidRPr="004408A1">
        <w:rPr>
          <w:sz w:val="22"/>
          <w:szCs w:val="22"/>
          <w:lang w:val="en-GB"/>
        </w:rPr>
        <w:t xml:space="preserve"> </w:t>
      </w:r>
      <w:r w:rsidRPr="004408A1">
        <w:rPr>
          <w:sz w:val="22"/>
          <w:szCs w:val="22"/>
          <w:lang w:val="en-GB"/>
        </w:rPr>
        <w:t>pillars</w:t>
      </w:r>
      <w:r w:rsidR="002E49C8">
        <w:rPr>
          <w:sz w:val="22"/>
          <w:szCs w:val="22"/>
          <w:lang w:val="en-GB"/>
        </w:rPr>
        <w:t>,</w:t>
      </w:r>
      <w:r w:rsidR="00D224BA" w:rsidRPr="004408A1">
        <w:rPr>
          <w:rFonts w:cs="Verdana"/>
          <w:sz w:val="22"/>
          <w:szCs w:val="22"/>
          <w:lang w:val="en-GB"/>
        </w:rPr>
        <w:t xml:space="preserve"> connecting the region, protecting the environment, </w:t>
      </w:r>
      <w:r w:rsidR="007E3DDF" w:rsidRPr="004408A1">
        <w:rPr>
          <w:rFonts w:cs="Verdana"/>
          <w:sz w:val="22"/>
          <w:szCs w:val="22"/>
          <w:lang w:val="en-GB"/>
        </w:rPr>
        <w:t>building prosperity and</w:t>
      </w:r>
      <w:r w:rsidR="00D224BA" w:rsidRPr="004408A1">
        <w:rPr>
          <w:rFonts w:cs="Verdana"/>
          <w:sz w:val="22"/>
          <w:szCs w:val="22"/>
          <w:lang w:val="en-GB"/>
        </w:rPr>
        <w:t xml:space="preserve"> </w:t>
      </w:r>
      <w:proofErr w:type="spellStart"/>
      <w:r w:rsidR="00D224BA" w:rsidRPr="004408A1">
        <w:rPr>
          <w:rFonts w:cs="Verdana"/>
          <w:sz w:val="22"/>
          <w:szCs w:val="22"/>
          <w:lang w:val="en-GB"/>
        </w:rPr>
        <w:t>strenghtening</w:t>
      </w:r>
      <w:proofErr w:type="spellEnd"/>
      <w:r w:rsidR="00D224BA" w:rsidRPr="004408A1">
        <w:rPr>
          <w:rFonts w:cs="Verdana"/>
          <w:sz w:val="22"/>
          <w:szCs w:val="22"/>
          <w:lang w:val="en-GB"/>
        </w:rPr>
        <w:t xml:space="preserve"> the region</w:t>
      </w:r>
      <w:r w:rsidR="004F01EC">
        <w:rPr>
          <w:rStyle w:val="FootnoteReference"/>
          <w:rFonts w:cs="Verdana"/>
          <w:sz w:val="22"/>
          <w:szCs w:val="22"/>
        </w:rPr>
        <w:footnoteReference w:id="18"/>
      </w:r>
      <w:r w:rsidR="00D224BA" w:rsidRPr="004408A1">
        <w:rPr>
          <w:rFonts w:cs="Verdana"/>
          <w:sz w:val="22"/>
          <w:szCs w:val="22"/>
          <w:lang w:val="en-GB"/>
        </w:rPr>
        <w:t>.</w:t>
      </w:r>
    </w:p>
    <w:p w14:paraId="17D079DE" w14:textId="77777777" w:rsidR="0013115A" w:rsidRPr="004408A1" w:rsidRDefault="00935585" w:rsidP="00EE604A">
      <w:pPr>
        <w:spacing w:before="180" w:after="180" w:line="264" w:lineRule="auto"/>
        <w:rPr>
          <w:b/>
          <w:lang w:val="en-GB"/>
        </w:rPr>
      </w:pPr>
      <w:r>
        <w:rPr>
          <w:b/>
          <w:lang w:val="en-GB"/>
        </w:rPr>
        <w:t>Blue G</w:t>
      </w:r>
      <w:r w:rsidR="0013115A" w:rsidRPr="004408A1">
        <w:rPr>
          <w:b/>
          <w:lang w:val="en-GB"/>
        </w:rPr>
        <w:t>rowth</w:t>
      </w:r>
      <w:r>
        <w:rPr>
          <w:b/>
          <w:lang w:val="en-GB"/>
        </w:rPr>
        <w:t xml:space="preserve"> S</w:t>
      </w:r>
      <w:r w:rsidR="00A81E91" w:rsidRPr="004408A1">
        <w:rPr>
          <w:b/>
          <w:lang w:val="en-GB"/>
        </w:rPr>
        <w:t>trategy</w:t>
      </w:r>
    </w:p>
    <w:p w14:paraId="33E00780" w14:textId="77777777" w:rsidR="00E767FF" w:rsidRPr="004408A1" w:rsidRDefault="00E767FF" w:rsidP="00EE604A">
      <w:pPr>
        <w:spacing w:after="60" w:line="264" w:lineRule="auto"/>
        <w:jc w:val="both"/>
        <w:rPr>
          <w:rFonts w:eastAsia="Times New Roman" w:cs="Times New Roman"/>
          <w:sz w:val="22"/>
          <w:szCs w:val="22"/>
          <w:lang w:val="en-GB"/>
        </w:rPr>
      </w:pPr>
      <w:r w:rsidRPr="004408A1">
        <w:rPr>
          <w:rFonts w:eastAsia="Times New Roman" w:cs="Times New Roman"/>
          <w:sz w:val="22"/>
          <w:szCs w:val="22"/>
          <w:lang w:val="en-GB"/>
        </w:rPr>
        <w:t xml:space="preserve">The Blue Growth communication adopted in September 2012 is the maritime strand of the </w:t>
      </w:r>
      <w:r w:rsidR="00FE0006" w:rsidRPr="00D2074C">
        <w:rPr>
          <w:rFonts w:eastAsia="Times New Roman" w:cs="Times New Roman"/>
          <w:b/>
          <w:sz w:val="22"/>
          <w:szCs w:val="22"/>
          <w:lang w:val="en-GB"/>
        </w:rPr>
        <w:t xml:space="preserve">Europe </w:t>
      </w:r>
      <w:r w:rsidRPr="00D2074C">
        <w:rPr>
          <w:rFonts w:eastAsia="Times New Roman" w:cs="Times New Roman"/>
          <w:b/>
          <w:sz w:val="22"/>
          <w:szCs w:val="22"/>
          <w:lang w:val="en-GB"/>
        </w:rPr>
        <w:t>2020</w:t>
      </w:r>
      <w:r w:rsidRPr="004408A1">
        <w:rPr>
          <w:rFonts w:eastAsia="Times New Roman" w:cs="Times New Roman"/>
          <w:sz w:val="22"/>
          <w:szCs w:val="22"/>
          <w:lang w:val="en-GB"/>
        </w:rPr>
        <w:t xml:space="preserve"> </w:t>
      </w:r>
      <w:r w:rsidR="00FE0006">
        <w:rPr>
          <w:rFonts w:eastAsia="Times New Roman" w:cs="Times New Roman"/>
          <w:sz w:val="22"/>
          <w:szCs w:val="22"/>
          <w:lang w:val="en-GB"/>
        </w:rPr>
        <w:t>strategy (see below)</w:t>
      </w:r>
      <w:r w:rsidR="005B1E9C">
        <w:rPr>
          <w:rFonts w:eastAsia="Times New Roman" w:cs="Times New Roman"/>
          <w:sz w:val="22"/>
          <w:szCs w:val="22"/>
          <w:lang w:val="en-GB"/>
        </w:rPr>
        <w:t xml:space="preserve"> </w:t>
      </w:r>
      <w:r w:rsidRPr="004408A1">
        <w:rPr>
          <w:rFonts w:eastAsia="Times New Roman" w:cs="Times New Roman"/>
          <w:sz w:val="22"/>
          <w:szCs w:val="22"/>
          <w:lang w:val="en-GB"/>
        </w:rPr>
        <w:t xml:space="preserve">and an update of the </w:t>
      </w:r>
      <w:r w:rsidR="00A81E91" w:rsidRPr="004408A1">
        <w:rPr>
          <w:rFonts w:eastAsia="Times New Roman" w:cs="Times New Roman"/>
          <w:b/>
          <w:sz w:val="22"/>
          <w:szCs w:val="22"/>
          <w:lang w:val="en-GB"/>
        </w:rPr>
        <w:t>Integrated Maritime Policy</w:t>
      </w:r>
      <w:r w:rsidRPr="004408A1">
        <w:rPr>
          <w:rFonts w:eastAsia="Times New Roman" w:cs="Times New Roman"/>
          <w:sz w:val="22"/>
          <w:szCs w:val="22"/>
          <w:lang w:val="en-GB"/>
        </w:rPr>
        <w:t>.</w:t>
      </w:r>
    </w:p>
    <w:p w14:paraId="348C88C6" w14:textId="77777777" w:rsidR="00E767FF" w:rsidRPr="004408A1" w:rsidRDefault="00E767FF" w:rsidP="00014C13">
      <w:pPr>
        <w:spacing w:after="60" w:line="264" w:lineRule="auto"/>
        <w:jc w:val="both"/>
        <w:rPr>
          <w:rFonts w:eastAsia="Times New Roman" w:cs="Times New Roman"/>
          <w:sz w:val="22"/>
          <w:szCs w:val="22"/>
          <w:lang w:val="en-GB"/>
        </w:rPr>
      </w:pPr>
      <w:r w:rsidRPr="004408A1">
        <w:rPr>
          <w:rFonts w:eastAsia="Times New Roman" w:cs="Times New Roman"/>
          <w:sz w:val="22"/>
          <w:szCs w:val="22"/>
          <w:lang w:val="en-GB"/>
        </w:rPr>
        <w:t xml:space="preserve">This strategy consists of </w:t>
      </w:r>
      <w:r w:rsidR="002E49C8">
        <w:rPr>
          <w:rFonts w:eastAsia="Times New Roman" w:cs="Times New Roman"/>
          <w:sz w:val="22"/>
          <w:szCs w:val="22"/>
          <w:lang w:val="en-GB"/>
        </w:rPr>
        <w:t>three</w:t>
      </w:r>
      <w:r w:rsidR="002E49C8" w:rsidRPr="004408A1">
        <w:rPr>
          <w:rFonts w:eastAsia="Times New Roman" w:cs="Times New Roman"/>
          <w:sz w:val="22"/>
          <w:szCs w:val="22"/>
          <w:lang w:val="en-GB"/>
        </w:rPr>
        <w:t xml:space="preserve"> </w:t>
      </w:r>
      <w:r w:rsidRPr="004408A1">
        <w:rPr>
          <w:rFonts w:eastAsia="Times New Roman" w:cs="Times New Roman"/>
          <w:sz w:val="22"/>
          <w:szCs w:val="22"/>
          <w:lang w:val="en-GB"/>
        </w:rPr>
        <w:t>components:</w:t>
      </w:r>
    </w:p>
    <w:p w14:paraId="0E67F484" w14:textId="77777777" w:rsidR="00E767FF" w:rsidRPr="00014C13" w:rsidRDefault="00E767FF" w:rsidP="00EE745F">
      <w:pPr>
        <w:numPr>
          <w:ilvl w:val="0"/>
          <w:numId w:val="18"/>
        </w:numPr>
        <w:spacing w:after="0" w:line="264" w:lineRule="auto"/>
        <w:jc w:val="both"/>
        <w:rPr>
          <w:rFonts w:eastAsia="Calibri"/>
          <w:sz w:val="22"/>
          <w:szCs w:val="22"/>
          <w:lang w:val="en-GB"/>
        </w:rPr>
      </w:pPr>
      <w:r w:rsidRPr="00014C13">
        <w:rPr>
          <w:rFonts w:eastAsia="Calibri"/>
          <w:sz w:val="22"/>
          <w:szCs w:val="22"/>
          <w:lang w:val="en-GB"/>
        </w:rPr>
        <w:t>Targeted effort towards specific activities (focus areas) identified as being the most promising sectors for growth development</w:t>
      </w:r>
      <w:r w:rsidR="00232A6F" w:rsidRPr="00014C13">
        <w:rPr>
          <w:rFonts w:eastAsia="Calibri"/>
          <w:sz w:val="22"/>
          <w:szCs w:val="22"/>
          <w:lang w:val="en-GB"/>
        </w:rPr>
        <w:t>:</w:t>
      </w:r>
      <w:r w:rsidRPr="00014C13">
        <w:rPr>
          <w:rFonts w:eastAsia="Calibri"/>
          <w:sz w:val="22"/>
          <w:szCs w:val="22"/>
          <w:lang w:val="en-GB"/>
        </w:rPr>
        <w:t xml:space="preserve"> coastal tourism, blue energy, aquaculture, blue biotechnology</w:t>
      </w:r>
      <w:r w:rsidR="005B1E9C" w:rsidRPr="00014C13">
        <w:rPr>
          <w:rFonts w:eastAsia="Calibri"/>
          <w:sz w:val="22"/>
          <w:szCs w:val="22"/>
          <w:lang w:val="en-GB"/>
        </w:rPr>
        <w:t xml:space="preserve"> and</w:t>
      </w:r>
      <w:r w:rsidRPr="00014C13">
        <w:rPr>
          <w:rFonts w:eastAsia="Calibri"/>
          <w:sz w:val="22"/>
          <w:szCs w:val="22"/>
          <w:lang w:val="en-GB"/>
        </w:rPr>
        <w:t xml:space="preserve"> marine minerals mining. </w:t>
      </w:r>
    </w:p>
    <w:p w14:paraId="451C2499" w14:textId="77777777" w:rsidR="00E767FF" w:rsidRPr="00014C13" w:rsidRDefault="00E767FF" w:rsidP="00EE745F">
      <w:pPr>
        <w:numPr>
          <w:ilvl w:val="0"/>
          <w:numId w:val="18"/>
        </w:numPr>
        <w:spacing w:after="0" w:line="264" w:lineRule="auto"/>
        <w:jc w:val="both"/>
        <w:rPr>
          <w:rFonts w:eastAsia="Calibri"/>
          <w:sz w:val="22"/>
          <w:szCs w:val="22"/>
          <w:lang w:val="en-GB"/>
        </w:rPr>
      </w:pPr>
      <w:r w:rsidRPr="00014C13">
        <w:rPr>
          <w:rFonts w:eastAsia="Calibri"/>
          <w:sz w:val="22"/>
          <w:szCs w:val="22"/>
          <w:lang w:val="en-GB"/>
        </w:rPr>
        <w:t>Cross-cutting tools which are specific</w:t>
      </w:r>
      <w:r w:rsidR="005B1E9C" w:rsidRPr="00014C13">
        <w:rPr>
          <w:rFonts w:eastAsia="Calibri"/>
          <w:sz w:val="22"/>
          <w:szCs w:val="22"/>
          <w:lang w:val="en-GB"/>
        </w:rPr>
        <w:t>,</w:t>
      </w:r>
      <w:r w:rsidRPr="00014C13">
        <w:rPr>
          <w:rFonts w:eastAsia="Calibri"/>
          <w:sz w:val="22"/>
          <w:szCs w:val="22"/>
          <w:lang w:val="en-GB"/>
        </w:rPr>
        <w:t xml:space="preserve"> policy integrated measures across sectors</w:t>
      </w:r>
      <w:r w:rsidR="005B1E9C" w:rsidRPr="00014C13">
        <w:rPr>
          <w:rFonts w:eastAsia="Calibri"/>
          <w:sz w:val="22"/>
          <w:szCs w:val="22"/>
          <w:lang w:val="en-GB"/>
        </w:rPr>
        <w:t xml:space="preserve"> including</w:t>
      </w:r>
      <w:r w:rsidR="00A81E91" w:rsidRPr="00014C13">
        <w:rPr>
          <w:rFonts w:eastAsia="Calibri"/>
          <w:sz w:val="22"/>
          <w:szCs w:val="22"/>
          <w:lang w:val="en-GB"/>
        </w:rPr>
        <w:t xml:space="preserve"> Maritime Spatial Planning</w:t>
      </w:r>
      <w:r w:rsidRPr="00014C13">
        <w:rPr>
          <w:rFonts w:eastAsia="Calibri"/>
          <w:sz w:val="22"/>
          <w:szCs w:val="22"/>
          <w:lang w:val="en-GB"/>
        </w:rPr>
        <w:t xml:space="preserve">, </w:t>
      </w:r>
      <w:r w:rsidR="00D57341" w:rsidRPr="00014C13">
        <w:rPr>
          <w:rFonts w:eastAsia="Calibri"/>
          <w:sz w:val="22"/>
          <w:szCs w:val="22"/>
          <w:lang w:val="en-GB"/>
        </w:rPr>
        <w:t xml:space="preserve">Integrated Coastal Management, </w:t>
      </w:r>
      <w:r w:rsidRPr="00014C13">
        <w:rPr>
          <w:rFonts w:eastAsia="Calibri"/>
          <w:sz w:val="22"/>
          <w:szCs w:val="22"/>
          <w:lang w:val="en-GB"/>
        </w:rPr>
        <w:t>Marine Knowledge 2020 initiative and maritime surveillance.</w:t>
      </w:r>
    </w:p>
    <w:p w14:paraId="63B4E7B5" w14:textId="77777777" w:rsidR="00E767FF" w:rsidRPr="004408A1" w:rsidRDefault="00E767FF" w:rsidP="00EE745F">
      <w:pPr>
        <w:numPr>
          <w:ilvl w:val="0"/>
          <w:numId w:val="18"/>
        </w:numPr>
        <w:spacing w:after="60" w:line="264" w:lineRule="auto"/>
        <w:ind w:left="714" w:hanging="357"/>
        <w:jc w:val="both"/>
        <w:rPr>
          <w:rFonts w:eastAsia="Times New Roman" w:cs="Times New Roman"/>
          <w:sz w:val="22"/>
          <w:szCs w:val="22"/>
          <w:lang w:val="en-GB"/>
        </w:rPr>
      </w:pPr>
      <w:r w:rsidRPr="00014C13">
        <w:rPr>
          <w:rFonts w:eastAsia="Calibri"/>
          <w:sz w:val="22"/>
          <w:szCs w:val="22"/>
          <w:lang w:val="en-GB"/>
        </w:rPr>
        <w:t xml:space="preserve"> Sea-basin strategies</w:t>
      </w:r>
      <w:r w:rsidR="00E52D7A" w:rsidRPr="00D2074C">
        <w:rPr>
          <w:vertAlign w:val="superscript"/>
          <w:lang w:val="en-GB"/>
        </w:rPr>
        <w:footnoteReference w:id="19"/>
      </w:r>
    </w:p>
    <w:p w14:paraId="2E29FAB3" w14:textId="77777777" w:rsidR="00E767FF" w:rsidRPr="004408A1" w:rsidRDefault="00E767FF" w:rsidP="00EE604A">
      <w:pPr>
        <w:spacing w:after="60" w:line="264" w:lineRule="auto"/>
        <w:jc w:val="both"/>
        <w:rPr>
          <w:rFonts w:eastAsia="Times New Roman" w:cs="Times New Roman"/>
          <w:sz w:val="22"/>
          <w:szCs w:val="22"/>
          <w:lang w:val="en-GB"/>
        </w:rPr>
      </w:pPr>
      <w:r w:rsidRPr="004408A1">
        <w:rPr>
          <w:rFonts w:eastAsia="Times New Roman" w:cs="Times New Roman"/>
          <w:sz w:val="22"/>
          <w:szCs w:val="22"/>
          <w:lang w:val="en-GB"/>
        </w:rPr>
        <w:lastRenderedPageBreak/>
        <w:t>Other aspects that are crucial for a sustainable growth in the blue economy are the developmen</w:t>
      </w:r>
      <w:r w:rsidR="00DD0198">
        <w:rPr>
          <w:rFonts w:eastAsia="Times New Roman" w:cs="Times New Roman"/>
          <w:sz w:val="22"/>
          <w:szCs w:val="22"/>
          <w:lang w:val="en-GB"/>
        </w:rPr>
        <w:t>t of the appropriate skills,</w:t>
      </w:r>
      <w:r w:rsidRPr="004408A1">
        <w:rPr>
          <w:rFonts w:eastAsia="Times New Roman" w:cs="Times New Roman"/>
          <w:sz w:val="22"/>
          <w:szCs w:val="22"/>
          <w:lang w:val="en-GB"/>
        </w:rPr>
        <w:t xml:space="preserve"> mari</w:t>
      </w:r>
      <w:r w:rsidR="00DD0198">
        <w:rPr>
          <w:rFonts w:eastAsia="Times New Roman" w:cs="Times New Roman"/>
          <w:sz w:val="22"/>
          <w:szCs w:val="22"/>
          <w:lang w:val="en-GB"/>
        </w:rPr>
        <w:t>ne and maritime research and</w:t>
      </w:r>
      <w:r w:rsidRPr="004408A1">
        <w:rPr>
          <w:rFonts w:eastAsia="Times New Roman" w:cs="Times New Roman"/>
          <w:sz w:val="22"/>
          <w:szCs w:val="22"/>
          <w:lang w:val="en-GB"/>
        </w:rPr>
        <w:t xml:space="preserve"> access to finance.</w:t>
      </w:r>
    </w:p>
    <w:p w14:paraId="1B8366BE" w14:textId="77777777" w:rsidR="0013115A" w:rsidRPr="004408A1" w:rsidRDefault="003A05EC" w:rsidP="00EE604A">
      <w:pPr>
        <w:pStyle w:val="Default"/>
        <w:spacing w:after="60" w:line="264" w:lineRule="auto"/>
        <w:jc w:val="both"/>
        <w:rPr>
          <w:rFonts w:asciiTheme="minorHAnsi" w:hAnsiTheme="minorHAnsi"/>
          <w:sz w:val="22"/>
          <w:szCs w:val="22"/>
          <w:lang w:val="en-GB"/>
        </w:rPr>
      </w:pPr>
      <w:r w:rsidRPr="004408A1">
        <w:rPr>
          <w:rFonts w:asciiTheme="minorHAnsi" w:hAnsiTheme="minorHAnsi"/>
          <w:bCs/>
          <w:sz w:val="22"/>
          <w:szCs w:val="22"/>
          <w:lang w:val="en-GB"/>
        </w:rPr>
        <w:t>The EC extended the dialogue on s</w:t>
      </w:r>
      <w:r w:rsidR="0013115A" w:rsidRPr="004408A1">
        <w:rPr>
          <w:rFonts w:asciiTheme="minorHAnsi" w:hAnsiTheme="minorHAnsi"/>
          <w:bCs/>
          <w:sz w:val="22"/>
          <w:szCs w:val="22"/>
          <w:lang w:val="en-GB"/>
        </w:rPr>
        <w:t xml:space="preserve">ustainable development of the blue economy of the </w:t>
      </w:r>
      <w:r w:rsidR="0013115A" w:rsidRPr="004408A1">
        <w:rPr>
          <w:rFonts w:asciiTheme="minorHAnsi" w:hAnsiTheme="minorHAnsi"/>
          <w:sz w:val="22"/>
          <w:szCs w:val="22"/>
          <w:lang w:val="en-GB"/>
        </w:rPr>
        <w:t xml:space="preserve">Black Sea </w:t>
      </w:r>
      <w:r w:rsidR="005B1E9C" w:rsidRPr="004408A1">
        <w:rPr>
          <w:rFonts w:asciiTheme="minorHAnsi" w:hAnsiTheme="minorHAnsi"/>
          <w:bCs/>
          <w:sz w:val="22"/>
          <w:szCs w:val="22"/>
          <w:lang w:val="en-GB"/>
        </w:rPr>
        <w:t xml:space="preserve">to all Black Sea countries </w:t>
      </w:r>
      <w:r w:rsidRPr="004408A1">
        <w:rPr>
          <w:rFonts w:asciiTheme="minorHAnsi" w:hAnsiTheme="minorHAnsi"/>
          <w:sz w:val="22"/>
          <w:szCs w:val="22"/>
          <w:lang w:val="en-GB"/>
        </w:rPr>
        <w:t xml:space="preserve">during a conference held in </w:t>
      </w:r>
      <w:r w:rsidR="0013115A" w:rsidRPr="004408A1">
        <w:rPr>
          <w:rFonts w:asciiTheme="minorHAnsi" w:hAnsiTheme="minorHAnsi"/>
          <w:sz w:val="22"/>
          <w:szCs w:val="22"/>
          <w:lang w:val="en-GB"/>
        </w:rPr>
        <w:t xml:space="preserve">Bucharest, Romania </w:t>
      </w:r>
      <w:r w:rsidRPr="004408A1">
        <w:rPr>
          <w:rFonts w:asciiTheme="minorHAnsi" w:hAnsiTheme="minorHAnsi"/>
          <w:sz w:val="22"/>
          <w:szCs w:val="22"/>
          <w:lang w:val="en-GB"/>
        </w:rPr>
        <w:t xml:space="preserve">on </w:t>
      </w:r>
      <w:r w:rsidR="0013115A" w:rsidRPr="004408A1">
        <w:rPr>
          <w:rFonts w:asciiTheme="minorHAnsi" w:hAnsiTheme="minorHAnsi"/>
          <w:sz w:val="22"/>
          <w:szCs w:val="22"/>
          <w:lang w:val="en-GB"/>
        </w:rPr>
        <w:t>30 January 2014</w:t>
      </w:r>
      <w:r w:rsidRPr="004408A1">
        <w:rPr>
          <w:rFonts w:asciiTheme="minorHAnsi" w:hAnsiTheme="minorHAnsi"/>
          <w:sz w:val="22"/>
          <w:szCs w:val="22"/>
          <w:lang w:val="en-GB"/>
        </w:rPr>
        <w:t>.</w:t>
      </w:r>
      <w:r w:rsidR="00341177" w:rsidRPr="004408A1">
        <w:rPr>
          <w:rFonts w:asciiTheme="minorHAnsi" w:hAnsiTheme="minorHAnsi"/>
          <w:sz w:val="22"/>
          <w:szCs w:val="22"/>
          <w:lang w:val="en-GB"/>
        </w:rPr>
        <w:t xml:space="preserve"> </w:t>
      </w:r>
    </w:p>
    <w:p w14:paraId="1B0945F7" w14:textId="77777777" w:rsidR="00E35982" w:rsidRPr="004408A1" w:rsidRDefault="00F26906" w:rsidP="00EE604A">
      <w:pPr>
        <w:spacing w:before="180" w:after="180" w:line="264" w:lineRule="auto"/>
        <w:rPr>
          <w:b/>
          <w:lang w:val="en-GB"/>
        </w:rPr>
      </w:pPr>
      <w:r w:rsidRPr="004408A1">
        <w:rPr>
          <w:b/>
          <w:lang w:val="en-GB"/>
        </w:rPr>
        <w:t>Europe 2020</w:t>
      </w:r>
    </w:p>
    <w:p w14:paraId="4DCDDE62" w14:textId="77777777" w:rsidR="006B2353" w:rsidRPr="004408A1" w:rsidRDefault="00F26906" w:rsidP="00EE604A">
      <w:pPr>
        <w:spacing w:after="60" w:line="264" w:lineRule="auto"/>
        <w:jc w:val="both"/>
        <w:rPr>
          <w:rFonts w:eastAsia="Times New Roman" w:cs="Times New Roman"/>
          <w:sz w:val="22"/>
          <w:szCs w:val="22"/>
          <w:lang w:val="en-GB"/>
        </w:rPr>
      </w:pPr>
      <w:r w:rsidRPr="004408A1">
        <w:rPr>
          <w:rFonts w:eastAsia="Times New Roman" w:cs="Times New Roman"/>
          <w:sz w:val="22"/>
          <w:szCs w:val="22"/>
          <w:lang w:val="en-GB"/>
        </w:rPr>
        <w:t xml:space="preserve">Europe 2020 is the EU’s ten-year growth and jobs strategy launched in 2010. It </w:t>
      </w:r>
      <w:r w:rsidR="00BD17F5" w:rsidRPr="004408A1">
        <w:rPr>
          <w:rFonts w:eastAsia="Times New Roman" w:cs="Times New Roman"/>
          <w:sz w:val="22"/>
          <w:szCs w:val="22"/>
          <w:lang w:val="en-GB"/>
        </w:rPr>
        <w:t>aims to create</w:t>
      </w:r>
      <w:r w:rsidR="004A7D2E" w:rsidRPr="004408A1">
        <w:rPr>
          <w:rFonts w:eastAsia="Times New Roman" w:cs="Times New Roman"/>
          <w:sz w:val="22"/>
          <w:szCs w:val="22"/>
          <w:lang w:val="en-GB"/>
        </w:rPr>
        <w:t xml:space="preserve"> within the EU</w:t>
      </w:r>
      <w:r w:rsidRPr="004408A1">
        <w:rPr>
          <w:rFonts w:eastAsia="Times New Roman" w:cs="Times New Roman"/>
          <w:sz w:val="22"/>
          <w:szCs w:val="22"/>
          <w:lang w:val="en-GB"/>
        </w:rPr>
        <w:t xml:space="preserve"> the conditions for </w:t>
      </w:r>
      <w:r w:rsidR="007E5D7C" w:rsidRPr="004408A1">
        <w:rPr>
          <w:rFonts w:eastAsia="Times New Roman" w:cs="Times New Roman"/>
          <w:sz w:val="22"/>
          <w:szCs w:val="22"/>
          <w:lang w:val="en-GB"/>
        </w:rPr>
        <w:t>economic growth</w:t>
      </w:r>
      <w:r w:rsidR="005B1E9C">
        <w:rPr>
          <w:rFonts w:eastAsia="Times New Roman" w:cs="Times New Roman"/>
          <w:sz w:val="22"/>
          <w:szCs w:val="22"/>
          <w:lang w:val="en-GB"/>
        </w:rPr>
        <w:t>:</w:t>
      </w:r>
      <w:r w:rsidR="007E5D7C" w:rsidRPr="004408A1">
        <w:rPr>
          <w:rFonts w:eastAsia="Times New Roman" w:cs="Times New Roman"/>
          <w:sz w:val="22"/>
          <w:szCs w:val="22"/>
          <w:lang w:val="en-GB"/>
        </w:rPr>
        <w:t xml:space="preserve">  </w:t>
      </w:r>
    </w:p>
    <w:p w14:paraId="6DD944A5" w14:textId="77777777" w:rsidR="006B2353" w:rsidRPr="00B16EF2" w:rsidRDefault="006B2353" w:rsidP="007426FD">
      <w:pPr>
        <w:widowControl w:val="0"/>
        <w:numPr>
          <w:ilvl w:val="0"/>
          <w:numId w:val="5"/>
        </w:numPr>
        <w:tabs>
          <w:tab w:val="left" w:pos="220"/>
          <w:tab w:val="left" w:pos="720"/>
        </w:tabs>
        <w:autoSpaceDE w:val="0"/>
        <w:autoSpaceDN w:val="0"/>
        <w:adjustRightInd w:val="0"/>
        <w:spacing w:after="0" w:line="264" w:lineRule="auto"/>
        <w:rPr>
          <w:rFonts w:cs="Verdana"/>
          <w:sz w:val="22"/>
          <w:szCs w:val="22"/>
          <w:lang w:val="en-GB"/>
        </w:rPr>
      </w:pPr>
      <w:r w:rsidRPr="00B16EF2">
        <w:rPr>
          <w:rFonts w:cs="Verdana"/>
          <w:sz w:val="22"/>
          <w:szCs w:val="22"/>
          <w:lang w:val="en-GB"/>
        </w:rPr>
        <w:t>Smart</w:t>
      </w:r>
      <w:r w:rsidR="007E5D7C" w:rsidRPr="00B16EF2">
        <w:rPr>
          <w:rFonts w:cs="Verdana"/>
          <w:sz w:val="22"/>
          <w:szCs w:val="22"/>
          <w:lang w:val="en-GB"/>
        </w:rPr>
        <w:t xml:space="preserve">, through more effective investments in education, research and innovation; </w:t>
      </w:r>
    </w:p>
    <w:p w14:paraId="432B4F20" w14:textId="77777777" w:rsidR="00B16EF2" w:rsidRPr="00B16EF2" w:rsidRDefault="00B16EF2" w:rsidP="007426FD">
      <w:pPr>
        <w:widowControl w:val="0"/>
        <w:numPr>
          <w:ilvl w:val="0"/>
          <w:numId w:val="5"/>
        </w:numPr>
        <w:tabs>
          <w:tab w:val="left" w:pos="220"/>
          <w:tab w:val="left" w:pos="720"/>
        </w:tabs>
        <w:autoSpaceDE w:val="0"/>
        <w:autoSpaceDN w:val="0"/>
        <w:adjustRightInd w:val="0"/>
        <w:spacing w:after="0" w:line="264" w:lineRule="auto"/>
        <w:rPr>
          <w:rFonts w:cs="Verdana"/>
          <w:sz w:val="22"/>
          <w:szCs w:val="22"/>
          <w:lang w:val="en-GB"/>
        </w:rPr>
      </w:pPr>
      <w:r w:rsidRPr="00B16EF2">
        <w:rPr>
          <w:sz w:val="22"/>
          <w:szCs w:val="22"/>
          <w:lang w:val="en-GB"/>
        </w:rPr>
        <w:t>Sustainable</w:t>
      </w:r>
      <w:r w:rsidR="007E5D7C" w:rsidRPr="00B16EF2">
        <w:rPr>
          <w:rFonts w:cs="Verdana"/>
          <w:sz w:val="22"/>
          <w:szCs w:val="22"/>
          <w:lang w:val="en-GB"/>
        </w:rPr>
        <w:t xml:space="preserve">, thanks to a decisive move towards a low-carbon economy; </w:t>
      </w:r>
    </w:p>
    <w:p w14:paraId="6F8748BA" w14:textId="77777777" w:rsidR="006B2353" w:rsidRPr="00B16EF2" w:rsidRDefault="00B16EF2" w:rsidP="00B16EF2">
      <w:pPr>
        <w:widowControl w:val="0"/>
        <w:numPr>
          <w:ilvl w:val="0"/>
          <w:numId w:val="5"/>
        </w:numPr>
        <w:tabs>
          <w:tab w:val="left" w:pos="220"/>
          <w:tab w:val="left" w:pos="720"/>
        </w:tabs>
        <w:autoSpaceDE w:val="0"/>
        <w:autoSpaceDN w:val="0"/>
        <w:adjustRightInd w:val="0"/>
        <w:spacing w:after="0" w:line="264" w:lineRule="auto"/>
        <w:rPr>
          <w:rFonts w:cs="Verdana"/>
          <w:sz w:val="22"/>
          <w:szCs w:val="22"/>
          <w:lang w:val="en-GB"/>
        </w:rPr>
      </w:pPr>
      <w:r w:rsidRPr="00570084">
        <w:rPr>
          <w:sz w:val="22"/>
          <w:szCs w:val="22"/>
          <w:lang w:val="en-GB"/>
        </w:rPr>
        <w:t>Inclusive</w:t>
      </w:r>
      <w:r w:rsidR="007E5D7C" w:rsidRPr="00B16EF2">
        <w:rPr>
          <w:rFonts w:cs="Verdana"/>
          <w:sz w:val="22"/>
          <w:szCs w:val="22"/>
          <w:lang w:val="en-GB"/>
        </w:rPr>
        <w:t>, with a strong emphasis on job creation and poverty reduction</w:t>
      </w:r>
      <w:r w:rsidR="00F26906" w:rsidRPr="00B16EF2">
        <w:rPr>
          <w:rFonts w:cs="Verdana"/>
          <w:sz w:val="22"/>
          <w:szCs w:val="22"/>
          <w:lang w:val="en-GB"/>
        </w:rPr>
        <w:t xml:space="preserve">. </w:t>
      </w:r>
    </w:p>
    <w:p w14:paraId="33FDFA10" w14:textId="77777777" w:rsidR="0013742E" w:rsidRPr="0013742E" w:rsidRDefault="0013742E" w:rsidP="00EE604A">
      <w:pPr>
        <w:spacing w:after="60" w:line="264" w:lineRule="auto"/>
        <w:jc w:val="both"/>
        <w:rPr>
          <w:rFonts w:eastAsia="Times New Roman" w:cs="Times New Roman"/>
          <w:sz w:val="12"/>
          <w:szCs w:val="12"/>
          <w:lang w:val="en-GB"/>
        </w:rPr>
      </w:pPr>
    </w:p>
    <w:p w14:paraId="316F0045" w14:textId="77777777" w:rsidR="00E35982" w:rsidRPr="004408A1" w:rsidRDefault="002E49C8" w:rsidP="00EE604A">
      <w:pPr>
        <w:spacing w:after="60" w:line="264" w:lineRule="auto"/>
        <w:jc w:val="both"/>
        <w:rPr>
          <w:rFonts w:eastAsia="Times New Roman" w:cs="Times New Roman"/>
          <w:sz w:val="22"/>
          <w:szCs w:val="22"/>
          <w:lang w:val="en-GB"/>
        </w:rPr>
      </w:pPr>
      <w:r w:rsidRPr="00B16EF2">
        <w:rPr>
          <w:rFonts w:eastAsia="Times New Roman" w:cs="Times New Roman"/>
          <w:sz w:val="22"/>
          <w:szCs w:val="22"/>
          <w:lang w:val="en-GB"/>
        </w:rPr>
        <w:t>The</w:t>
      </w:r>
      <w:r>
        <w:rPr>
          <w:rFonts w:eastAsia="Times New Roman" w:cs="Times New Roman"/>
          <w:b/>
          <w:sz w:val="22"/>
          <w:szCs w:val="22"/>
          <w:lang w:val="en-GB"/>
        </w:rPr>
        <w:t xml:space="preserve"> </w:t>
      </w:r>
      <w:r w:rsidR="00E35982" w:rsidRPr="004408A1">
        <w:rPr>
          <w:rFonts w:eastAsia="Times New Roman" w:cs="Times New Roman"/>
          <w:b/>
          <w:sz w:val="22"/>
          <w:szCs w:val="22"/>
          <w:lang w:val="en-GB"/>
        </w:rPr>
        <w:t xml:space="preserve">Cohesion </w:t>
      </w:r>
      <w:r>
        <w:rPr>
          <w:rFonts w:eastAsia="Times New Roman" w:cs="Times New Roman"/>
          <w:b/>
          <w:sz w:val="22"/>
          <w:szCs w:val="22"/>
          <w:lang w:val="en-GB"/>
        </w:rPr>
        <w:t>P</w:t>
      </w:r>
      <w:r w:rsidR="00E35982" w:rsidRPr="004408A1">
        <w:rPr>
          <w:rFonts w:eastAsia="Times New Roman" w:cs="Times New Roman"/>
          <w:b/>
          <w:sz w:val="22"/>
          <w:szCs w:val="22"/>
          <w:lang w:val="en-GB"/>
        </w:rPr>
        <w:t>olicy</w:t>
      </w:r>
      <w:r w:rsidR="00E35982" w:rsidRPr="004408A1">
        <w:rPr>
          <w:rFonts w:eastAsia="Times New Roman" w:cs="Times New Roman"/>
          <w:sz w:val="22"/>
          <w:szCs w:val="22"/>
          <w:lang w:val="en-GB"/>
        </w:rPr>
        <w:t xml:space="preserve"> is </w:t>
      </w:r>
      <w:r w:rsidR="00035050">
        <w:rPr>
          <w:rFonts w:eastAsia="Times New Roman" w:cs="Times New Roman"/>
          <w:sz w:val="22"/>
          <w:szCs w:val="22"/>
          <w:lang w:val="en-GB"/>
        </w:rPr>
        <w:t xml:space="preserve">the </w:t>
      </w:r>
      <w:r w:rsidR="00E35982" w:rsidRPr="004408A1">
        <w:rPr>
          <w:rFonts w:eastAsia="Times New Roman" w:cs="Times New Roman"/>
          <w:sz w:val="22"/>
          <w:szCs w:val="22"/>
          <w:lang w:val="en-GB"/>
        </w:rPr>
        <w:t>EU's main investment tool for delivering the Europe 2020 goals</w:t>
      </w:r>
      <w:r w:rsidR="002B6D83" w:rsidRPr="004408A1">
        <w:rPr>
          <w:rFonts w:eastAsia="Times New Roman" w:cs="Times New Roman"/>
          <w:sz w:val="22"/>
          <w:szCs w:val="22"/>
          <w:lang w:val="en-GB"/>
        </w:rPr>
        <w:t xml:space="preserve"> within EU Member States</w:t>
      </w:r>
      <w:r w:rsidR="00E35982" w:rsidRPr="004408A1">
        <w:rPr>
          <w:rFonts w:eastAsia="Times New Roman" w:cs="Times New Roman"/>
          <w:sz w:val="22"/>
          <w:szCs w:val="22"/>
          <w:lang w:val="en-GB"/>
        </w:rPr>
        <w:t>.</w:t>
      </w:r>
    </w:p>
    <w:p w14:paraId="0A6A2359" w14:textId="77777777" w:rsidR="00E35982" w:rsidRPr="004408A1" w:rsidRDefault="00E35982" w:rsidP="00A76272">
      <w:pPr>
        <w:widowControl w:val="0"/>
        <w:autoSpaceDE w:val="0"/>
        <w:autoSpaceDN w:val="0"/>
        <w:adjustRightInd w:val="0"/>
        <w:spacing w:after="0" w:line="240" w:lineRule="auto"/>
        <w:rPr>
          <w:rFonts w:cs="Utopia Std"/>
          <w:color w:val="000000"/>
          <w:sz w:val="22"/>
          <w:szCs w:val="22"/>
          <w:lang w:val="en-GB"/>
        </w:rPr>
      </w:pPr>
    </w:p>
    <w:p w14:paraId="24DABD5D" w14:textId="77777777" w:rsidR="00DD519F" w:rsidRPr="00081ECA" w:rsidRDefault="00081ECA" w:rsidP="00162DFD">
      <w:pPr>
        <w:pStyle w:val="Heading2"/>
        <w:spacing w:before="0" w:after="0" w:line="252" w:lineRule="auto"/>
        <w:jc w:val="left"/>
        <w:rPr>
          <w:rFonts w:ascii="Times New Roman" w:hAnsi="Times New Roman" w:cs="Times New Roman"/>
          <w:sz w:val="2"/>
          <w:szCs w:val="2"/>
          <w:lang w:val="en-GB"/>
        </w:rPr>
      </w:pPr>
      <w:r>
        <w:rPr>
          <w:rFonts w:ascii="Times New Roman" w:hAnsi="Times New Roman" w:cs="Times New Roman"/>
          <w:sz w:val="22"/>
          <w:szCs w:val="22"/>
          <w:lang w:val="en-GB"/>
        </w:rPr>
        <w:br w:type="column"/>
      </w:r>
    </w:p>
    <w:p w14:paraId="769F5CD1" w14:textId="77777777" w:rsidR="009D0FB1" w:rsidRPr="00081ECA" w:rsidRDefault="009D0FB1" w:rsidP="00B57423">
      <w:pPr>
        <w:spacing w:before="120" w:after="0" w:line="252" w:lineRule="auto"/>
        <w:jc w:val="both"/>
        <w:rPr>
          <w:sz w:val="8"/>
          <w:szCs w:val="8"/>
          <w:lang w:val="en-GB"/>
        </w:rPr>
      </w:pPr>
    </w:p>
    <w:p w14:paraId="5AB8BB6E" w14:textId="77777777" w:rsidR="004A44DC" w:rsidRDefault="00306593" w:rsidP="00306593">
      <w:pPr>
        <w:pStyle w:val="Heading1"/>
        <w:spacing w:before="120" w:after="0" w:line="252" w:lineRule="auto"/>
        <w:ind w:left="1080"/>
        <w:jc w:val="left"/>
        <w:rPr>
          <w:sz w:val="40"/>
          <w:szCs w:val="40"/>
          <w:lang w:val="en-GB"/>
        </w:rPr>
      </w:pPr>
      <w:bookmarkStart w:id="16" w:name="_Toc423436272"/>
      <w:r w:rsidRPr="00306593">
        <w:rPr>
          <w:bCs w:val="0"/>
          <w:sz w:val="40"/>
          <w:szCs w:val="40"/>
          <w:lang w:val="en-GB"/>
        </w:rPr>
        <w:t>3.</w:t>
      </w:r>
      <w:r>
        <w:rPr>
          <w:sz w:val="40"/>
          <w:szCs w:val="40"/>
          <w:lang w:val="en-GB"/>
        </w:rPr>
        <w:t xml:space="preserve">    </w:t>
      </w:r>
      <w:r w:rsidR="00252DF2">
        <w:rPr>
          <w:sz w:val="40"/>
          <w:szCs w:val="40"/>
          <w:lang w:val="en-GB"/>
        </w:rPr>
        <w:t>Black Sea</w:t>
      </w:r>
      <w:r w:rsidR="004F0D8B">
        <w:rPr>
          <w:sz w:val="40"/>
          <w:szCs w:val="40"/>
          <w:lang w:val="en-GB"/>
        </w:rPr>
        <w:t xml:space="preserve"> Basin s</w:t>
      </w:r>
      <w:r w:rsidR="0051368D">
        <w:rPr>
          <w:sz w:val="40"/>
          <w:szCs w:val="40"/>
          <w:lang w:val="en-GB"/>
        </w:rPr>
        <w:t>ocio-economic and SWOT analysi</w:t>
      </w:r>
      <w:r w:rsidR="001353D6">
        <w:rPr>
          <w:sz w:val="40"/>
          <w:szCs w:val="40"/>
          <w:lang w:val="en-GB"/>
        </w:rPr>
        <w:t>s</w:t>
      </w:r>
      <w:bookmarkEnd w:id="16"/>
    </w:p>
    <w:p w14:paraId="7BFB4E63" w14:textId="77777777" w:rsidR="006101BB" w:rsidRPr="004408A1" w:rsidRDefault="006101BB" w:rsidP="00085D02">
      <w:pPr>
        <w:widowControl w:val="0"/>
        <w:autoSpaceDE w:val="0"/>
        <w:autoSpaceDN w:val="0"/>
        <w:adjustRightInd w:val="0"/>
        <w:spacing w:after="0" w:line="240" w:lineRule="auto"/>
        <w:jc w:val="both"/>
        <w:rPr>
          <w:rFonts w:eastAsia="Times New Roman" w:cs="Times New Roman"/>
          <w:sz w:val="22"/>
          <w:szCs w:val="22"/>
          <w:lang w:val="en-GB"/>
        </w:rPr>
      </w:pPr>
    </w:p>
    <w:p w14:paraId="72FB2D97" w14:textId="77777777" w:rsidR="00297365" w:rsidRPr="00FB4263" w:rsidRDefault="00085D02" w:rsidP="00EE604A">
      <w:pPr>
        <w:widowControl w:val="0"/>
        <w:autoSpaceDE w:val="0"/>
        <w:autoSpaceDN w:val="0"/>
        <w:adjustRightInd w:val="0"/>
        <w:spacing w:after="0" w:line="264" w:lineRule="auto"/>
        <w:jc w:val="both"/>
        <w:rPr>
          <w:rFonts w:eastAsia="Times New Roman" w:cs="Times New Roman"/>
          <w:sz w:val="22"/>
          <w:szCs w:val="22"/>
          <w:lang w:val="en-GB"/>
        </w:rPr>
      </w:pPr>
      <w:r w:rsidRPr="00FB4263">
        <w:rPr>
          <w:rFonts w:eastAsia="Times New Roman" w:cs="Times New Roman"/>
          <w:sz w:val="22"/>
          <w:szCs w:val="22"/>
          <w:lang w:val="en-GB"/>
        </w:rPr>
        <w:t xml:space="preserve">The methodology </w:t>
      </w:r>
      <w:r w:rsidR="00A54D93" w:rsidRPr="00FB4263">
        <w:rPr>
          <w:rFonts w:eastAsia="Times New Roman" w:cs="Times New Roman"/>
          <w:sz w:val="22"/>
          <w:szCs w:val="22"/>
          <w:lang w:val="en-GB"/>
        </w:rPr>
        <w:t>to identify the relevant strategy for</w:t>
      </w:r>
      <w:r w:rsidRPr="00FB4263">
        <w:rPr>
          <w:rFonts w:eastAsia="Times New Roman" w:cs="Times New Roman"/>
          <w:sz w:val="22"/>
          <w:szCs w:val="22"/>
          <w:lang w:val="en-GB"/>
        </w:rPr>
        <w:t xml:space="preserve"> the Black Sea </w:t>
      </w:r>
      <w:r w:rsidR="00521322" w:rsidRPr="00FB4263">
        <w:rPr>
          <w:rFonts w:eastAsia="Times New Roman" w:cs="Times New Roman"/>
          <w:sz w:val="22"/>
          <w:szCs w:val="22"/>
          <w:lang w:val="en-GB"/>
        </w:rPr>
        <w:t>Basin ENI CBC programme included</w:t>
      </w:r>
      <w:r w:rsidRPr="00FB4263">
        <w:rPr>
          <w:rFonts w:eastAsia="Times New Roman" w:cs="Times New Roman"/>
          <w:sz w:val="22"/>
          <w:szCs w:val="22"/>
          <w:lang w:val="en-GB"/>
        </w:rPr>
        <w:t xml:space="preserve"> </w:t>
      </w:r>
      <w:r w:rsidR="00F34BD8" w:rsidRPr="00FB4263">
        <w:rPr>
          <w:rFonts w:eastAsia="Times New Roman" w:cs="Times New Roman"/>
          <w:sz w:val="22"/>
          <w:szCs w:val="22"/>
          <w:lang w:val="en-GB"/>
        </w:rPr>
        <w:t xml:space="preserve">first </w:t>
      </w:r>
      <w:r w:rsidR="008D24CE" w:rsidRPr="00FB4263">
        <w:rPr>
          <w:rFonts w:eastAsia="Times New Roman" w:cs="Times New Roman"/>
          <w:sz w:val="22"/>
          <w:szCs w:val="22"/>
          <w:lang w:val="en-GB"/>
        </w:rPr>
        <w:t xml:space="preserve">an analysis of the </w:t>
      </w:r>
      <w:r w:rsidR="00726D8A" w:rsidRPr="00FB4263">
        <w:rPr>
          <w:rFonts w:eastAsia="Times New Roman" w:cs="Times New Roman"/>
          <w:sz w:val="22"/>
          <w:szCs w:val="22"/>
          <w:lang w:val="en-GB"/>
        </w:rPr>
        <w:t xml:space="preserve">programme area </w:t>
      </w:r>
      <w:r w:rsidRPr="00FB4263">
        <w:rPr>
          <w:rFonts w:eastAsia="Times New Roman" w:cs="Times New Roman"/>
          <w:sz w:val="22"/>
          <w:szCs w:val="22"/>
          <w:lang w:val="en-GB"/>
        </w:rPr>
        <w:t xml:space="preserve">socio-economic </w:t>
      </w:r>
      <w:r w:rsidR="004647E7" w:rsidRPr="00FB4263">
        <w:rPr>
          <w:rFonts w:eastAsia="Times New Roman" w:cs="Times New Roman"/>
          <w:sz w:val="22"/>
          <w:szCs w:val="22"/>
          <w:lang w:val="en-GB"/>
        </w:rPr>
        <w:t>environment</w:t>
      </w:r>
      <w:r w:rsidR="00726D8A" w:rsidRPr="00FB4263">
        <w:rPr>
          <w:rFonts w:eastAsia="Times New Roman" w:cs="Times New Roman"/>
          <w:sz w:val="22"/>
          <w:szCs w:val="22"/>
          <w:lang w:val="en-GB"/>
        </w:rPr>
        <w:t xml:space="preserve"> and of its key strengths, weaknesses, opportunities and threats</w:t>
      </w:r>
      <w:r w:rsidR="00361B2A" w:rsidRPr="00FB4263">
        <w:rPr>
          <w:rFonts w:eastAsia="Times New Roman" w:cs="Times New Roman"/>
          <w:sz w:val="22"/>
          <w:szCs w:val="22"/>
          <w:lang w:val="en-GB"/>
        </w:rPr>
        <w:t xml:space="preserve"> (SWOT)</w:t>
      </w:r>
      <w:r w:rsidR="00726D8A" w:rsidRPr="00FB4263">
        <w:rPr>
          <w:rFonts w:eastAsia="Times New Roman" w:cs="Times New Roman"/>
          <w:sz w:val="22"/>
          <w:szCs w:val="22"/>
          <w:lang w:val="en-GB"/>
        </w:rPr>
        <w:t xml:space="preserve">. </w:t>
      </w:r>
    </w:p>
    <w:p w14:paraId="2910DCFD" w14:textId="51654BBB" w:rsidR="005072B1" w:rsidRPr="004B58D3" w:rsidRDefault="005072B1" w:rsidP="005072B1">
      <w:pPr>
        <w:spacing w:before="120" w:after="0" w:line="252" w:lineRule="auto"/>
        <w:jc w:val="both"/>
        <w:rPr>
          <w:sz w:val="22"/>
          <w:szCs w:val="22"/>
          <w:lang w:val="en-GB"/>
        </w:rPr>
      </w:pPr>
      <w:r w:rsidRPr="00FB4263">
        <w:rPr>
          <w:sz w:val="22"/>
          <w:szCs w:val="22"/>
          <w:lang w:val="en-GB"/>
        </w:rPr>
        <w:t xml:space="preserve">The programme area socio-economic </w:t>
      </w:r>
      <w:r w:rsidR="00D83C39" w:rsidRPr="00FB4263">
        <w:rPr>
          <w:sz w:val="22"/>
          <w:szCs w:val="22"/>
          <w:lang w:val="en-GB"/>
        </w:rPr>
        <w:t xml:space="preserve">and SWOT </w:t>
      </w:r>
      <w:r w:rsidRPr="00FB4263">
        <w:rPr>
          <w:sz w:val="22"/>
          <w:szCs w:val="22"/>
          <w:lang w:val="en-GB"/>
        </w:rPr>
        <w:t>analysis was developed in the summer</w:t>
      </w:r>
      <w:r w:rsidR="00D83C39" w:rsidRPr="00FB4263">
        <w:rPr>
          <w:sz w:val="22"/>
          <w:szCs w:val="22"/>
          <w:lang w:val="en-GB"/>
        </w:rPr>
        <w:t>-autumn</w:t>
      </w:r>
      <w:r w:rsidRPr="00FB4263">
        <w:rPr>
          <w:sz w:val="22"/>
          <w:szCs w:val="22"/>
          <w:lang w:val="en-GB"/>
        </w:rPr>
        <w:t xml:space="preserve"> 2013</w:t>
      </w:r>
      <w:r w:rsidR="00925156" w:rsidRPr="00FB4263">
        <w:rPr>
          <w:rStyle w:val="FootnoteReference"/>
          <w:sz w:val="22"/>
          <w:szCs w:val="22"/>
          <w:lang w:val="en-GB"/>
        </w:rPr>
        <w:footnoteReference w:id="20"/>
      </w:r>
      <w:r w:rsidR="00717001">
        <w:rPr>
          <w:sz w:val="22"/>
          <w:szCs w:val="22"/>
          <w:lang w:val="en-GB"/>
        </w:rPr>
        <w:t xml:space="preserve">, on the basis of the core eligible area as defined for the Black Sea Basin programme by the draft </w:t>
      </w:r>
      <w:r w:rsidR="008A41B7">
        <w:rPr>
          <w:sz w:val="22"/>
          <w:szCs w:val="22"/>
          <w:lang w:val="en-GB"/>
        </w:rPr>
        <w:t xml:space="preserve">ENI CBC </w:t>
      </w:r>
      <w:r w:rsidR="00717001">
        <w:rPr>
          <w:sz w:val="22"/>
          <w:szCs w:val="22"/>
          <w:lang w:val="en-GB"/>
        </w:rPr>
        <w:t>Programming Document</w:t>
      </w:r>
      <w:r w:rsidRPr="00FB4263">
        <w:rPr>
          <w:sz w:val="22"/>
          <w:szCs w:val="22"/>
          <w:lang w:val="en-GB"/>
        </w:rPr>
        <w:t>. It is based on information provided by participating countries, as well as data and reports from EU agencies and international</w:t>
      </w:r>
      <w:r w:rsidRPr="004B58D3">
        <w:rPr>
          <w:sz w:val="22"/>
          <w:szCs w:val="22"/>
          <w:lang w:val="en-GB"/>
        </w:rPr>
        <w:t xml:space="preserve"> organisations. As socio-economic figures at sub-national level are not always available or comparable, overviews of the Black Sea Basin area often re</w:t>
      </w:r>
      <w:r w:rsidR="00B91BE8">
        <w:rPr>
          <w:sz w:val="22"/>
          <w:szCs w:val="22"/>
          <w:lang w:val="en-GB"/>
        </w:rPr>
        <w:t>ly on national-level statistics</w:t>
      </w:r>
      <w:r w:rsidRPr="004B58D3">
        <w:rPr>
          <w:sz w:val="22"/>
          <w:szCs w:val="22"/>
          <w:lang w:val="en-GB"/>
        </w:rPr>
        <w:t>; however, the analysis focuses on ENI CBC eligible territories and relies on sub-regional data, whenever available, in the specific analysis of the territories and the selection of main issues covered.</w:t>
      </w:r>
    </w:p>
    <w:p w14:paraId="06FA9561" w14:textId="77777777" w:rsidR="005072B1" w:rsidRPr="00002063" w:rsidRDefault="00306593" w:rsidP="00B736E1">
      <w:pPr>
        <w:pStyle w:val="Heading3"/>
        <w:rPr>
          <w:b/>
          <w:sz w:val="28"/>
          <w:szCs w:val="28"/>
          <w:lang w:val="en-GB"/>
        </w:rPr>
      </w:pPr>
      <w:bookmarkStart w:id="17" w:name="_Toc246127417"/>
      <w:bookmarkStart w:id="18" w:name="_Toc423436273"/>
      <w:r>
        <w:rPr>
          <w:b/>
          <w:sz w:val="28"/>
          <w:szCs w:val="28"/>
          <w:lang w:val="en-GB"/>
        </w:rPr>
        <w:t xml:space="preserve">3.1 </w:t>
      </w:r>
      <w:r w:rsidR="005072B1" w:rsidRPr="00002063">
        <w:rPr>
          <w:b/>
          <w:sz w:val="28"/>
          <w:szCs w:val="28"/>
          <w:lang w:val="en-GB"/>
        </w:rPr>
        <w:t>Territory and demography</w:t>
      </w:r>
      <w:bookmarkEnd w:id="17"/>
      <w:bookmarkEnd w:id="18"/>
    </w:p>
    <w:p w14:paraId="564157F2" w14:textId="77777777" w:rsidR="005072B1" w:rsidRPr="00F40719" w:rsidRDefault="005072B1" w:rsidP="001024F6">
      <w:pPr>
        <w:spacing w:before="240" w:after="120" w:line="264" w:lineRule="auto"/>
        <w:rPr>
          <w:b/>
          <w:bCs/>
          <w:lang w:val="en-GB"/>
        </w:rPr>
      </w:pPr>
      <w:bookmarkStart w:id="19" w:name="_Toc246127418"/>
      <w:r w:rsidRPr="00F40719">
        <w:rPr>
          <w:b/>
          <w:bCs/>
          <w:lang w:val="en-GB"/>
        </w:rPr>
        <w:t>Overview of Black Sea Basin ENI CBC programme area</w:t>
      </w:r>
      <w:bookmarkEnd w:id="19"/>
    </w:p>
    <w:p w14:paraId="23D7B11D" w14:textId="77777777" w:rsidR="005072B1" w:rsidRPr="004B58D3" w:rsidRDefault="005072B1" w:rsidP="005072B1">
      <w:pPr>
        <w:rPr>
          <w:sz w:val="22"/>
          <w:szCs w:val="22"/>
          <w:lang w:val="en-GB"/>
        </w:rPr>
      </w:pPr>
      <w:r w:rsidRPr="004B58D3">
        <w:rPr>
          <w:sz w:val="22"/>
          <w:szCs w:val="22"/>
          <w:lang w:val="en-GB"/>
        </w:rPr>
        <w:t>A statistical overview of the Black Sea Basin programme eligible area is provided in the table below.</w:t>
      </w:r>
    </w:p>
    <w:tbl>
      <w:tblPr>
        <w:tblW w:w="10505" w:type="dxa"/>
        <w:tblInd w:w="55" w:type="dxa"/>
        <w:tblLayout w:type="fixed"/>
        <w:tblCellMar>
          <w:left w:w="70" w:type="dxa"/>
          <w:right w:w="70" w:type="dxa"/>
        </w:tblCellMar>
        <w:tblLook w:val="04A0" w:firstRow="1" w:lastRow="0" w:firstColumn="1" w:lastColumn="0" w:noHBand="0" w:noVBand="1"/>
      </w:tblPr>
      <w:tblGrid>
        <w:gridCol w:w="1300"/>
        <w:gridCol w:w="1976"/>
        <w:gridCol w:w="1417"/>
        <w:gridCol w:w="1276"/>
        <w:gridCol w:w="992"/>
        <w:gridCol w:w="992"/>
        <w:gridCol w:w="1276"/>
        <w:gridCol w:w="1276"/>
      </w:tblGrid>
      <w:tr w:rsidR="005072B1" w:rsidRPr="00425060" w14:paraId="749DAA6B" w14:textId="77777777" w:rsidTr="005072B1">
        <w:trPr>
          <w:trHeight w:val="840"/>
        </w:trPr>
        <w:tc>
          <w:tcPr>
            <w:tcW w:w="1300" w:type="dxa"/>
            <w:tcBorders>
              <w:left w:val="single" w:sz="4" w:space="0" w:color="auto"/>
              <w:bottom w:val="single" w:sz="4" w:space="0" w:color="auto"/>
              <w:right w:val="single" w:sz="4" w:space="0" w:color="auto"/>
            </w:tcBorders>
            <w:shd w:val="clear" w:color="4F81BD" w:fill="4F81BD"/>
            <w:noWrap/>
            <w:hideMark/>
          </w:tcPr>
          <w:p w14:paraId="24B262FA" w14:textId="77777777" w:rsidR="005072B1" w:rsidRPr="00425060" w:rsidRDefault="005072B1" w:rsidP="005072B1">
            <w:pPr>
              <w:spacing w:before="120" w:after="0" w:line="252" w:lineRule="auto"/>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COUNTRY</w:t>
            </w:r>
          </w:p>
        </w:tc>
        <w:tc>
          <w:tcPr>
            <w:tcW w:w="1976" w:type="dxa"/>
            <w:tcBorders>
              <w:left w:val="single" w:sz="4" w:space="0" w:color="auto"/>
              <w:bottom w:val="single" w:sz="4" w:space="0" w:color="auto"/>
              <w:right w:val="single" w:sz="4" w:space="0" w:color="auto"/>
            </w:tcBorders>
            <w:shd w:val="clear" w:color="4F81BD" w:fill="4F81BD"/>
            <w:noWrap/>
            <w:hideMark/>
          </w:tcPr>
          <w:p w14:paraId="6A8BE88F" w14:textId="77777777" w:rsidR="005072B1" w:rsidRPr="00425060" w:rsidRDefault="005072B1" w:rsidP="005072B1">
            <w:pPr>
              <w:spacing w:before="120" w:after="0" w:line="252" w:lineRule="auto"/>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ELIGIBLE REGIONS</w:t>
            </w:r>
          </w:p>
        </w:tc>
        <w:tc>
          <w:tcPr>
            <w:tcW w:w="1417" w:type="dxa"/>
            <w:tcBorders>
              <w:left w:val="single" w:sz="4" w:space="0" w:color="auto"/>
              <w:bottom w:val="single" w:sz="4" w:space="0" w:color="auto"/>
              <w:right w:val="single" w:sz="4" w:space="0" w:color="auto"/>
            </w:tcBorders>
            <w:shd w:val="clear" w:color="4F81BD" w:fill="4F81BD"/>
            <w:hideMark/>
          </w:tcPr>
          <w:p w14:paraId="1465AAB1"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TERRITORY</w:t>
            </w:r>
            <w:r w:rsidRPr="00425060">
              <w:rPr>
                <w:rFonts w:ascii="Calibri" w:eastAsia="Times New Roman" w:hAnsi="Calibri" w:cs="Times New Roman"/>
                <w:color w:val="000000"/>
                <w:sz w:val="20"/>
                <w:szCs w:val="20"/>
              </w:rPr>
              <w:t xml:space="preserve"> </w:t>
            </w:r>
            <w:r w:rsidRPr="00425060">
              <w:rPr>
                <w:rFonts w:ascii="Calibri" w:eastAsia="Times New Roman" w:hAnsi="Calibri" w:cs="Times New Roman"/>
                <w:sz w:val="20"/>
                <w:szCs w:val="20"/>
              </w:rPr>
              <w:t>(km2)</w:t>
            </w:r>
          </w:p>
        </w:tc>
        <w:tc>
          <w:tcPr>
            <w:tcW w:w="1276" w:type="dxa"/>
            <w:tcBorders>
              <w:left w:val="single" w:sz="4" w:space="0" w:color="auto"/>
              <w:bottom w:val="single" w:sz="4" w:space="0" w:color="auto"/>
              <w:right w:val="single" w:sz="4" w:space="0" w:color="auto"/>
            </w:tcBorders>
            <w:shd w:val="clear" w:color="4F81BD" w:fill="4F81BD"/>
            <w:hideMark/>
          </w:tcPr>
          <w:p w14:paraId="1B51FBA1"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POPULATION</w:t>
            </w:r>
            <w:r w:rsidRPr="00425060">
              <w:rPr>
                <w:rFonts w:ascii="Calibri" w:eastAsia="Times New Roman" w:hAnsi="Calibri" w:cs="Times New Roman"/>
                <w:b/>
                <w:bCs/>
                <w:sz w:val="20"/>
                <w:szCs w:val="20"/>
              </w:rPr>
              <w:t xml:space="preserve"> </w:t>
            </w:r>
            <w:r w:rsidRPr="00425060">
              <w:rPr>
                <w:rFonts w:ascii="Calibri" w:eastAsia="Times New Roman" w:hAnsi="Calibri" w:cs="Times New Roman"/>
                <w:sz w:val="20"/>
                <w:szCs w:val="20"/>
              </w:rPr>
              <w:t>(</w:t>
            </w:r>
            <w:proofErr w:type="spellStart"/>
            <w:r w:rsidRPr="00425060">
              <w:rPr>
                <w:rFonts w:ascii="Calibri" w:eastAsia="Times New Roman" w:hAnsi="Calibri" w:cs="Times New Roman"/>
                <w:sz w:val="20"/>
                <w:szCs w:val="20"/>
              </w:rPr>
              <w:t>thousands</w:t>
            </w:r>
            <w:proofErr w:type="spellEnd"/>
            <w:r w:rsidRPr="00425060">
              <w:rPr>
                <w:rFonts w:ascii="Calibri" w:eastAsia="Times New Roman" w:hAnsi="Calibri" w:cs="Times New Roman"/>
                <w:sz w:val="20"/>
                <w:szCs w:val="20"/>
              </w:rPr>
              <w:t>)</w:t>
            </w:r>
          </w:p>
        </w:tc>
        <w:tc>
          <w:tcPr>
            <w:tcW w:w="992" w:type="dxa"/>
            <w:tcBorders>
              <w:left w:val="single" w:sz="4" w:space="0" w:color="auto"/>
              <w:bottom w:val="single" w:sz="4" w:space="0" w:color="auto"/>
              <w:right w:val="single" w:sz="4" w:space="0" w:color="auto"/>
            </w:tcBorders>
            <w:shd w:val="clear" w:color="4F81BD" w:fill="4F81BD"/>
            <w:hideMark/>
          </w:tcPr>
          <w:p w14:paraId="332F1339"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 xml:space="preserve">URBAN </w:t>
            </w:r>
            <w:r w:rsidRPr="00425060">
              <w:rPr>
                <w:rFonts w:ascii="Calibri" w:eastAsia="Times New Roman" w:hAnsi="Calibri" w:cs="Times New Roman"/>
                <w:color w:val="000000"/>
                <w:sz w:val="20"/>
                <w:szCs w:val="20"/>
              </w:rPr>
              <w:t>(%)</w:t>
            </w:r>
          </w:p>
        </w:tc>
        <w:tc>
          <w:tcPr>
            <w:tcW w:w="992" w:type="dxa"/>
            <w:tcBorders>
              <w:left w:val="single" w:sz="4" w:space="0" w:color="auto"/>
              <w:bottom w:val="single" w:sz="4" w:space="0" w:color="auto"/>
              <w:right w:val="single" w:sz="4" w:space="0" w:color="auto"/>
            </w:tcBorders>
            <w:shd w:val="clear" w:color="4F81BD" w:fill="4F81BD"/>
            <w:hideMark/>
          </w:tcPr>
          <w:p w14:paraId="30015357"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 xml:space="preserve">RURAL </w:t>
            </w:r>
            <w:r w:rsidRPr="00425060">
              <w:rPr>
                <w:rFonts w:ascii="Calibri" w:eastAsia="Times New Roman" w:hAnsi="Calibri" w:cs="Times New Roman"/>
                <w:color w:val="000000"/>
                <w:sz w:val="20"/>
                <w:szCs w:val="20"/>
              </w:rPr>
              <w:t>(%)</w:t>
            </w:r>
          </w:p>
        </w:tc>
        <w:tc>
          <w:tcPr>
            <w:tcW w:w="1276" w:type="dxa"/>
            <w:tcBorders>
              <w:left w:val="single" w:sz="4" w:space="0" w:color="auto"/>
              <w:bottom w:val="single" w:sz="4" w:space="0" w:color="auto"/>
              <w:right w:val="single" w:sz="4" w:space="0" w:color="auto"/>
            </w:tcBorders>
            <w:shd w:val="clear" w:color="4F81BD" w:fill="4F81BD"/>
            <w:hideMark/>
          </w:tcPr>
          <w:p w14:paraId="3DE6FE15"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 xml:space="preserve">NB OF CITIES               </w:t>
            </w:r>
            <w:r w:rsidRPr="00425060">
              <w:rPr>
                <w:rFonts w:ascii="Calibri" w:eastAsia="Times New Roman" w:hAnsi="Calibri" w:cs="Times New Roman"/>
                <w:color w:val="000000"/>
                <w:sz w:val="20"/>
                <w:szCs w:val="20"/>
              </w:rPr>
              <w:t xml:space="preserve">(&gt; 20 000 </w:t>
            </w:r>
            <w:proofErr w:type="spellStart"/>
            <w:r w:rsidRPr="00425060">
              <w:rPr>
                <w:rFonts w:ascii="Calibri" w:eastAsia="Times New Roman" w:hAnsi="Calibri" w:cs="Times New Roman"/>
                <w:color w:val="000000"/>
                <w:sz w:val="20"/>
                <w:szCs w:val="20"/>
              </w:rPr>
              <w:t>inhabitants</w:t>
            </w:r>
            <w:proofErr w:type="spellEnd"/>
            <w:r w:rsidRPr="00425060">
              <w:rPr>
                <w:rFonts w:ascii="Calibri" w:eastAsia="Times New Roman" w:hAnsi="Calibri" w:cs="Times New Roman"/>
                <w:color w:val="000000"/>
                <w:sz w:val="20"/>
                <w:szCs w:val="20"/>
              </w:rPr>
              <w:t>)</w:t>
            </w:r>
          </w:p>
        </w:tc>
        <w:tc>
          <w:tcPr>
            <w:tcW w:w="1276" w:type="dxa"/>
            <w:tcBorders>
              <w:left w:val="single" w:sz="4" w:space="0" w:color="auto"/>
              <w:bottom w:val="single" w:sz="4" w:space="0" w:color="auto"/>
              <w:right w:val="single" w:sz="4" w:space="0" w:color="auto"/>
            </w:tcBorders>
            <w:shd w:val="clear" w:color="4F81BD" w:fill="4F81BD"/>
            <w:hideMark/>
          </w:tcPr>
          <w:p w14:paraId="61AE3E6C" w14:textId="77777777" w:rsidR="005072B1" w:rsidRPr="00425060" w:rsidRDefault="005072B1" w:rsidP="005072B1">
            <w:pPr>
              <w:spacing w:before="120" w:after="0" w:line="252" w:lineRule="auto"/>
              <w:jc w:val="center"/>
              <w:rPr>
                <w:rFonts w:ascii="Calibri" w:eastAsia="Times New Roman" w:hAnsi="Calibri" w:cs="Times New Roman"/>
                <w:b/>
                <w:bCs/>
                <w:color w:val="FFFFFF"/>
                <w:sz w:val="20"/>
                <w:szCs w:val="20"/>
              </w:rPr>
            </w:pPr>
            <w:r w:rsidRPr="00425060">
              <w:rPr>
                <w:rFonts w:ascii="Calibri" w:eastAsia="Times New Roman" w:hAnsi="Calibri" w:cs="Times New Roman"/>
                <w:b/>
                <w:bCs/>
                <w:color w:val="FFFFFF"/>
                <w:sz w:val="20"/>
                <w:szCs w:val="20"/>
              </w:rPr>
              <w:t xml:space="preserve">DENSITY </w:t>
            </w:r>
            <w:r w:rsidRPr="00425060">
              <w:rPr>
                <w:rFonts w:ascii="Calibri" w:eastAsia="Times New Roman" w:hAnsi="Calibri" w:cs="Times New Roman"/>
                <w:color w:val="000000"/>
                <w:sz w:val="20"/>
                <w:szCs w:val="20"/>
              </w:rPr>
              <w:t>(people/km2)</w:t>
            </w:r>
          </w:p>
        </w:tc>
      </w:tr>
      <w:tr w:rsidR="005072B1" w:rsidRPr="00425060" w14:paraId="4683AF7A" w14:textId="77777777" w:rsidTr="005072B1">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5F9FCE5E"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 xml:space="preserve">ARMENIA </w:t>
            </w:r>
          </w:p>
        </w:tc>
        <w:tc>
          <w:tcPr>
            <w:tcW w:w="1976" w:type="dxa"/>
            <w:tcBorders>
              <w:top w:val="single" w:sz="4" w:space="0" w:color="auto"/>
              <w:left w:val="single" w:sz="4" w:space="0" w:color="auto"/>
              <w:bottom w:val="single" w:sz="4" w:space="0" w:color="auto"/>
              <w:right w:val="nil"/>
            </w:tcBorders>
            <w:shd w:val="clear" w:color="DCE6F1" w:fill="DCE6F1"/>
            <w:noWrap/>
            <w:vAlign w:val="bottom"/>
            <w:hideMark/>
          </w:tcPr>
          <w:p w14:paraId="10BCE3F6" w14:textId="77777777" w:rsidR="005072B1" w:rsidRPr="00425060" w:rsidRDefault="005072B1" w:rsidP="005072B1">
            <w:pPr>
              <w:spacing w:before="120" w:after="0" w:line="252" w:lineRule="auto"/>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w:t>
            </w:r>
            <w:proofErr w:type="spellStart"/>
            <w:r w:rsidRPr="00425060">
              <w:rPr>
                <w:rFonts w:ascii="Calibri" w:eastAsia="Times New Roman" w:hAnsi="Calibri" w:cs="Times New Roman"/>
                <w:color w:val="000000"/>
                <w:sz w:val="20"/>
                <w:szCs w:val="20"/>
              </w:rPr>
              <w:t>whole</w:t>
            </w:r>
            <w:proofErr w:type="spellEnd"/>
            <w:r w:rsidRPr="00425060">
              <w:rPr>
                <w:rFonts w:ascii="Calibri" w:eastAsia="Times New Roman" w:hAnsi="Calibri" w:cs="Times New Roman"/>
                <w:color w:val="000000"/>
                <w:sz w:val="20"/>
                <w:szCs w:val="20"/>
              </w:rPr>
              <w:t xml:space="preserve"> country)</w:t>
            </w:r>
          </w:p>
        </w:tc>
        <w:tc>
          <w:tcPr>
            <w:tcW w:w="1417" w:type="dxa"/>
            <w:tcBorders>
              <w:top w:val="single" w:sz="4" w:space="0" w:color="auto"/>
              <w:left w:val="single" w:sz="4" w:space="0" w:color="auto"/>
              <w:bottom w:val="single" w:sz="4" w:space="0" w:color="auto"/>
              <w:right w:val="nil"/>
            </w:tcBorders>
            <w:shd w:val="clear" w:color="DCE6F1" w:fill="DCE6F1"/>
            <w:noWrap/>
            <w:vAlign w:val="bottom"/>
            <w:hideMark/>
          </w:tcPr>
          <w:p w14:paraId="398218DA"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29 743</w:t>
            </w:r>
          </w:p>
        </w:tc>
        <w:tc>
          <w:tcPr>
            <w:tcW w:w="1276" w:type="dxa"/>
            <w:tcBorders>
              <w:top w:val="single" w:sz="4" w:space="0" w:color="auto"/>
              <w:left w:val="single" w:sz="4" w:space="0" w:color="auto"/>
              <w:bottom w:val="single" w:sz="4" w:space="0" w:color="auto"/>
              <w:right w:val="nil"/>
            </w:tcBorders>
            <w:shd w:val="clear" w:color="DCE6F1" w:fill="DCE6F1"/>
            <w:noWrap/>
            <w:vAlign w:val="bottom"/>
            <w:hideMark/>
          </w:tcPr>
          <w:p w14:paraId="4F003DC8" w14:textId="77777777" w:rsidR="005072B1" w:rsidRPr="00425060" w:rsidRDefault="007C7370"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w:t>
            </w:r>
            <w:r w:rsidR="009D12CD">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017</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74F12A6" w14:textId="77777777" w:rsidR="005072B1" w:rsidRPr="00425060" w:rsidRDefault="007C7370"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63</w:t>
            </w:r>
            <w:r w:rsidR="005072B1" w:rsidRPr="00425060">
              <w:rPr>
                <w:rFonts w:ascii="Calibri" w:eastAsia="Times New Roman" w:hAnsi="Calibri" w:cs="Times New Roman"/>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F8B40DA" w14:textId="77777777" w:rsidR="005072B1" w:rsidRPr="00425060" w:rsidRDefault="007C7370"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37</w:t>
            </w:r>
            <w:r w:rsidR="005072B1" w:rsidRPr="00425060">
              <w:rPr>
                <w:rFonts w:ascii="Calibri" w:eastAsia="Times New Roman" w:hAnsi="Calibri" w:cs="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C4396C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n.a</w:t>
            </w:r>
            <w:proofErr w:type="spellEnd"/>
            <w:r w:rsidRPr="00425060">
              <w:rPr>
                <w:rFonts w:ascii="Calibri" w:eastAsia="Times New Roman" w:hAnsi="Calibri" w:cs="Times New Roman"/>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7FD2BBB" w14:textId="77777777" w:rsidR="005072B1" w:rsidRPr="00425060" w:rsidRDefault="007C7370"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101</w:t>
            </w:r>
          </w:p>
        </w:tc>
      </w:tr>
      <w:tr w:rsidR="005072B1" w:rsidRPr="00425060" w14:paraId="72C4AA61" w14:textId="77777777" w:rsidTr="005072B1">
        <w:trPr>
          <w:trHeight w:val="28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44EFAF9D"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AZERBAIJAN</w:t>
            </w:r>
          </w:p>
        </w:tc>
        <w:tc>
          <w:tcPr>
            <w:tcW w:w="1976" w:type="dxa"/>
            <w:tcBorders>
              <w:top w:val="single" w:sz="4" w:space="0" w:color="95B3D7"/>
              <w:left w:val="single" w:sz="4" w:space="0" w:color="auto"/>
              <w:bottom w:val="single" w:sz="4" w:space="0" w:color="auto"/>
              <w:right w:val="nil"/>
            </w:tcBorders>
            <w:shd w:val="clear" w:color="auto" w:fill="auto"/>
            <w:noWrap/>
            <w:vAlign w:val="bottom"/>
            <w:hideMark/>
          </w:tcPr>
          <w:p w14:paraId="3A310123" w14:textId="77777777" w:rsidR="005072B1" w:rsidRPr="00425060" w:rsidRDefault="005072B1" w:rsidP="005072B1">
            <w:pPr>
              <w:spacing w:before="120" w:after="0" w:line="252" w:lineRule="auto"/>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w:t>
            </w:r>
            <w:proofErr w:type="spellStart"/>
            <w:r w:rsidRPr="00425060">
              <w:rPr>
                <w:rFonts w:ascii="Calibri" w:eastAsia="Times New Roman" w:hAnsi="Calibri" w:cs="Times New Roman"/>
                <w:color w:val="000000"/>
                <w:sz w:val="20"/>
                <w:szCs w:val="20"/>
              </w:rPr>
              <w:t>whole</w:t>
            </w:r>
            <w:proofErr w:type="spellEnd"/>
            <w:r w:rsidRPr="00425060">
              <w:rPr>
                <w:rFonts w:ascii="Calibri" w:eastAsia="Times New Roman" w:hAnsi="Calibri" w:cs="Times New Roman"/>
                <w:color w:val="000000"/>
                <w:sz w:val="20"/>
                <w:szCs w:val="20"/>
              </w:rPr>
              <w:t xml:space="preserve"> country)</w:t>
            </w:r>
          </w:p>
        </w:tc>
        <w:tc>
          <w:tcPr>
            <w:tcW w:w="1417" w:type="dxa"/>
            <w:tcBorders>
              <w:top w:val="single" w:sz="4" w:space="0" w:color="95B3D7"/>
              <w:left w:val="single" w:sz="4" w:space="0" w:color="auto"/>
              <w:bottom w:val="single" w:sz="4" w:space="0" w:color="auto"/>
              <w:right w:val="nil"/>
            </w:tcBorders>
            <w:shd w:val="clear" w:color="auto" w:fill="auto"/>
            <w:noWrap/>
            <w:vAlign w:val="bottom"/>
            <w:hideMark/>
          </w:tcPr>
          <w:p w14:paraId="05057329"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86 600</w:t>
            </w:r>
          </w:p>
        </w:tc>
        <w:tc>
          <w:tcPr>
            <w:tcW w:w="1276" w:type="dxa"/>
            <w:tcBorders>
              <w:top w:val="single" w:sz="4" w:space="0" w:color="95B3D7"/>
              <w:left w:val="single" w:sz="4" w:space="0" w:color="auto"/>
              <w:bottom w:val="single" w:sz="4" w:space="0" w:color="auto"/>
              <w:right w:val="nil"/>
            </w:tcBorders>
            <w:shd w:val="clear" w:color="auto" w:fill="auto"/>
            <w:noWrap/>
            <w:vAlign w:val="bottom"/>
            <w:hideMark/>
          </w:tcPr>
          <w:p w14:paraId="3D1F9E6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9 356</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010C72D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53</w:t>
            </w:r>
            <w:r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59F70E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47</w:t>
            </w:r>
            <w:r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0BA7DD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54</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D79BFE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108</w:t>
            </w:r>
          </w:p>
        </w:tc>
      </w:tr>
      <w:tr w:rsidR="005072B1" w:rsidRPr="00103D48" w14:paraId="467DD770"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7DC94FEF"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BULGARIA</w:t>
            </w: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2F0C780A"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Severoiztochen</w:t>
            </w:r>
            <w:proofErr w:type="spellEnd"/>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0C65E6FC" w14:textId="7ADBB436" w:rsidR="005072B1" w:rsidRPr="00425060" w:rsidRDefault="005A30D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14 487</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3C5B12BC" w14:textId="599D6EC8" w:rsidR="005072B1" w:rsidRPr="00425060" w:rsidRDefault="005A30D4" w:rsidP="005A30D4">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w:t>
            </w:r>
            <w:r>
              <w:rPr>
                <w:rFonts w:ascii="Calibri" w:eastAsia="Times New Roman" w:hAnsi="Calibri" w:cs="Times New Roman"/>
                <w:color w:val="000000"/>
                <w:sz w:val="20"/>
                <w:szCs w:val="20"/>
              </w:rPr>
              <w:t>66</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0CEA9130"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73%</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DD09E9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27%</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76059D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662C71F" w14:textId="07AFCF8B" w:rsidR="005072B1" w:rsidRPr="00103D48" w:rsidRDefault="005072B1" w:rsidP="005072B1">
            <w:pPr>
              <w:spacing w:before="120" w:after="0" w:line="252" w:lineRule="auto"/>
              <w:jc w:val="right"/>
              <w:rPr>
                <w:rFonts w:ascii="Calibri" w:eastAsia="Times New Roman" w:hAnsi="Calibri" w:cs="Times New Roman"/>
                <w:color w:val="000000"/>
                <w:sz w:val="20"/>
                <w:szCs w:val="20"/>
              </w:rPr>
            </w:pPr>
            <w:r w:rsidRPr="00103D48">
              <w:rPr>
                <w:rFonts w:ascii="Calibri" w:eastAsia="Times New Roman" w:hAnsi="Calibri" w:cs="Times New Roman"/>
                <w:color w:val="000000"/>
                <w:sz w:val="20"/>
                <w:szCs w:val="20"/>
              </w:rPr>
              <w:t>6</w:t>
            </w:r>
            <w:r w:rsidR="005A30D4" w:rsidRPr="00103D48">
              <w:rPr>
                <w:rFonts w:ascii="Calibri" w:eastAsia="Times New Roman" w:hAnsi="Calibri" w:cs="Times New Roman"/>
                <w:color w:val="000000"/>
                <w:sz w:val="20"/>
                <w:szCs w:val="20"/>
              </w:rPr>
              <w:t>7</w:t>
            </w:r>
          </w:p>
        </w:tc>
      </w:tr>
      <w:tr w:rsidR="005072B1" w:rsidRPr="00425060" w14:paraId="607767F8"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64BEC22C"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auto"/>
              <w:right w:val="nil"/>
            </w:tcBorders>
            <w:shd w:val="clear" w:color="auto" w:fill="auto"/>
            <w:noWrap/>
            <w:vAlign w:val="center"/>
            <w:hideMark/>
          </w:tcPr>
          <w:p w14:paraId="052BEDB3"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Yugoiztochen</w:t>
            </w:r>
            <w:proofErr w:type="spellEnd"/>
          </w:p>
        </w:tc>
        <w:tc>
          <w:tcPr>
            <w:tcW w:w="1417" w:type="dxa"/>
            <w:tcBorders>
              <w:top w:val="single" w:sz="4" w:space="0" w:color="95B3D7"/>
              <w:left w:val="single" w:sz="4" w:space="0" w:color="auto"/>
              <w:bottom w:val="single" w:sz="4" w:space="0" w:color="auto"/>
              <w:right w:val="nil"/>
            </w:tcBorders>
            <w:shd w:val="clear" w:color="auto" w:fill="auto"/>
            <w:noWrap/>
            <w:vAlign w:val="bottom"/>
            <w:hideMark/>
          </w:tcPr>
          <w:p w14:paraId="014AAC18" w14:textId="606C9450" w:rsidR="005072B1" w:rsidRPr="005013C7" w:rsidRDefault="005072B1" w:rsidP="00AE74FF">
            <w:pPr>
              <w:spacing w:before="120" w:after="0" w:line="252" w:lineRule="auto"/>
              <w:jc w:val="right"/>
              <w:rPr>
                <w:rFonts w:ascii="Calibri" w:eastAsia="Times New Roman" w:hAnsi="Calibri" w:cs="Times New Roman"/>
                <w:color w:val="000000"/>
                <w:sz w:val="20"/>
                <w:szCs w:val="20"/>
                <w:lang w:val="bg-BG"/>
              </w:rPr>
            </w:pPr>
            <w:r w:rsidRPr="00425060">
              <w:rPr>
                <w:rFonts w:ascii="Calibri" w:eastAsia="Times New Roman" w:hAnsi="Calibri" w:cs="Times New Roman"/>
                <w:color w:val="000000"/>
                <w:sz w:val="20"/>
                <w:szCs w:val="20"/>
              </w:rPr>
              <w:t>19 </w:t>
            </w:r>
            <w:r w:rsidR="00AE74FF">
              <w:rPr>
                <w:rFonts w:ascii="Calibri" w:eastAsia="Times New Roman" w:hAnsi="Calibri" w:cs="Times New Roman"/>
                <w:color w:val="000000"/>
                <w:sz w:val="20"/>
                <w:szCs w:val="20"/>
              </w:rPr>
              <w:t>79</w:t>
            </w:r>
            <w:r w:rsidR="005013C7">
              <w:rPr>
                <w:rFonts w:ascii="Calibri" w:eastAsia="Times New Roman" w:hAnsi="Calibri" w:cs="Times New Roman"/>
                <w:color w:val="000000"/>
                <w:sz w:val="20"/>
                <w:szCs w:val="20"/>
                <w:lang w:val="en-US"/>
              </w:rPr>
              <w:t>8</w:t>
            </w:r>
          </w:p>
        </w:tc>
        <w:tc>
          <w:tcPr>
            <w:tcW w:w="1276" w:type="dxa"/>
            <w:tcBorders>
              <w:top w:val="single" w:sz="4" w:space="0" w:color="95B3D7"/>
              <w:left w:val="single" w:sz="4" w:space="0" w:color="auto"/>
              <w:bottom w:val="single" w:sz="4" w:space="0" w:color="auto"/>
              <w:right w:val="nil"/>
            </w:tcBorders>
            <w:shd w:val="clear" w:color="auto" w:fill="auto"/>
            <w:noWrap/>
            <w:vAlign w:val="bottom"/>
            <w:hideMark/>
          </w:tcPr>
          <w:p w14:paraId="28B8D3CF" w14:textId="70EA1A25" w:rsidR="005072B1" w:rsidRPr="00425060" w:rsidRDefault="005072B1" w:rsidP="00AE74FF">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w:t>
            </w:r>
            <w:r w:rsidR="00AE74FF" w:rsidRPr="00425060">
              <w:rPr>
                <w:rFonts w:ascii="Calibri" w:eastAsia="Times New Roman" w:hAnsi="Calibri" w:cs="Times New Roman"/>
                <w:color w:val="000000"/>
                <w:sz w:val="20"/>
                <w:szCs w:val="20"/>
              </w:rPr>
              <w:t>0</w:t>
            </w:r>
            <w:r w:rsidR="00AE74FF">
              <w:rPr>
                <w:rFonts w:ascii="Calibri" w:eastAsia="Times New Roman" w:hAnsi="Calibri" w:cs="Times New Roman"/>
                <w:color w:val="000000"/>
                <w:sz w:val="20"/>
                <w:szCs w:val="20"/>
              </w:rPr>
              <w:t>78</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5A283CA" w14:textId="5FF9DFE5"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w:t>
            </w:r>
            <w:r w:rsidR="00AE74FF">
              <w:rPr>
                <w:rFonts w:ascii="Calibri" w:eastAsia="Times New Roman" w:hAnsi="Calibri" w:cs="Times New Roman"/>
                <w:color w:val="000000"/>
                <w:sz w:val="20"/>
                <w:szCs w:val="20"/>
              </w:rPr>
              <w:t>1</w:t>
            </w:r>
            <w:r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6A6CEAF" w14:textId="100F481C"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w:t>
            </w:r>
            <w:r w:rsidR="00AE74FF">
              <w:rPr>
                <w:rFonts w:ascii="Calibri" w:eastAsia="Times New Roman" w:hAnsi="Calibri" w:cs="Times New Roman"/>
                <w:color w:val="000000"/>
                <w:sz w:val="20"/>
                <w:szCs w:val="20"/>
              </w:rPr>
              <w:t>9</w:t>
            </w:r>
            <w:r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854001E" w14:textId="354E0D93" w:rsidR="005072B1" w:rsidRPr="00956468" w:rsidRDefault="00AE324E" w:rsidP="005072B1">
            <w:pPr>
              <w:spacing w:before="120" w:after="0" w:line="252" w:lineRule="auto"/>
              <w:jc w:val="right"/>
              <w:rPr>
                <w:rFonts w:ascii="Calibri" w:eastAsia="Times New Roman" w:hAnsi="Calibri" w:cs="Times New Roman"/>
                <w:color w:val="000000"/>
                <w:sz w:val="20"/>
                <w:szCs w:val="20"/>
                <w:lang w:val="bg-BG"/>
              </w:rPr>
            </w:pPr>
            <w:r>
              <w:rPr>
                <w:rFonts w:ascii="Calibri" w:eastAsia="Times New Roman" w:hAnsi="Calibri" w:cs="Times New Roman"/>
                <w:color w:val="000000"/>
                <w:sz w:val="20"/>
                <w:szCs w:val="20"/>
                <w:lang w:val="bg-BG"/>
              </w:rPr>
              <w:t>7</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299551FF" w14:textId="0E6B8B1C"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w:t>
            </w:r>
            <w:r w:rsidR="00AE74FF">
              <w:rPr>
                <w:rFonts w:ascii="Calibri" w:eastAsia="Times New Roman" w:hAnsi="Calibri" w:cs="Times New Roman"/>
                <w:color w:val="000000"/>
                <w:sz w:val="20"/>
                <w:szCs w:val="20"/>
              </w:rPr>
              <w:t>4</w:t>
            </w:r>
          </w:p>
        </w:tc>
      </w:tr>
      <w:tr w:rsidR="005072B1" w:rsidRPr="00425060" w14:paraId="314ACCCE" w14:textId="77777777" w:rsidTr="005072B1">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5FDC881B"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GEORGIA</w:t>
            </w:r>
          </w:p>
        </w:tc>
        <w:tc>
          <w:tcPr>
            <w:tcW w:w="1976" w:type="dxa"/>
            <w:tcBorders>
              <w:top w:val="single" w:sz="4" w:space="0" w:color="auto"/>
              <w:left w:val="single" w:sz="4" w:space="0" w:color="auto"/>
              <w:bottom w:val="single" w:sz="4" w:space="0" w:color="auto"/>
              <w:right w:val="nil"/>
            </w:tcBorders>
            <w:shd w:val="clear" w:color="DCE6F1" w:fill="DCE6F1"/>
            <w:noWrap/>
            <w:vAlign w:val="bottom"/>
            <w:hideMark/>
          </w:tcPr>
          <w:p w14:paraId="2A5E6D0B" w14:textId="77777777" w:rsidR="005072B1" w:rsidRPr="00425060" w:rsidRDefault="005072B1" w:rsidP="005072B1">
            <w:pPr>
              <w:spacing w:before="120" w:after="0" w:line="252" w:lineRule="auto"/>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w:t>
            </w:r>
            <w:proofErr w:type="spellStart"/>
            <w:r w:rsidRPr="00425060">
              <w:rPr>
                <w:rFonts w:ascii="Calibri" w:eastAsia="Times New Roman" w:hAnsi="Calibri" w:cs="Times New Roman"/>
                <w:color w:val="000000"/>
                <w:sz w:val="20"/>
                <w:szCs w:val="20"/>
              </w:rPr>
              <w:t>whole</w:t>
            </w:r>
            <w:proofErr w:type="spellEnd"/>
            <w:r w:rsidRPr="00425060">
              <w:rPr>
                <w:rFonts w:ascii="Calibri" w:eastAsia="Times New Roman" w:hAnsi="Calibri" w:cs="Times New Roman"/>
                <w:color w:val="000000"/>
                <w:sz w:val="20"/>
                <w:szCs w:val="20"/>
              </w:rPr>
              <w:t xml:space="preserve"> country)</w:t>
            </w:r>
          </w:p>
        </w:tc>
        <w:tc>
          <w:tcPr>
            <w:tcW w:w="1417" w:type="dxa"/>
            <w:tcBorders>
              <w:top w:val="single" w:sz="4" w:space="0" w:color="auto"/>
              <w:left w:val="single" w:sz="4" w:space="0" w:color="auto"/>
              <w:bottom w:val="single" w:sz="4" w:space="0" w:color="auto"/>
              <w:right w:val="nil"/>
            </w:tcBorders>
            <w:shd w:val="clear" w:color="DCE6F1" w:fill="DCE6F1"/>
            <w:noWrap/>
            <w:vAlign w:val="bottom"/>
            <w:hideMark/>
          </w:tcPr>
          <w:p w14:paraId="038A14C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69 700</w:t>
            </w:r>
          </w:p>
        </w:tc>
        <w:tc>
          <w:tcPr>
            <w:tcW w:w="1276" w:type="dxa"/>
            <w:tcBorders>
              <w:top w:val="single" w:sz="4" w:space="0" w:color="auto"/>
              <w:left w:val="single" w:sz="4" w:space="0" w:color="auto"/>
              <w:bottom w:val="single" w:sz="4" w:space="0" w:color="auto"/>
              <w:right w:val="nil"/>
            </w:tcBorders>
            <w:shd w:val="clear" w:color="DCE6F1" w:fill="DCE6F1"/>
            <w:noWrap/>
            <w:vAlign w:val="bottom"/>
            <w:hideMark/>
          </w:tcPr>
          <w:p w14:paraId="634C626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4 484</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467B4C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53%</w:t>
            </w:r>
          </w:p>
        </w:tc>
        <w:tc>
          <w:tcPr>
            <w:tcW w:w="992" w:type="dxa"/>
            <w:tcBorders>
              <w:top w:val="single" w:sz="4" w:space="0" w:color="auto"/>
              <w:left w:val="nil"/>
              <w:bottom w:val="single" w:sz="4" w:space="0" w:color="auto"/>
              <w:right w:val="single" w:sz="4" w:space="0" w:color="auto"/>
            </w:tcBorders>
            <w:shd w:val="clear" w:color="DCE6F1" w:fill="DCE6F1"/>
            <w:noWrap/>
            <w:vAlign w:val="bottom"/>
            <w:hideMark/>
          </w:tcPr>
          <w:p w14:paraId="198FFCD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47%</w:t>
            </w:r>
          </w:p>
        </w:tc>
        <w:tc>
          <w:tcPr>
            <w:tcW w:w="1276" w:type="dxa"/>
            <w:tcBorders>
              <w:top w:val="single" w:sz="4" w:space="0" w:color="auto"/>
              <w:left w:val="nil"/>
              <w:bottom w:val="single" w:sz="4" w:space="0" w:color="auto"/>
              <w:right w:val="single" w:sz="4" w:space="0" w:color="auto"/>
            </w:tcBorders>
            <w:shd w:val="clear" w:color="DCE6F1" w:fill="DCE6F1"/>
            <w:noWrap/>
            <w:vAlign w:val="bottom"/>
            <w:hideMark/>
          </w:tcPr>
          <w:p w14:paraId="43E3417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13</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053FE2E" w14:textId="77777777" w:rsidR="005072B1" w:rsidRPr="00B330E4" w:rsidRDefault="005072B1" w:rsidP="005072B1">
            <w:pPr>
              <w:spacing w:before="120" w:after="0" w:line="252" w:lineRule="auto"/>
              <w:jc w:val="right"/>
              <w:rPr>
                <w:rFonts w:ascii="Calibri" w:eastAsia="Times New Roman" w:hAnsi="Calibri" w:cs="Times New Roman"/>
                <w:color w:val="000000"/>
                <w:sz w:val="20"/>
                <w:szCs w:val="20"/>
              </w:rPr>
            </w:pPr>
            <w:r w:rsidRPr="00B330E4">
              <w:rPr>
                <w:rFonts w:ascii="Calibri" w:eastAsia="Times New Roman" w:hAnsi="Calibri" w:cs="Times New Roman"/>
                <w:color w:val="000000"/>
                <w:sz w:val="20"/>
                <w:szCs w:val="20"/>
              </w:rPr>
              <w:t>64</w:t>
            </w:r>
          </w:p>
        </w:tc>
      </w:tr>
      <w:tr w:rsidR="005072B1" w:rsidRPr="00425060" w14:paraId="6039B50D" w14:textId="77777777" w:rsidTr="005072B1">
        <w:trPr>
          <w:trHeight w:val="280"/>
        </w:trPr>
        <w:tc>
          <w:tcPr>
            <w:tcW w:w="1300" w:type="dxa"/>
            <w:tcBorders>
              <w:top w:val="single" w:sz="4" w:space="0" w:color="auto"/>
              <w:left w:val="single" w:sz="4" w:space="0" w:color="auto"/>
              <w:bottom w:val="single" w:sz="4" w:space="0" w:color="95B3D7"/>
              <w:right w:val="nil"/>
            </w:tcBorders>
            <w:shd w:val="clear" w:color="auto" w:fill="auto"/>
            <w:noWrap/>
            <w:vAlign w:val="center"/>
            <w:hideMark/>
          </w:tcPr>
          <w:p w14:paraId="1D9FC71E"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GREECE</w:t>
            </w: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15A68851"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Kentriki</w:t>
            </w:r>
            <w:proofErr w:type="spellEnd"/>
            <w:r w:rsidRPr="00425060">
              <w:rPr>
                <w:rFonts w:ascii="Calibri" w:eastAsia="Times New Roman" w:hAnsi="Calibri" w:cs="Times New Roman"/>
                <w:color w:val="000000"/>
                <w:sz w:val="20"/>
                <w:szCs w:val="20"/>
              </w:rPr>
              <w:t xml:space="preserve"> </w:t>
            </w:r>
            <w:proofErr w:type="spellStart"/>
            <w:r w:rsidRPr="00425060">
              <w:rPr>
                <w:rFonts w:ascii="Calibri" w:eastAsia="Times New Roman" w:hAnsi="Calibri" w:cs="Times New Roman"/>
                <w:color w:val="000000"/>
                <w:sz w:val="20"/>
                <w:szCs w:val="20"/>
              </w:rPr>
              <w:t>Makedonia</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30C84AA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19 146</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0EE5414A"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1 876</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C066C1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78%</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6D6D1DF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32%</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E22AF39"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10</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63A8DD2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100</w:t>
            </w:r>
          </w:p>
        </w:tc>
      </w:tr>
      <w:tr w:rsidR="005072B1" w:rsidRPr="00425060" w14:paraId="4BBCA54D" w14:textId="77777777" w:rsidTr="005072B1">
        <w:trPr>
          <w:trHeight w:val="56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20E3AC49"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595529F6"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Anatoliki</w:t>
            </w:r>
            <w:proofErr w:type="spellEnd"/>
            <w:r w:rsidRPr="00425060">
              <w:rPr>
                <w:rFonts w:ascii="Calibri" w:eastAsia="Times New Roman" w:hAnsi="Calibri" w:cs="Times New Roman"/>
                <w:color w:val="000000"/>
                <w:sz w:val="20"/>
                <w:szCs w:val="20"/>
              </w:rPr>
              <w:t xml:space="preserve"> </w:t>
            </w:r>
            <w:proofErr w:type="spellStart"/>
            <w:r w:rsidRPr="00425060">
              <w:rPr>
                <w:rFonts w:ascii="Calibri" w:eastAsia="Times New Roman" w:hAnsi="Calibri" w:cs="Times New Roman"/>
                <w:color w:val="000000"/>
                <w:sz w:val="20"/>
                <w:szCs w:val="20"/>
              </w:rPr>
              <w:t>Makedonia</w:t>
            </w:r>
            <w:proofErr w:type="spellEnd"/>
            <w:r w:rsidRPr="00425060">
              <w:rPr>
                <w:rFonts w:ascii="Calibri" w:eastAsia="Times New Roman" w:hAnsi="Calibri" w:cs="Times New Roman"/>
                <w:color w:val="000000"/>
                <w:sz w:val="20"/>
                <w:szCs w:val="20"/>
              </w:rPr>
              <w:t xml:space="preserve"> – </w:t>
            </w:r>
            <w:proofErr w:type="spellStart"/>
            <w:r w:rsidRPr="00425060">
              <w:rPr>
                <w:rFonts w:ascii="Calibri" w:eastAsia="Times New Roman" w:hAnsi="Calibri" w:cs="Times New Roman"/>
                <w:color w:val="000000"/>
                <w:sz w:val="20"/>
                <w:szCs w:val="20"/>
              </w:rPr>
              <w:t>Thraki</w:t>
            </w:r>
            <w:proofErr w:type="spellEnd"/>
            <w:r w:rsidRPr="00425060">
              <w:rPr>
                <w:rFonts w:ascii="Calibri" w:eastAsia="Times New Roman" w:hAnsi="Calibri" w:cs="Times New Roman"/>
                <w:color w:val="000000"/>
                <w:sz w:val="20"/>
                <w:szCs w:val="20"/>
              </w:rPr>
              <w:t xml:space="preserve"> </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33379A1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14 157</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771FF28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608</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FA8BE8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61%</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7A2EB09"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39%</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01F7A8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2AB969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43</w:t>
            </w:r>
          </w:p>
        </w:tc>
      </w:tr>
      <w:tr w:rsidR="005072B1" w:rsidRPr="00425060" w14:paraId="5AD92532" w14:textId="77777777" w:rsidTr="005072B1">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1F1E4647" w14:textId="77777777" w:rsidR="005072B1" w:rsidRPr="00425060" w:rsidRDefault="005013C7" w:rsidP="005072B1">
            <w:pPr>
              <w:spacing w:before="120" w:after="0" w:line="252"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 xml:space="preserve"> </w:t>
            </w:r>
            <w:r w:rsidR="005072B1" w:rsidRPr="00425060">
              <w:rPr>
                <w:rFonts w:ascii="Calibri" w:eastAsia="Times New Roman" w:hAnsi="Calibri" w:cs="Times New Roman"/>
                <w:b/>
                <w:bCs/>
                <w:color w:val="000000"/>
                <w:sz w:val="20"/>
                <w:szCs w:val="20"/>
              </w:rPr>
              <w:t>MOLDOVA</w:t>
            </w:r>
          </w:p>
        </w:tc>
        <w:tc>
          <w:tcPr>
            <w:tcW w:w="1976" w:type="dxa"/>
            <w:tcBorders>
              <w:top w:val="single" w:sz="4" w:space="0" w:color="auto"/>
              <w:left w:val="single" w:sz="4" w:space="0" w:color="auto"/>
              <w:bottom w:val="single" w:sz="4" w:space="0" w:color="auto"/>
              <w:right w:val="nil"/>
            </w:tcBorders>
            <w:shd w:val="clear" w:color="DCE6F1" w:fill="DCE6F1"/>
            <w:noWrap/>
            <w:vAlign w:val="bottom"/>
            <w:hideMark/>
          </w:tcPr>
          <w:p w14:paraId="677ADA52" w14:textId="77777777" w:rsidR="005072B1" w:rsidRPr="00425060" w:rsidRDefault="005072B1" w:rsidP="005072B1">
            <w:pPr>
              <w:spacing w:before="120" w:after="0" w:line="252" w:lineRule="auto"/>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w:t>
            </w:r>
            <w:proofErr w:type="spellStart"/>
            <w:r w:rsidRPr="00425060">
              <w:rPr>
                <w:rFonts w:ascii="Calibri" w:eastAsia="Times New Roman" w:hAnsi="Calibri" w:cs="Times New Roman"/>
                <w:color w:val="000000"/>
                <w:sz w:val="20"/>
                <w:szCs w:val="20"/>
              </w:rPr>
              <w:t>whole</w:t>
            </w:r>
            <w:proofErr w:type="spellEnd"/>
            <w:r w:rsidRPr="00425060">
              <w:rPr>
                <w:rFonts w:ascii="Calibri" w:eastAsia="Times New Roman" w:hAnsi="Calibri" w:cs="Times New Roman"/>
                <w:color w:val="000000"/>
                <w:sz w:val="20"/>
                <w:szCs w:val="20"/>
              </w:rPr>
              <w:t xml:space="preserve"> country)</w:t>
            </w:r>
          </w:p>
        </w:tc>
        <w:tc>
          <w:tcPr>
            <w:tcW w:w="1417" w:type="dxa"/>
            <w:tcBorders>
              <w:top w:val="single" w:sz="4" w:space="0" w:color="auto"/>
              <w:left w:val="single" w:sz="4" w:space="0" w:color="auto"/>
              <w:bottom w:val="single" w:sz="4" w:space="0" w:color="auto"/>
              <w:right w:val="nil"/>
            </w:tcBorders>
            <w:shd w:val="clear" w:color="DCE6F1" w:fill="DCE6F1"/>
            <w:noWrap/>
            <w:vAlign w:val="bottom"/>
            <w:hideMark/>
          </w:tcPr>
          <w:p w14:paraId="6F16756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33 846</w:t>
            </w:r>
          </w:p>
        </w:tc>
        <w:tc>
          <w:tcPr>
            <w:tcW w:w="1276" w:type="dxa"/>
            <w:tcBorders>
              <w:top w:val="single" w:sz="4" w:space="0" w:color="auto"/>
              <w:left w:val="single" w:sz="4" w:space="0" w:color="auto"/>
              <w:bottom w:val="single" w:sz="4" w:space="0" w:color="auto"/>
              <w:right w:val="nil"/>
            </w:tcBorders>
            <w:shd w:val="clear" w:color="DCE6F1" w:fill="DCE6F1"/>
            <w:noWrap/>
            <w:vAlign w:val="bottom"/>
            <w:hideMark/>
          </w:tcPr>
          <w:p w14:paraId="4BA29C53"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3 559</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8540713"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42%</w:t>
            </w:r>
          </w:p>
        </w:tc>
        <w:tc>
          <w:tcPr>
            <w:tcW w:w="992"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0AA0457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58%</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1958660"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w:t>
            </w:r>
          </w:p>
        </w:tc>
        <w:tc>
          <w:tcPr>
            <w:tcW w:w="1276"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050E7CB" w14:textId="77777777" w:rsidR="005072B1" w:rsidRPr="00103D48" w:rsidRDefault="005072B1" w:rsidP="005072B1">
            <w:pPr>
              <w:spacing w:before="120" w:after="0" w:line="252" w:lineRule="auto"/>
              <w:jc w:val="right"/>
              <w:rPr>
                <w:rFonts w:ascii="Calibri" w:eastAsia="Times New Roman" w:hAnsi="Calibri" w:cs="Times New Roman"/>
                <w:color w:val="000000"/>
                <w:sz w:val="20"/>
                <w:szCs w:val="20"/>
              </w:rPr>
            </w:pPr>
            <w:r w:rsidRPr="00103D48">
              <w:rPr>
                <w:rFonts w:ascii="Calibri" w:eastAsia="Times New Roman" w:hAnsi="Calibri" w:cs="Times New Roman"/>
                <w:color w:val="000000"/>
                <w:sz w:val="20"/>
                <w:szCs w:val="20"/>
              </w:rPr>
              <w:t>117</w:t>
            </w:r>
          </w:p>
        </w:tc>
      </w:tr>
      <w:tr w:rsidR="005072B1" w:rsidRPr="00425060" w14:paraId="2174B5A8" w14:textId="77777777" w:rsidTr="005072B1">
        <w:trPr>
          <w:trHeight w:val="28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5774CFD2"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ROMANIA</w:t>
            </w:r>
          </w:p>
        </w:tc>
        <w:tc>
          <w:tcPr>
            <w:tcW w:w="1976" w:type="dxa"/>
            <w:tcBorders>
              <w:top w:val="nil"/>
              <w:left w:val="single" w:sz="4" w:space="0" w:color="auto"/>
              <w:bottom w:val="single" w:sz="4" w:space="0" w:color="auto"/>
              <w:right w:val="nil"/>
            </w:tcBorders>
            <w:shd w:val="clear" w:color="auto" w:fill="auto"/>
            <w:noWrap/>
            <w:vAlign w:val="bottom"/>
            <w:hideMark/>
          </w:tcPr>
          <w:p w14:paraId="37559144" w14:textId="77777777" w:rsidR="005072B1" w:rsidRPr="00425060" w:rsidRDefault="005072B1" w:rsidP="005072B1">
            <w:pPr>
              <w:spacing w:before="120" w:after="0" w:line="252" w:lineRule="auto"/>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South-East</w:t>
            </w:r>
          </w:p>
        </w:tc>
        <w:tc>
          <w:tcPr>
            <w:tcW w:w="1417" w:type="dxa"/>
            <w:tcBorders>
              <w:top w:val="nil"/>
              <w:left w:val="single" w:sz="4" w:space="0" w:color="auto"/>
              <w:bottom w:val="single" w:sz="4" w:space="0" w:color="auto"/>
              <w:right w:val="nil"/>
            </w:tcBorders>
            <w:shd w:val="clear" w:color="auto" w:fill="auto"/>
            <w:noWrap/>
            <w:vAlign w:val="bottom"/>
            <w:hideMark/>
          </w:tcPr>
          <w:p w14:paraId="68B2BFB5"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35 762</w:t>
            </w:r>
          </w:p>
        </w:tc>
        <w:tc>
          <w:tcPr>
            <w:tcW w:w="1276" w:type="dxa"/>
            <w:tcBorders>
              <w:top w:val="nil"/>
              <w:left w:val="single" w:sz="4" w:space="0" w:color="auto"/>
              <w:bottom w:val="single" w:sz="4" w:space="0" w:color="auto"/>
              <w:right w:val="nil"/>
            </w:tcBorders>
            <w:shd w:val="clear" w:color="auto" w:fill="auto"/>
            <w:noWrap/>
            <w:vAlign w:val="bottom"/>
            <w:hideMark/>
          </w:tcPr>
          <w:p w14:paraId="2C717313"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2 546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7585E18"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54%</w:t>
            </w:r>
          </w:p>
        </w:tc>
        <w:tc>
          <w:tcPr>
            <w:tcW w:w="992" w:type="dxa"/>
            <w:tcBorders>
              <w:top w:val="nil"/>
              <w:left w:val="nil"/>
              <w:bottom w:val="single" w:sz="4" w:space="0" w:color="auto"/>
              <w:right w:val="single" w:sz="4" w:space="0" w:color="auto"/>
            </w:tcBorders>
            <w:shd w:val="clear" w:color="auto" w:fill="auto"/>
            <w:noWrap/>
            <w:vAlign w:val="bottom"/>
            <w:hideMark/>
          </w:tcPr>
          <w:p w14:paraId="341E8F6B" w14:textId="7801D945"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w:t>
            </w:r>
            <w:r w:rsidR="008C68DA">
              <w:rPr>
                <w:rFonts w:ascii="Calibri" w:eastAsia="Times New Roman" w:hAnsi="Calibri" w:cs="Times New Roman"/>
                <w:color w:val="000000"/>
                <w:sz w:val="20"/>
                <w:szCs w:val="20"/>
              </w:rPr>
              <w:t>6</w:t>
            </w:r>
            <w:r w:rsidRPr="00425060">
              <w:rPr>
                <w:rFonts w:ascii="Calibri" w:eastAsia="Times New Roman" w:hAnsi="Calibri" w:cs="Times New Roman"/>
                <w:color w:val="00000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70C767"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E717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71</w:t>
            </w:r>
          </w:p>
        </w:tc>
      </w:tr>
      <w:tr w:rsidR="005072B1" w:rsidRPr="00425060" w14:paraId="77D3BD42" w14:textId="77777777" w:rsidTr="005072B1">
        <w:trPr>
          <w:trHeight w:val="280"/>
        </w:trPr>
        <w:tc>
          <w:tcPr>
            <w:tcW w:w="1300" w:type="dxa"/>
            <w:tcBorders>
              <w:top w:val="single" w:sz="4" w:space="0" w:color="auto"/>
              <w:left w:val="single" w:sz="4" w:space="0" w:color="auto"/>
              <w:bottom w:val="single" w:sz="4" w:space="0" w:color="95B3D7"/>
              <w:right w:val="nil"/>
            </w:tcBorders>
            <w:shd w:val="clear" w:color="DCE6F1" w:fill="DCE6F1"/>
            <w:noWrap/>
            <w:vAlign w:val="center"/>
            <w:hideMark/>
          </w:tcPr>
          <w:p w14:paraId="1569C16E"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RUSSIA</w:t>
            </w: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152E52CF"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Rostov Oblast</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2D2B8B5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100 800</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7A8E6984"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4 404</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472DB06"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68%</w:t>
            </w:r>
          </w:p>
        </w:tc>
        <w:tc>
          <w:tcPr>
            <w:tcW w:w="992" w:type="dxa"/>
            <w:tcBorders>
              <w:top w:val="single" w:sz="4" w:space="0" w:color="95B3D7"/>
              <w:left w:val="single" w:sz="4" w:space="0" w:color="auto"/>
              <w:right w:val="single" w:sz="4" w:space="0" w:color="auto"/>
            </w:tcBorders>
            <w:shd w:val="clear" w:color="DCE6F1" w:fill="DCE6F1"/>
            <w:noWrap/>
            <w:vAlign w:val="bottom"/>
            <w:hideMark/>
          </w:tcPr>
          <w:p w14:paraId="0549489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32%</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7720F9C"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proofErr w:type="spellStart"/>
            <w:r w:rsidRPr="00425060">
              <w:rPr>
                <w:rFonts w:ascii="Calibri" w:eastAsia="Times New Roman" w:hAnsi="Calibri" w:cs="Times New Roman"/>
                <w:i/>
                <w:iCs/>
                <w:color w:val="000000"/>
                <w:sz w:val="20"/>
                <w:szCs w:val="20"/>
              </w:rPr>
              <w:t>n.a</w:t>
            </w:r>
            <w:proofErr w:type="spellEnd"/>
            <w:r w:rsidRPr="00425060">
              <w:rPr>
                <w:rFonts w:ascii="Calibri" w:eastAsia="Times New Roman" w:hAnsi="Calibri" w:cs="Times New Roman"/>
                <w:i/>
                <w:iCs/>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DCDB634"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42</w:t>
            </w:r>
          </w:p>
        </w:tc>
      </w:tr>
      <w:tr w:rsidR="005072B1" w:rsidRPr="00425060" w14:paraId="14BBF7C7"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11107B0D"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404D4EC1"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 xml:space="preserve">Krasnodar </w:t>
            </w:r>
            <w:proofErr w:type="spellStart"/>
            <w:r w:rsidRPr="00425060">
              <w:rPr>
                <w:rFonts w:ascii="Calibri" w:eastAsia="Times New Roman" w:hAnsi="Calibri" w:cs="Times New Roman"/>
                <w:color w:val="000000"/>
                <w:sz w:val="20"/>
                <w:szCs w:val="20"/>
              </w:rPr>
              <w:t>Krai</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70D3225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76 000</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6ED88651"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5 125</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3A5CC3D"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53%</w:t>
            </w:r>
          </w:p>
        </w:tc>
        <w:tc>
          <w:tcPr>
            <w:tcW w:w="992" w:type="dxa"/>
            <w:tcBorders>
              <w:top w:val="nil"/>
              <w:left w:val="nil"/>
              <w:right w:val="single" w:sz="4" w:space="0" w:color="auto"/>
            </w:tcBorders>
            <w:shd w:val="clear" w:color="auto" w:fill="auto"/>
            <w:noWrap/>
            <w:vAlign w:val="bottom"/>
            <w:hideMark/>
          </w:tcPr>
          <w:p w14:paraId="0A98E88D" w14:textId="77777777" w:rsidR="005072B1" w:rsidRPr="000D3441" w:rsidRDefault="005072B1" w:rsidP="005072B1">
            <w:pPr>
              <w:spacing w:before="120" w:after="0" w:line="252" w:lineRule="auto"/>
              <w:jc w:val="right"/>
              <w:rPr>
                <w:rFonts w:ascii="Calibri" w:eastAsia="Times New Roman" w:hAnsi="Calibri" w:cs="Times New Roman"/>
                <w:i/>
                <w:iCs/>
                <w:color w:val="000000"/>
                <w:sz w:val="20"/>
                <w:szCs w:val="20"/>
              </w:rPr>
            </w:pPr>
            <w:r w:rsidRPr="000D3441">
              <w:rPr>
                <w:rFonts w:ascii="Calibri" w:eastAsia="Times New Roman" w:hAnsi="Calibri" w:cs="Times New Roman"/>
                <w:i/>
                <w:iCs/>
                <w:color w:val="000000"/>
                <w:sz w:val="20"/>
                <w:szCs w:val="20"/>
              </w:rPr>
              <w:t>47%</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271E1907"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proofErr w:type="spellStart"/>
            <w:r w:rsidRPr="00425060">
              <w:rPr>
                <w:rFonts w:ascii="Calibri" w:eastAsia="Times New Roman" w:hAnsi="Calibri" w:cs="Times New Roman"/>
                <w:i/>
                <w:iCs/>
                <w:color w:val="000000"/>
                <w:sz w:val="20"/>
                <w:szCs w:val="20"/>
              </w:rPr>
              <w:t>n.a</w:t>
            </w:r>
            <w:proofErr w:type="spellEnd"/>
            <w:r w:rsidRPr="00425060">
              <w:rPr>
                <w:rFonts w:ascii="Calibri" w:eastAsia="Times New Roman" w:hAnsi="Calibri" w:cs="Times New Roman"/>
                <w:i/>
                <w:iCs/>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8B2F709"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67</w:t>
            </w:r>
          </w:p>
        </w:tc>
      </w:tr>
      <w:tr w:rsidR="005072B1" w:rsidRPr="00425060" w14:paraId="063F3DF7"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0A1D492A"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auto"/>
              <w:right w:val="nil"/>
            </w:tcBorders>
            <w:shd w:val="clear" w:color="DCE6F1" w:fill="DCE6F1"/>
            <w:noWrap/>
            <w:vAlign w:val="center"/>
            <w:hideMark/>
          </w:tcPr>
          <w:p w14:paraId="208C88C2"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Adygea</w:t>
            </w:r>
            <w:proofErr w:type="spellEnd"/>
            <w:r w:rsidRPr="00425060">
              <w:rPr>
                <w:rFonts w:ascii="Calibri" w:eastAsia="Times New Roman" w:hAnsi="Calibri" w:cs="Times New Roman"/>
                <w:color w:val="000000"/>
                <w:sz w:val="20"/>
                <w:szCs w:val="20"/>
              </w:rPr>
              <w:t xml:space="preserve"> </w:t>
            </w:r>
            <w:proofErr w:type="spellStart"/>
            <w:r w:rsidRPr="00425060">
              <w:rPr>
                <w:rFonts w:ascii="Calibri" w:eastAsia="Times New Roman" w:hAnsi="Calibri" w:cs="Times New Roman"/>
                <w:color w:val="000000"/>
                <w:sz w:val="20"/>
                <w:szCs w:val="20"/>
              </w:rPr>
              <w:t>Republic</w:t>
            </w:r>
            <w:proofErr w:type="spellEnd"/>
          </w:p>
        </w:tc>
        <w:tc>
          <w:tcPr>
            <w:tcW w:w="1417" w:type="dxa"/>
            <w:tcBorders>
              <w:top w:val="single" w:sz="4" w:space="0" w:color="95B3D7"/>
              <w:left w:val="single" w:sz="4" w:space="0" w:color="auto"/>
              <w:bottom w:val="single" w:sz="4" w:space="0" w:color="auto"/>
              <w:right w:val="nil"/>
            </w:tcBorders>
            <w:shd w:val="clear" w:color="DCE6F1" w:fill="DCE6F1"/>
            <w:noWrap/>
            <w:vAlign w:val="bottom"/>
            <w:hideMark/>
          </w:tcPr>
          <w:p w14:paraId="4A672C4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7 800</w:t>
            </w:r>
          </w:p>
        </w:tc>
        <w:tc>
          <w:tcPr>
            <w:tcW w:w="1276" w:type="dxa"/>
            <w:tcBorders>
              <w:top w:val="single" w:sz="4" w:space="0" w:color="95B3D7"/>
              <w:left w:val="single" w:sz="4" w:space="0" w:color="auto"/>
              <w:bottom w:val="single" w:sz="4" w:space="0" w:color="auto"/>
              <w:right w:val="nil"/>
            </w:tcBorders>
            <w:shd w:val="clear" w:color="DCE6F1" w:fill="DCE6F1"/>
            <w:noWrap/>
            <w:vAlign w:val="bottom"/>
            <w:hideMark/>
          </w:tcPr>
          <w:p w14:paraId="731B7E28"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450</w:t>
            </w:r>
          </w:p>
        </w:tc>
        <w:tc>
          <w:tcPr>
            <w:tcW w:w="992"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00C3ABDD"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53%</w:t>
            </w:r>
          </w:p>
        </w:tc>
        <w:tc>
          <w:tcPr>
            <w:tcW w:w="992" w:type="dxa"/>
            <w:tcBorders>
              <w:left w:val="single" w:sz="4" w:space="0" w:color="auto"/>
              <w:bottom w:val="single" w:sz="4" w:space="0" w:color="95B3D7"/>
              <w:right w:val="single" w:sz="4" w:space="0" w:color="auto"/>
            </w:tcBorders>
            <w:shd w:val="clear" w:color="DCE6F1" w:fill="DCE6F1"/>
            <w:noWrap/>
            <w:vAlign w:val="bottom"/>
            <w:hideMark/>
          </w:tcPr>
          <w:p w14:paraId="6DA4DCFA"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47%</w:t>
            </w:r>
          </w:p>
        </w:tc>
        <w:tc>
          <w:tcPr>
            <w:tcW w:w="1276"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68BE5CA7"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proofErr w:type="spellStart"/>
            <w:r w:rsidRPr="00425060">
              <w:rPr>
                <w:rFonts w:ascii="Calibri" w:eastAsia="Times New Roman" w:hAnsi="Calibri" w:cs="Times New Roman"/>
                <w:i/>
                <w:iCs/>
                <w:color w:val="000000"/>
                <w:sz w:val="20"/>
                <w:szCs w:val="20"/>
              </w:rPr>
              <w:t>n.a</w:t>
            </w:r>
            <w:proofErr w:type="spellEnd"/>
            <w:r w:rsidRPr="00425060">
              <w:rPr>
                <w:rFonts w:ascii="Calibri" w:eastAsia="Times New Roman" w:hAnsi="Calibri" w:cs="Times New Roman"/>
                <w:i/>
                <w:iCs/>
                <w:color w:val="000000"/>
                <w:sz w:val="20"/>
                <w:szCs w:val="20"/>
              </w:rPr>
              <w:t>.</w:t>
            </w:r>
          </w:p>
        </w:tc>
        <w:tc>
          <w:tcPr>
            <w:tcW w:w="1276"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69F56562" w14:textId="77777777" w:rsidR="005072B1" w:rsidRPr="00425060" w:rsidRDefault="005072B1" w:rsidP="005072B1">
            <w:pPr>
              <w:spacing w:before="120" w:after="0" w:line="252" w:lineRule="auto"/>
              <w:jc w:val="right"/>
              <w:rPr>
                <w:rFonts w:ascii="Calibri" w:eastAsia="Times New Roman" w:hAnsi="Calibri" w:cs="Times New Roman"/>
                <w:i/>
                <w:iCs/>
                <w:color w:val="000000"/>
                <w:sz w:val="20"/>
                <w:szCs w:val="20"/>
              </w:rPr>
            </w:pPr>
            <w:r w:rsidRPr="00425060">
              <w:rPr>
                <w:rFonts w:ascii="Calibri" w:eastAsia="Times New Roman" w:hAnsi="Calibri" w:cs="Times New Roman"/>
                <w:i/>
                <w:iCs/>
                <w:color w:val="000000"/>
                <w:sz w:val="20"/>
                <w:szCs w:val="20"/>
              </w:rPr>
              <w:t>57</w:t>
            </w:r>
          </w:p>
        </w:tc>
      </w:tr>
      <w:tr w:rsidR="005072B1" w:rsidRPr="00425060" w14:paraId="12C2E3D2" w14:textId="77777777" w:rsidTr="005072B1">
        <w:trPr>
          <w:trHeight w:val="280"/>
        </w:trPr>
        <w:tc>
          <w:tcPr>
            <w:tcW w:w="1300" w:type="dxa"/>
            <w:tcBorders>
              <w:top w:val="single" w:sz="4" w:space="0" w:color="auto"/>
              <w:left w:val="single" w:sz="4" w:space="0" w:color="auto"/>
              <w:bottom w:val="single" w:sz="4" w:space="0" w:color="95B3D7"/>
              <w:right w:val="nil"/>
            </w:tcBorders>
            <w:shd w:val="clear" w:color="auto" w:fill="auto"/>
            <w:noWrap/>
            <w:vAlign w:val="center"/>
            <w:hideMark/>
          </w:tcPr>
          <w:p w14:paraId="4338ECA5" w14:textId="57CA6EAF" w:rsidR="005072B1" w:rsidRPr="00425060" w:rsidRDefault="005072B1" w:rsidP="000305DD">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TURKEY</w:t>
            </w:r>
            <w:r w:rsidR="000305DD">
              <w:rPr>
                <w:rStyle w:val="EndnoteReference"/>
                <w:rFonts w:ascii="Calibri" w:eastAsia="Times New Roman" w:hAnsi="Calibri" w:cs="Times New Roman"/>
                <w:b/>
                <w:bCs/>
                <w:color w:val="000000"/>
                <w:sz w:val="20"/>
                <w:szCs w:val="20"/>
              </w:rPr>
              <w:endnoteReference w:id="2"/>
            </w: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79DB4D74" w14:textId="77777777" w:rsidR="005072B1" w:rsidRPr="00425060" w:rsidRDefault="00112DE1" w:rsidP="005072B1">
            <w:pPr>
              <w:spacing w:before="120" w:after="0" w:line="252" w:lineRule="auto"/>
              <w:jc w:val="both"/>
              <w:rPr>
                <w:rFonts w:ascii="Calibri" w:eastAsia="Times New Roman" w:hAnsi="Calibri" w:cs="Times New Roman"/>
                <w:color w:val="000000"/>
                <w:sz w:val="20"/>
                <w:szCs w:val="20"/>
              </w:rPr>
            </w:pPr>
            <w:r w:rsidRPr="000174E4">
              <w:rPr>
                <w:rFonts w:ascii="Calibri" w:eastAsia="Times New Roman" w:hAnsi="Calibri" w:cs="Times New Roman"/>
                <w:color w:val="000000"/>
                <w:sz w:val="20"/>
                <w:szCs w:val="20"/>
              </w:rPr>
              <w:t>İstanbul</w:t>
            </w:r>
            <w:r w:rsidR="005072B1" w:rsidRPr="00425060">
              <w:rPr>
                <w:rFonts w:ascii="Calibri" w:eastAsia="Times New Roman" w:hAnsi="Calibri" w:cs="Times New Roman"/>
                <w:color w:val="000000"/>
                <w:sz w:val="20"/>
                <w:szCs w:val="20"/>
              </w:rPr>
              <w:t xml:space="preserve"> (TR10)</w:t>
            </w:r>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6D37615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5 196</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009E0660" w14:textId="61822A3B"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14 377</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967342A" w14:textId="599AF778"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100</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7491E4E" w14:textId="29148EDC"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6B1C5C9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A1A01C6" w14:textId="14B966B7"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2 767</w:t>
            </w:r>
          </w:p>
        </w:tc>
      </w:tr>
      <w:tr w:rsidR="005072B1" w:rsidRPr="00425060" w14:paraId="216E9F6A"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59AAAF6D"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0418D506" w14:textId="77777777" w:rsidR="005072B1" w:rsidRPr="00425060" w:rsidRDefault="00253676" w:rsidP="005072B1">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Tekirdağ</w:t>
            </w:r>
            <w:r>
              <w:rPr>
                <w:rFonts w:ascii="Calibri" w:eastAsia="Times New Roman" w:hAnsi="Calibri" w:cs="Times New Roman"/>
                <w:color w:val="000000"/>
                <w:sz w:val="20"/>
                <w:szCs w:val="20"/>
              </w:rPr>
              <w:t xml:space="preserve">, </w:t>
            </w:r>
            <w:r w:rsidRPr="00253676">
              <w:rPr>
                <w:rFonts w:ascii="Calibri" w:eastAsia="Times New Roman" w:hAnsi="Calibri" w:cs="Times New Roman"/>
                <w:color w:val="000000"/>
                <w:sz w:val="20"/>
                <w:szCs w:val="20"/>
              </w:rPr>
              <w:t xml:space="preserve">Edirne, Kırklareli </w:t>
            </w:r>
            <w:r>
              <w:rPr>
                <w:rFonts w:ascii="Calibri" w:eastAsia="Times New Roman" w:hAnsi="Calibri" w:cs="Times New Roman"/>
                <w:color w:val="000000"/>
                <w:sz w:val="20"/>
                <w:szCs w:val="20"/>
              </w:rPr>
              <w:t xml:space="preserve"> </w:t>
            </w:r>
            <w:r w:rsidR="005072B1" w:rsidRPr="00425060">
              <w:rPr>
                <w:rFonts w:ascii="Calibri" w:eastAsia="Times New Roman" w:hAnsi="Calibri" w:cs="Times New Roman"/>
                <w:color w:val="000000"/>
                <w:sz w:val="20"/>
                <w:szCs w:val="20"/>
              </w:rPr>
              <w:t>(TR21)</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47B0F449"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18 665</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6A987BB2" w14:textId="27A63753"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1 651</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6CE3A12" w14:textId="12693793"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83</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096BFA5" w14:textId="2EA53183"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17</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2430791"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0860B5C" w14:textId="6985B2BB"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88</w:t>
            </w:r>
          </w:p>
        </w:tc>
      </w:tr>
      <w:tr w:rsidR="005072B1" w:rsidRPr="00425060" w14:paraId="74FBFD66"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2BE67AED"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4406B2A2" w14:textId="77777777" w:rsidR="005072B1" w:rsidRPr="00425060" w:rsidRDefault="00253676" w:rsidP="005072B1">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 xml:space="preserve">Kocaeli, Sakarya, </w:t>
            </w:r>
            <w:proofErr w:type="spellStart"/>
            <w:r w:rsidRPr="00253676">
              <w:rPr>
                <w:rFonts w:ascii="Calibri" w:eastAsia="Times New Roman" w:hAnsi="Calibri" w:cs="Times New Roman"/>
                <w:color w:val="000000"/>
                <w:sz w:val="20"/>
                <w:szCs w:val="20"/>
              </w:rPr>
              <w:t>Düzce</w:t>
            </w:r>
            <w:proofErr w:type="spellEnd"/>
            <w:r w:rsidRPr="00253676">
              <w:rPr>
                <w:rFonts w:ascii="Calibri" w:eastAsia="Times New Roman" w:hAnsi="Calibri" w:cs="Times New Roman"/>
                <w:color w:val="000000"/>
                <w:sz w:val="20"/>
                <w:szCs w:val="20"/>
              </w:rPr>
              <w:t xml:space="preserve">, Bolu, </w:t>
            </w:r>
            <w:proofErr w:type="spellStart"/>
            <w:r w:rsidRPr="00253676">
              <w:rPr>
                <w:rFonts w:ascii="Calibri" w:eastAsia="Times New Roman" w:hAnsi="Calibri" w:cs="Times New Roman"/>
                <w:color w:val="000000"/>
                <w:sz w:val="20"/>
                <w:szCs w:val="20"/>
              </w:rPr>
              <w:t>Yalova</w:t>
            </w:r>
            <w:proofErr w:type="spellEnd"/>
            <w:r w:rsidRPr="00253676">
              <w:rPr>
                <w:rFonts w:ascii="Calibri" w:eastAsia="Times New Roman" w:hAnsi="Calibri" w:cs="Times New Roman"/>
                <w:color w:val="000000"/>
                <w:sz w:val="20"/>
                <w:szCs w:val="20"/>
              </w:rPr>
              <w:t xml:space="preserve"> </w:t>
            </w:r>
            <w:r w:rsidR="005072B1" w:rsidRPr="00425060">
              <w:rPr>
                <w:rFonts w:ascii="Calibri" w:eastAsia="Times New Roman" w:hAnsi="Calibri" w:cs="Times New Roman"/>
                <w:color w:val="000000"/>
                <w:sz w:val="20"/>
                <w:szCs w:val="20"/>
              </w:rPr>
              <w:t>(TR42)</w:t>
            </w:r>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4FFFD73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20 184</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24EFC461" w14:textId="49268FD7"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3 522</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D4D7297" w14:textId="1EDD983D"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88</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F31CAEB" w14:textId="67691820"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4427ED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6083C3F" w14:textId="40E7FCE4"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175</w:t>
            </w:r>
          </w:p>
        </w:tc>
      </w:tr>
      <w:tr w:rsidR="005072B1" w:rsidRPr="00425060" w14:paraId="67EC7149"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02351AF5"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4A57E7DE" w14:textId="77777777" w:rsidR="005072B1" w:rsidRPr="00425060" w:rsidRDefault="00253676" w:rsidP="005072B1">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Zonguldak, Karabük, Bartın</w:t>
            </w:r>
            <w:r w:rsidR="005072B1" w:rsidRPr="00425060">
              <w:rPr>
                <w:rFonts w:ascii="Calibri" w:eastAsia="Times New Roman" w:hAnsi="Calibri" w:cs="Times New Roman"/>
                <w:color w:val="000000"/>
                <w:sz w:val="20"/>
                <w:szCs w:val="20"/>
              </w:rPr>
              <w:t xml:space="preserve"> (TR81)</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296718B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9 493</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732B6ED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1 020</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447B91E" w14:textId="45CF687A"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54</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E95A8B7" w14:textId="362614BB"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46</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E762EC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6ED47E8"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107</w:t>
            </w:r>
          </w:p>
        </w:tc>
      </w:tr>
      <w:tr w:rsidR="005072B1" w:rsidRPr="00425060" w14:paraId="10B2E3DA"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74C2EDD6"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752B0F4B" w14:textId="77777777" w:rsidR="005072B1" w:rsidRPr="00425060" w:rsidRDefault="00253676" w:rsidP="005072B1">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Kastamonu, Çankırı, Sinop</w:t>
            </w:r>
            <w:r w:rsidR="005072B1" w:rsidRPr="00425060">
              <w:rPr>
                <w:rFonts w:ascii="Calibri" w:eastAsia="Times New Roman" w:hAnsi="Calibri" w:cs="Times New Roman"/>
                <w:color w:val="000000"/>
                <w:sz w:val="20"/>
                <w:szCs w:val="20"/>
              </w:rPr>
              <w:t xml:space="preserve"> (TR82)</w:t>
            </w:r>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0FF6A77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26 435</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04830D0C" w14:textId="6DF62917"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757</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2983B29" w14:textId="1ABD59F2"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36</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5225768" w14:textId="17934B6C"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64</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617FFD8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62D3E12" w14:textId="1F4E5270"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29</w:t>
            </w:r>
          </w:p>
        </w:tc>
      </w:tr>
      <w:tr w:rsidR="005072B1" w:rsidRPr="00425060" w14:paraId="5833E2CF"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39DBD539"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418FB9EF" w14:textId="77777777" w:rsidR="005072B1" w:rsidRPr="00682784" w:rsidRDefault="00253676" w:rsidP="005072B1">
            <w:pPr>
              <w:spacing w:before="120" w:after="0" w:line="252" w:lineRule="auto"/>
              <w:jc w:val="both"/>
              <w:rPr>
                <w:rFonts w:ascii="Calibri" w:eastAsia="Times New Roman" w:hAnsi="Calibri" w:cs="Times New Roman"/>
                <w:color w:val="000000"/>
                <w:sz w:val="20"/>
                <w:szCs w:val="20"/>
                <w:lang w:val="en-GB"/>
              </w:rPr>
            </w:pPr>
            <w:r w:rsidRPr="00682784">
              <w:rPr>
                <w:rFonts w:ascii="Calibri" w:eastAsia="Times New Roman" w:hAnsi="Calibri" w:cs="Times New Roman"/>
                <w:color w:val="000000"/>
                <w:sz w:val="20"/>
                <w:szCs w:val="20"/>
                <w:lang w:val="en-GB"/>
              </w:rPr>
              <w:t xml:space="preserve">Samsun, </w:t>
            </w:r>
            <w:proofErr w:type="spellStart"/>
            <w:r w:rsidRPr="00682784">
              <w:rPr>
                <w:rFonts w:ascii="Calibri" w:eastAsia="Times New Roman" w:hAnsi="Calibri" w:cs="Times New Roman"/>
                <w:color w:val="000000"/>
                <w:sz w:val="20"/>
                <w:szCs w:val="20"/>
                <w:lang w:val="en-GB"/>
              </w:rPr>
              <w:t>Tokat</w:t>
            </w:r>
            <w:proofErr w:type="spellEnd"/>
            <w:r w:rsidRPr="00682784">
              <w:rPr>
                <w:rFonts w:ascii="Calibri" w:eastAsia="Times New Roman" w:hAnsi="Calibri" w:cs="Times New Roman"/>
                <w:color w:val="000000"/>
                <w:sz w:val="20"/>
                <w:szCs w:val="20"/>
                <w:lang w:val="en-GB"/>
              </w:rPr>
              <w:t xml:space="preserve">, </w:t>
            </w:r>
            <w:proofErr w:type="spellStart"/>
            <w:r w:rsidRPr="00682784">
              <w:rPr>
                <w:rFonts w:ascii="Calibri" w:eastAsia="Times New Roman" w:hAnsi="Calibri" w:cs="Times New Roman"/>
                <w:color w:val="000000"/>
                <w:sz w:val="20"/>
                <w:szCs w:val="20"/>
                <w:lang w:val="en-GB"/>
              </w:rPr>
              <w:t>Çorum</w:t>
            </w:r>
            <w:proofErr w:type="spellEnd"/>
            <w:r w:rsidRPr="00682784">
              <w:rPr>
                <w:rFonts w:ascii="Calibri" w:eastAsia="Times New Roman" w:hAnsi="Calibri" w:cs="Times New Roman"/>
                <w:color w:val="000000"/>
                <w:sz w:val="20"/>
                <w:szCs w:val="20"/>
                <w:lang w:val="en-GB"/>
              </w:rPr>
              <w:t xml:space="preserve">, </w:t>
            </w:r>
            <w:proofErr w:type="spellStart"/>
            <w:r w:rsidRPr="00682784">
              <w:rPr>
                <w:rFonts w:ascii="Calibri" w:eastAsia="Times New Roman" w:hAnsi="Calibri" w:cs="Times New Roman"/>
                <w:color w:val="000000"/>
                <w:sz w:val="20"/>
                <w:szCs w:val="20"/>
                <w:lang w:val="en-GB"/>
              </w:rPr>
              <w:t>Amasya</w:t>
            </w:r>
            <w:proofErr w:type="spellEnd"/>
            <w:r w:rsidR="005072B1" w:rsidRPr="00682784">
              <w:rPr>
                <w:rFonts w:ascii="Calibri" w:eastAsia="Times New Roman" w:hAnsi="Calibri" w:cs="Times New Roman"/>
                <w:color w:val="000000"/>
                <w:sz w:val="20"/>
                <w:szCs w:val="20"/>
                <w:lang w:val="en-GB"/>
              </w:rPr>
              <w:t xml:space="preserve"> (TR83)</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41DCD19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37 524</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4F60E6BE" w14:textId="764DBCBB" w:rsidR="005072B1" w:rsidRPr="00425060" w:rsidRDefault="008B2E86"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2 717</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380E7E8" w14:textId="6D3068C9"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34D83CE" w14:textId="7530D8FC"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24</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FC6251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0F8ABAF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72</w:t>
            </w:r>
          </w:p>
        </w:tc>
      </w:tr>
      <w:tr w:rsidR="005072B1" w:rsidRPr="00425060" w14:paraId="32C2F226"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5990FECE"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auto"/>
              <w:right w:val="nil"/>
            </w:tcBorders>
            <w:shd w:val="clear" w:color="auto" w:fill="auto"/>
            <w:noWrap/>
            <w:vAlign w:val="center"/>
            <w:hideMark/>
          </w:tcPr>
          <w:p w14:paraId="2A8C1C59" w14:textId="77777777" w:rsidR="005072B1" w:rsidRPr="00F04553" w:rsidRDefault="00253676" w:rsidP="005072B1">
            <w:pPr>
              <w:spacing w:before="120" w:after="0" w:line="252" w:lineRule="auto"/>
              <w:jc w:val="both"/>
              <w:rPr>
                <w:rFonts w:ascii="Calibri" w:eastAsia="Times New Roman" w:hAnsi="Calibri" w:cs="Times New Roman"/>
                <w:color w:val="000000"/>
                <w:sz w:val="20"/>
                <w:szCs w:val="20"/>
                <w:lang w:val="it-IT"/>
              </w:rPr>
            </w:pPr>
            <w:r w:rsidRPr="00F04553">
              <w:rPr>
                <w:rFonts w:ascii="Calibri" w:eastAsia="Times New Roman" w:hAnsi="Calibri" w:cs="Times New Roman"/>
                <w:color w:val="000000"/>
                <w:sz w:val="20"/>
                <w:szCs w:val="20"/>
                <w:lang w:val="it-IT"/>
              </w:rPr>
              <w:t>Trabzon, Ordu, Giresun, Rize, Artvin, Gümüşhane</w:t>
            </w:r>
            <w:r w:rsidR="005072B1" w:rsidRPr="00F04553">
              <w:rPr>
                <w:rFonts w:ascii="Calibri" w:eastAsia="Times New Roman" w:hAnsi="Calibri" w:cs="Times New Roman"/>
                <w:color w:val="000000"/>
                <w:sz w:val="20"/>
                <w:szCs w:val="20"/>
                <w:lang w:val="it-IT"/>
              </w:rPr>
              <w:t xml:space="preserve"> (TR90)</w:t>
            </w:r>
          </w:p>
        </w:tc>
        <w:tc>
          <w:tcPr>
            <w:tcW w:w="1417" w:type="dxa"/>
            <w:tcBorders>
              <w:top w:val="single" w:sz="4" w:space="0" w:color="95B3D7"/>
              <w:left w:val="single" w:sz="4" w:space="0" w:color="auto"/>
              <w:bottom w:val="single" w:sz="4" w:space="0" w:color="auto"/>
              <w:right w:val="nil"/>
            </w:tcBorders>
            <w:shd w:val="clear" w:color="auto" w:fill="auto"/>
            <w:noWrap/>
            <w:vAlign w:val="bottom"/>
            <w:hideMark/>
          </w:tcPr>
          <w:p w14:paraId="5C28514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35 174</w:t>
            </w:r>
          </w:p>
        </w:tc>
        <w:tc>
          <w:tcPr>
            <w:tcW w:w="1276" w:type="dxa"/>
            <w:tcBorders>
              <w:top w:val="single" w:sz="4" w:space="0" w:color="95B3D7"/>
              <w:left w:val="single" w:sz="4" w:space="0" w:color="auto"/>
              <w:bottom w:val="single" w:sz="4" w:space="0" w:color="auto"/>
              <w:right w:val="nil"/>
            </w:tcBorders>
            <w:shd w:val="clear" w:color="auto" w:fill="auto"/>
            <w:noWrap/>
            <w:vAlign w:val="bottom"/>
            <w:hideMark/>
          </w:tcPr>
          <w:p w14:paraId="11C40869" w14:textId="3C367659" w:rsidR="005072B1" w:rsidRPr="00425060" w:rsidRDefault="008B2E86"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2 567</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28836D47" w14:textId="10670B07"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66</w:t>
            </w:r>
            <w:r w:rsidR="005072B1" w:rsidRPr="00425060">
              <w:rPr>
                <w:rFonts w:ascii="Calibri" w:eastAsia="Times New Roman" w:hAnsi="Calibri" w:cs="Times New Roman"/>
                <w:color w:val="000000"/>
                <w:sz w:val="20"/>
                <w:szCs w:val="20"/>
              </w:rPr>
              <w:t>%</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503FB0F" w14:textId="5C1EC516" w:rsidR="005072B1" w:rsidRPr="00425060" w:rsidRDefault="00D53F74"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34</w:t>
            </w:r>
            <w:r w:rsidR="005072B1" w:rsidRPr="00425060">
              <w:rPr>
                <w:rFonts w:ascii="Calibri" w:eastAsia="Times New Roman" w:hAnsi="Calibri" w:cs="Times New Roman"/>
                <w:color w:val="000000"/>
                <w:sz w:val="20"/>
                <w:szCs w:val="20"/>
              </w:rPr>
              <w:t>%</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14C3461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2265B44F" w14:textId="237BCA04" w:rsidR="005072B1" w:rsidRPr="00425060" w:rsidRDefault="001914FE" w:rsidP="005072B1">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73</w:t>
            </w:r>
          </w:p>
        </w:tc>
      </w:tr>
      <w:tr w:rsidR="005072B1" w:rsidRPr="00425060" w14:paraId="7D5D7E5A" w14:textId="77777777" w:rsidTr="005072B1">
        <w:trPr>
          <w:trHeight w:val="280"/>
        </w:trPr>
        <w:tc>
          <w:tcPr>
            <w:tcW w:w="1300" w:type="dxa"/>
            <w:tcBorders>
              <w:top w:val="single" w:sz="4" w:space="0" w:color="auto"/>
              <w:left w:val="single" w:sz="4" w:space="0" w:color="auto"/>
              <w:bottom w:val="single" w:sz="4" w:space="0" w:color="95B3D7"/>
              <w:right w:val="nil"/>
            </w:tcBorders>
            <w:shd w:val="clear" w:color="DCE6F1" w:fill="DCE6F1"/>
            <w:noWrap/>
            <w:vAlign w:val="center"/>
            <w:hideMark/>
          </w:tcPr>
          <w:p w14:paraId="7BD05F29"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UKRAINE</w:t>
            </w: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03DFB36A"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Odeska</w:t>
            </w:r>
            <w:proofErr w:type="spellEnd"/>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37F2A560"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33 300</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72BF32B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2 395</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C0A2E7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67%</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DA6434F"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33%</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0E70F5A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E8C09B7"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72</w:t>
            </w:r>
          </w:p>
        </w:tc>
      </w:tr>
      <w:tr w:rsidR="005072B1" w:rsidRPr="00425060" w14:paraId="3B108A65"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06C550D7"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5ABAEB3F"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Mykolaiv</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4FDFB0F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24 585</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5395E9B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1 174</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933414F"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68%</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E5D3FE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32%</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5A695057"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53C0821"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48</w:t>
            </w:r>
          </w:p>
        </w:tc>
      </w:tr>
      <w:tr w:rsidR="005072B1" w:rsidRPr="00425060" w14:paraId="475E3029"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049A0535"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23C684CB"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Kherson</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11E11E9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28 500</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04602FBA"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1 078</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9139901"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61%</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FE1C288"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39%</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2F0CF53"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5</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B4E56A1"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38</w:t>
            </w:r>
          </w:p>
        </w:tc>
      </w:tr>
      <w:tr w:rsidR="005072B1" w:rsidRPr="00425060" w14:paraId="129A85D2"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036A6E4A"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2515B4BF"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Zaporosh'ye</w:t>
            </w:r>
            <w:proofErr w:type="spellEnd"/>
            <w:r w:rsidRPr="00425060">
              <w:rPr>
                <w:rFonts w:ascii="Calibri" w:eastAsia="Times New Roman" w:hAnsi="Calibri" w:cs="Times New Roman"/>
                <w:color w:val="000000"/>
                <w:sz w:val="20"/>
                <w:szCs w:val="20"/>
              </w:rPr>
              <w:t xml:space="preserve"> Oblast</w:t>
            </w:r>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4CC3CF2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27 200</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0EEE640F"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1 785</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6A814DF7"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77%</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D98F79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23%</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06017A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179395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66</w:t>
            </w:r>
          </w:p>
        </w:tc>
      </w:tr>
      <w:tr w:rsidR="005072B1" w:rsidRPr="00425060" w14:paraId="6B6F2282"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4D0C8562"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DCE6F1" w:fill="DCE6F1"/>
            <w:noWrap/>
            <w:vAlign w:val="center"/>
            <w:hideMark/>
          </w:tcPr>
          <w:p w14:paraId="7465CE00"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Donetsk Oblast</w:t>
            </w:r>
          </w:p>
        </w:tc>
        <w:tc>
          <w:tcPr>
            <w:tcW w:w="1417" w:type="dxa"/>
            <w:tcBorders>
              <w:top w:val="single" w:sz="4" w:space="0" w:color="95B3D7"/>
              <w:left w:val="single" w:sz="4" w:space="0" w:color="auto"/>
              <w:bottom w:val="single" w:sz="4" w:space="0" w:color="95B3D7"/>
              <w:right w:val="nil"/>
            </w:tcBorders>
            <w:shd w:val="clear" w:color="DCE6F1" w:fill="DCE6F1"/>
            <w:noWrap/>
            <w:vAlign w:val="bottom"/>
            <w:hideMark/>
          </w:tcPr>
          <w:p w14:paraId="009CC83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26 517</w:t>
            </w:r>
          </w:p>
        </w:tc>
        <w:tc>
          <w:tcPr>
            <w:tcW w:w="1276" w:type="dxa"/>
            <w:tcBorders>
              <w:top w:val="single" w:sz="4" w:space="0" w:color="95B3D7"/>
              <w:left w:val="single" w:sz="4" w:space="0" w:color="auto"/>
              <w:bottom w:val="single" w:sz="4" w:space="0" w:color="95B3D7"/>
              <w:right w:val="nil"/>
            </w:tcBorders>
            <w:shd w:val="clear" w:color="DCE6F1" w:fill="DCE6F1"/>
            <w:noWrap/>
            <w:vAlign w:val="bottom"/>
            <w:hideMark/>
          </w:tcPr>
          <w:p w14:paraId="19B8D2C0"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4 375</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279C62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91%</w:t>
            </w:r>
          </w:p>
        </w:tc>
        <w:tc>
          <w:tcPr>
            <w:tcW w:w="992"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4B3803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54A0556"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27</w:t>
            </w:r>
          </w:p>
        </w:tc>
        <w:tc>
          <w:tcPr>
            <w:tcW w:w="1276"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3BB81C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165</w:t>
            </w:r>
          </w:p>
        </w:tc>
      </w:tr>
      <w:tr w:rsidR="005072B1" w:rsidRPr="00425060" w14:paraId="1A1133D5" w14:textId="77777777" w:rsidTr="005072B1">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218BC64C"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p>
        </w:tc>
        <w:tc>
          <w:tcPr>
            <w:tcW w:w="1976" w:type="dxa"/>
            <w:tcBorders>
              <w:top w:val="single" w:sz="4" w:space="0" w:color="95B3D7"/>
              <w:left w:val="single" w:sz="4" w:space="0" w:color="auto"/>
              <w:bottom w:val="single" w:sz="4" w:space="0" w:color="95B3D7"/>
              <w:right w:val="nil"/>
            </w:tcBorders>
            <w:shd w:val="clear" w:color="auto" w:fill="auto"/>
            <w:noWrap/>
            <w:vAlign w:val="center"/>
            <w:hideMark/>
          </w:tcPr>
          <w:p w14:paraId="0A4308D6"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Crimea</w:t>
            </w:r>
            <w:proofErr w:type="spellEnd"/>
            <w:r w:rsidRPr="00425060">
              <w:rPr>
                <w:rFonts w:ascii="Calibri" w:eastAsia="Times New Roman" w:hAnsi="Calibri" w:cs="Times New Roman"/>
                <w:color w:val="000000"/>
                <w:sz w:val="20"/>
                <w:szCs w:val="20"/>
              </w:rPr>
              <w:t xml:space="preserve"> </w:t>
            </w:r>
            <w:proofErr w:type="spellStart"/>
            <w:r w:rsidRPr="00425060">
              <w:rPr>
                <w:rFonts w:ascii="Calibri" w:eastAsia="Times New Roman" w:hAnsi="Calibri" w:cs="Times New Roman"/>
                <w:color w:val="000000"/>
                <w:sz w:val="20"/>
                <w:szCs w:val="20"/>
              </w:rPr>
              <w:t>Republic</w:t>
            </w:r>
            <w:proofErr w:type="spellEnd"/>
          </w:p>
        </w:tc>
        <w:tc>
          <w:tcPr>
            <w:tcW w:w="1417" w:type="dxa"/>
            <w:tcBorders>
              <w:top w:val="single" w:sz="4" w:space="0" w:color="95B3D7"/>
              <w:left w:val="single" w:sz="4" w:space="0" w:color="auto"/>
              <w:bottom w:val="single" w:sz="4" w:space="0" w:color="95B3D7"/>
              <w:right w:val="nil"/>
            </w:tcBorders>
            <w:shd w:val="clear" w:color="auto" w:fill="auto"/>
            <w:noWrap/>
            <w:vAlign w:val="bottom"/>
            <w:hideMark/>
          </w:tcPr>
          <w:p w14:paraId="48B6A833"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26 081</w:t>
            </w:r>
          </w:p>
        </w:tc>
        <w:tc>
          <w:tcPr>
            <w:tcW w:w="1276" w:type="dxa"/>
            <w:tcBorders>
              <w:top w:val="single" w:sz="4" w:space="0" w:color="95B3D7"/>
              <w:left w:val="single" w:sz="4" w:space="0" w:color="auto"/>
              <w:bottom w:val="single" w:sz="4" w:space="0" w:color="95B3D7"/>
              <w:right w:val="nil"/>
            </w:tcBorders>
            <w:shd w:val="clear" w:color="auto" w:fill="auto"/>
            <w:noWrap/>
            <w:vAlign w:val="bottom"/>
            <w:hideMark/>
          </w:tcPr>
          <w:p w14:paraId="225F77AF"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1 965</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37F2F2B"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63%</w:t>
            </w:r>
          </w:p>
        </w:tc>
        <w:tc>
          <w:tcPr>
            <w:tcW w:w="992"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141601D"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37%</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410E3B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11</w:t>
            </w:r>
          </w:p>
        </w:tc>
        <w:tc>
          <w:tcPr>
            <w:tcW w:w="1276"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56FBEF1E"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75</w:t>
            </w:r>
          </w:p>
        </w:tc>
      </w:tr>
      <w:tr w:rsidR="005072B1" w:rsidRPr="00425060" w14:paraId="7F122B4D" w14:textId="77777777" w:rsidTr="005072B1">
        <w:trPr>
          <w:trHeight w:val="280"/>
        </w:trPr>
        <w:tc>
          <w:tcPr>
            <w:tcW w:w="1300" w:type="dxa"/>
            <w:tcBorders>
              <w:top w:val="single" w:sz="4" w:space="0" w:color="95B3D7"/>
              <w:left w:val="single" w:sz="4" w:space="0" w:color="auto"/>
              <w:bottom w:val="single" w:sz="4" w:space="0" w:color="auto"/>
              <w:right w:val="nil"/>
            </w:tcBorders>
            <w:shd w:val="clear" w:color="DCE6F1" w:fill="DCE6F1"/>
            <w:noWrap/>
            <w:vAlign w:val="center"/>
            <w:hideMark/>
          </w:tcPr>
          <w:p w14:paraId="20FE355E"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 </w:t>
            </w:r>
          </w:p>
        </w:tc>
        <w:tc>
          <w:tcPr>
            <w:tcW w:w="1976" w:type="dxa"/>
            <w:tcBorders>
              <w:top w:val="single" w:sz="4" w:space="0" w:color="95B3D7"/>
              <w:left w:val="single" w:sz="4" w:space="0" w:color="auto"/>
              <w:bottom w:val="single" w:sz="4" w:space="0" w:color="auto"/>
              <w:right w:val="nil"/>
            </w:tcBorders>
            <w:shd w:val="clear" w:color="DCE6F1" w:fill="DCE6F1"/>
            <w:noWrap/>
            <w:vAlign w:val="center"/>
            <w:hideMark/>
          </w:tcPr>
          <w:p w14:paraId="53521976"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proofErr w:type="spellStart"/>
            <w:r w:rsidRPr="00425060">
              <w:rPr>
                <w:rFonts w:ascii="Calibri" w:eastAsia="Times New Roman" w:hAnsi="Calibri" w:cs="Times New Roman"/>
                <w:color w:val="000000"/>
                <w:sz w:val="20"/>
                <w:szCs w:val="20"/>
              </w:rPr>
              <w:t>Sevastopol</w:t>
            </w:r>
            <w:proofErr w:type="spellEnd"/>
          </w:p>
        </w:tc>
        <w:tc>
          <w:tcPr>
            <w:tcW w:w="1417" w:type="dxa"/>
            <w:tcBorders>
              <w:top w:val="single" w:sz="4" w:space="0" w:color="95B3D7"/>
              <w:left w:val="single" w:sz="4" w:space="0" w:color="auto"/>
              <w:bottom w:val="single" w:sz="4" w:space="0" w:color="auto"/>
              <w:right w:val="nil"/>
            </w:tcBorders>
            <w:shd w:val="clear" w:color="DCE6F1" w:fill="DCE6F1"/>
            <w:noWrap/>
            <w:vAlign w:val="bottom"/>
            <w:hideMark/>
          </w:tcPr>
          <w:p w14:paraId="0FA7943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8 635</w:t>
            </w:r>
          </w:p>
        </w:tc>
        <w:tc>
          <w:tcPr>
            <w:tcW w:w="1276" w:type="dxa"/>
            <w:tcBorders>
              <w:top w:val="single" w:sz="4" w:space="0" w:color="95B3D7"/>
              <w:left w:val="single" w:sz="4" w:space="0" w:color="auto"/>
              <w:bottom w:val="single" w:sz="4" w:space="0" w:color="auto"/>
              <w:right w:val="nil"/>
            </w:tcBorders>
            <w:shd w:val="clear" w:color="DCE6F1" w:fill="DCE6F1"/>
            <w:noWrap/>
            <w:vAlign w:val="bottom"/>
            <w:hideMark/>
          </w:tcPr>
          <w:p w14:paraId="2AECEADA"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383</w:t>
            </w:r>
          </w:p>
        </w:tc>
        <w:tc>
          <w:tcPr>
            <w:tcW w:w="992"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5DFA78DF"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94%</w:t>
            </w:r>
          </w:p>
        </w:tc>
        <w:tc>
          <w:tcPr>
            <w:tcW w:w="992"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6CFBEE62"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6%</w:t>
            </w:r>
          </w:p>
        </w:tc>
        <w:tc>
          <w:tcPr>
            <w:tcW w:w="1276"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17F50A9C"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1</w:t>
            </w:r>
          </w:p>
        </w:tc>
        <w:tc>
          <w:tcPr>
            <w:tcW w:w="1276"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2EA4B074" w14:textId="77777777" w:rsidR="005072B1" w:rsidRPr="00425060" w:rsidRDefault="005072B1" w:rsidP="005072B1">
            <w:pPr>
              <w:spacing w:before="120" w:after="0" w:line="252" w:lineRule="auto"/>
              <w:jc w:val="right"/>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444</w:t>
            </w:r>
          </w:p>
        </w:tc>
      </w:tr>
      <w:tr w:rsidR="005072B1" w:rsidRPr="00425060" w14:paraId="4A90F2E7" w14:textId="77777777" w:rsidTr="005072B1">
        <w:trPr>
          <w:trHeight w:val="300"/>
        </w:trPr>
        <w:tc>
          <w:tcPr>
            <w:tcW w:w="1300" w:type="dxa"/>
            <w:tcBorders>
              <w:top w:val="single" w:sz="4" w:space="0" w:color="95B3D7"/>
              <w:left w:val="single" w:sz="4" w:space="0" w:color="auto"/>
              <w:bottom w:val="single" w:sz="4" w:space="0" w:color="auto"/>
              <w:right w:val="single" w:sz="4" w:space="0" w:color="auto"/>
            </w:tcBorders>
            <w:shd w:val="clear" w:color="auto" w:fill="auto"/>
            <w:noWrap/>
            <w:vAlign w:val="center"/>
            <w:hideMark/>
          </w:tcPr>
          <w:p w14:paraId="77142F04" w14:textId="77777777" w:rsidR="005072B1" w:rsidRPr="00425060" w:rsidRDefault="005072B1" w:rsidP="005072B1">
            <w:pPr>
              <w:spacing w:before="120" w:after="0" w:line="252" w:lineRule="auto"/>
              <w:rPr>
                <w:rFonts w:ascii="Calibri" w:eastAsia="Times New Roman" w:hAnsi="Calibri" w:cs="Times New Roman"/>
                <w:b/>
                <w:bCs/>
                <w:color w:val="000000"/>
                <w:sz w:val="20"/>
                <w:szCs w:val="20"/>
              </w:rPr>
            </w:pPr>
            <w:r w:rsidRPr="00425060">
              <w:rPr>
                <w:rFonts w:ascii="Calibri" w:eastAsia="Times New Roman" w:hAnsi="Calibri" w:cs="Times New Roman"/>
                <w:b/>
                <w:bCs/>
                <w:color w:val="000000"/>
                <w:sz w:val="20"/>
                <w:szCs w:val="20"/>
              </w:rPr>
              <w:t>TOTAL</w:t>
            </w:r>
          </w:p>
        </w:tc>
        <w:tc>
          <w:tcPr>
            <w:tcW w:w="1976" w:type="dxa"/>
            <w:tcBorders>
              <w:top w:val="single" w:sz="4" w:space="0" w:color="95B3D7"/>
              <w:left w:val="single" w:sz="4" w:space="0" w:color="auto"/>
              <w:bottom w:val="single" w:sz="4" w:space="0" w:color="auto"/>
              <w:right w:val="nil"/>
            </w:tcBorders>
            <w:shd w:val="clear" w:color="auto" w:fill="auto"/>
            <w:noWrap/>
            <w:vAlign w:val="center"/>
            <w:hideMark/>
          </w:tcPr>
          <w:p w14:paraId="5C5CAB01" w14:textId="77777777" w:rsidR="005072B1" w:rsidRPr="00425060" w:rsidRDefault="005072B1" w:rsidP="005072B1">
            <w:pPr>
              <w:spacing w:before="120" w:after="0" w:line="252" w:lineRule="auto"/>
              <w:jc w:val="both"/>
              <w:rPr>
                <w:rFonts w:ascii="Calibri" w:eastAsia="Times New Roman" w:hAnsi="Calibri" w:cs="Times New Roman"/>
                <w:color w:val="000000"/>
                <w:sz w:val="20"/>
                <w:szCs w:val="20"/>
              </w:rPr>
            </w:pPr>
            <w:r w:rsidRPr="00425060">
              <w:rPr>
                <w:rFonts w:ascii="Calibri" w:eastAsia="Times New Roman" w:hAnsi="Calibri" w:cs="Times New Roman"/>
                <w:color w:val="000000"/>
                <w:sz w:val="20"/>
                <w:szCs w:val="20"/>
              </w:rPr>
              <w:t> </w:t>
            </w:r>
          </w:p>
        </w:tc>
        <w:tc>
          <w:tcPr>
            <w:tcW w:w="1417" w:type="dxa"/>
            <w:tcBorders>
              <w:top w:val="single" w:sz="4" w:space="0" w:color="95B3D7"/>
              <w:left w:val="single" w:sz="4" w:space="0" w:color="auto"/>
              <w:bottom w:val="single" w:sz="4" w:space="0" w:color="auto"/>
              <w:right w:val="nil"/>
            </w:tcBorders>
            <w:shd w:val="clear" w:color="auto" w:fill="auto"/>
            <w:noWrap/>
            <w:vAlign w:val="center"/>
            <w:hideMark/>
          </w:tcPr>
          <w:p w14:paraId="065A708D" w14:textId="77777777" w:rsidR="001F1F99" w:rsidRDefault="001F1F99" w:rsidP="00BB6EF2">
            <w:pPr>
              <w:spacing w:after="0" w:line="240" w:lineRule="auto"/>
              <w:jc w:val="right"/>
              <w:rPr>
                <w:rFonts w:ascii="Calibri" w:eastAsia="Times New Roman" w:hAnsi="Calibri" w:cs="Times New Roman"/>
                <w:b/>
                <w:color w:val="000000"/>
                <w:sz w:val="20"/>
                <w:szCs w:val="20"/>
              </w:rPr>
            </w:pPr>
          </w:p>
          <w:p w14:paraId="6A193D9F" w14:textId="588C680C" w:rsidR="005072B1" w:rsidRPr="00BB6EF2" w:rsidRDefault="006040F4" w:rsidP="00BB6EF2">
            <w:pPr>
              <w:spacing w:after="0" w:line="240" w:lineRule="auto"/>
              <w:jc w:val="right"/>
              <w:rPr>
                <w:rFonts w:ascii="Calibri" w:eastAsia="Times New Roman" w:hAnsi="Calibri" w:cs="Times New Roman"/>
                <w:b/>
                <w:color w:val="000000"/>
                <w:sz w:val="20"/>
                <w:szCs w:val="20"/>
              </w:rPr>
            </w:pPr>
            <w:r w:rsidRPr="00BB6EF2">
              <w:rPr>
                <w:rFonts w:ascii="Calibri" w:eastAsia="Times New Roman" w:hAnsi="Calibri" w:cs="Times New Roman"/>
                <w:b/>
                <w:color w:val="000000"/>
                <w:sz w:val="20"/>
                <w:szCs w:val="20"/>
              </w:rPr>
              <w:t>835 328</w:t>
            </w:r>
          </w:p>
        </w:tc>
        <w:tc>
          <w:tcPr>
            <w:tcW w:w="1276" w:type="dxa"/>
            <w:tcBorders>
              <w:top w:val="single" w:sz="4" w:space="0" w:color="95B3D7"/>
              <w:left w:val="single" w:sz="4" w:space="0" w:color="auto"/>
              <w:bottom w:val="single" w:sz="4" w:space="0" w:color="auto"/>
              <w:right w:val="nil"/>
            </w:tcBorders>
            <w:shd w:val="clear" w:color="auto" w:fill="auto"/>
            <w:noWrap/>
            <w:vAlign w:val="bottom"/>
            <w:hideMark/>
          </w:tcPr>
          <w:p w14:paraId="655DEB0E" w14:textId="1D807399" w:rsidR="005072B1" w:rsidRPr="00BB6EF2" w:rsidRDefault="006311A5" w:rsidP="00BB6EF2">
            <w:pPr>
              <w:spacing w:after="0" w:line="240" w:lineRule="auto"/>
              <w:jc w:val="right"/>
              <w:rPr>
                <w:rFonts w:ascii="Calibri" w:eastAsia="Times New Roman" w:hAnsi="Calibri" w:cs="Times New Roman"/>
                <w:b/>
                <w:color w:val="000000"/>
                <w:sz w:val="20"/>
                <w:szCs w:val="20"/>
              </w:rPr>
            </w:pPr>
            <w:r w:rsidRPr="00BB6EF2">
              <w:rPr>
                <w:rFonts w:ascii="Calibri" w:eastAsia="Times New Roman" w:hAnsi="Calibri" w:cs="Times New Roman"/>
                <w:b/>
                <w:color w:val="000000"/>
                <w:sz w:val="20"/>
                <w:szCs w:val="20"/>
              </w:rPr>
              <w:t>77 235</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5F0F604F" w14:textId="0D994E43" w:rsidR="005072B1" w:rsidRPr="00425060" w:rsidRDefault="008C68DA" w:rsidP="005072B1">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71</w:t>
            </w:r>
            <w:r w:rsidR="005072B1" w:rsidRPr="00425060">
              <w:rPr>
                <w:rFonts w:ascii="Calibri" w:eastAsia="Times New Roman" w:hAnsi="Calibri" w:cs="Times New Roman"/>
                <w:b/>
                <w:bCs/>
                <w:color w:val="000000"/>
                <w:sz w:val="20"/>
                <w:szCs w:val="20"/>
              </w:rPr>
              <w:t>%</w:t>
            </w:r>
          </w:p>
        </w:tc>
        <w:tc>
          <w:tcPr>
            <w:tcW w:w="992"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BEEA9F0" w14:textId="603D4CED" w:rsidR="005072B1" w:rsidRPr="00425060" w:rsidRDefault="008C68DA" w:rsidP="005072B1">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29</w:t>
            </w:r>
            <w:r w:rsidR="005072B1" w:rsidRPr="00425060">
              <w:rPr>
                <w:rFonts w:ascii="Calibri" w:eastAsia="Times New Roman" w:hAnsi="Calibri" w:cs="Times New Roman"/>
                <w:b/>
                <w:bCs/>
                <w:color w:val="000000"/>
                <w:sz w:val="20"/>
                <w:szCs w:val="20"/>
              </w:rPr>
              <w:t>%</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3DFA43F7" w14:textId="2ABCF6F1" w:rsidR="005072B1" w:rsidRPr="00385F7A" w:rsidRDefault="005072B1" w:rsidP="005072B1">
            <w:pPr>
              <w:spacing w:before="120" w:after="0" w:line="252" w:lineRule="auto"/>
              <w:jc w:val="right"/>
              <w:rPr>
                <w:rFonts w:ascii="Calibri" w:eastAsia="Times New Roman" w:hAnsi="Calibri" w:cs="Times New Roman"/>
                <w:b/>
                <w:color w:val="000000"/>
                <w:sz w:val="20"/>
                <w:szCs w:val="20"/>
              </w:rPr>
            </w:pPr>
            <w:r w:rsidRPr="00425060">
              <w:rPr>
                <w:rFonts w:ascii="Calibri" w:eastAsia="Times New Roman" w:hAnsi="Calibri" w:cs="Times New Roman"/>
                <w:color w:val="000000"/>
                <w:sz w:val="20"/>
                <w:szCs w:val="20"/>
              </w:rPr>
              <w:t> </w:t>
            </w:r>
            <w:r w:rsidRPr="00385F7A">
              <w:rPr>
                <w:rFonts w:ascii="Calibri" w:eastAsia="Times New Roman" w:hAnsi="Calibri" w:cs="Times New Roman"/>
                <w:b/>
                <w:color w:val="000000"/>
                <w:sz w:val="20"/>
                <w:szCs w:val="20"/>
              </w:rPr>
              <w:t>20</w:t>
            </w:r>
            <w:r w:rsidR="003D0606">
              <w:rPr>
                <w:rFonts w:ascii="Calibri" w:eastAsia="Times New Roman" w:hAnsi="Calibri" w:cs="Times New Roman"/>
                <w:b/>
                <w:color w:val="000000"/>
                <w:sz w:val="20"/>
                <w:szCs w:val="20"/>
              </w:rPr>
              <w:t>1</w:t>
            </w:r>
          </w:p>
        </w:tc>
        <w:tc>
          <w:tcPr>
            <w:tcW w:w="1276"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450E243C" w14:textId="2E5A4309" w:rsidR="005072B1" w:rsidRPr="0026235A" w:rsidRDefault="0026235A" w:rsidP="005072B1">
            <w:pPr>
              <w:spacing w:before="120" w:after="0" w:line="252" w:lineRule="auto"/>
              <w:jc w:val="right"/>
              <w:rPr>
                <w:rFonts w:ascii="Calibri" w:eastAsia="Times New Roman" w:hAnsi="Calibri" w:cs="Times New Roman"/>
                <w:b/>
                <w:bCs/>
                <w:color w:val="000000"/>
                <w:sz w:val="20"/>
                <w:szCs w:val="20"/>
              </w:rPr>
            </w:pPr>
            <w:r w:rsidRPr="0026235A">
              <w:rPr>
                <w:rFonts w:ascii="Calibri" w:eastAsia="Times New Roman" w:hAnsi="Calibri" w:cs="Times New Roman"/>
                <w:b/>
                <w:bCs/>
                <w:color w:val="000000"/>
                <w:sz w:val="20"/>
                <w:szCs w:val="20"/>
              </w:rPr>
              <w:t>92</w:t>
            </w:r>
          </w:p>
        </w:tc>
      </w:tr>
    </w:tbl>
    <w:p w14:paraId="35C37158" w14:textId="7E377D33" w:rsidR="005072B1" w:rsidRDefault="005072B1" w:rsidP="005072B1">
      <w:pPr>
        <w:spacing w:before="120" w:after="0" w:line="252" w:lineRule="auto"/>
        <w:rPr>
          <w:rFonts w:eastAsia="Times New Roman" w:cs="Times New Roman"/>
          <w:i/>
          <w:color w:val="000000"/>
          <w:sz w:val="22"/>
          <w:szCs w:val="22"/>
          <w:lang w:val="en-GB"/>
        </w:rPr>
      </w:pPr>
      <w:proofErr w:type="gramStart"/>
      <w:r w:rsidRPr="004B58D3">
        <w:rPr>
          <w:rFonts w:eastAsia="Times New Roman" w:cs="Times New Roman"/>
          <w:i/>
          <w:color w:val="000000"/>
          <w:sz w:val="22"/>
          <w:szCs w:val="22"/>
          <w:lang w:val="en-GB"/>
        </w:rPr>
        <w:t>Table 1.</w:t>
      </w:r>
      <w:proofErr w:type="gramEnd"/>
      <w:r w:rsidRPr="004B58D3">
        <w:rPr>
          <w:rFonts w:eastAsia="Times New Roman" w:cs="Times New Roman"/>
          <w:i/>
          <w:color w:val="000000"/>
          <w:sz w:val="22"/>
          <w:szCs w:val="22"/>
          <w:lang w:val="en-GB"/>
        </w:rPr>
        <w:t xml:space="preserve"> Overview of the Black Sea Basin eligible areas</w:t>
      </w:r>
      <w:r>
        <w:rPr>
          <w:rStyle w:val="EndnoteReference"/>
          <w:rFonts w:eastAsia="Times New Roman" w:cs="Times New Roman"/>
          <w:i/>
          <w:color w:val="000000"/>
          <w:sz w:val="22"/>
          <w:szCs w:val="22"/>
        </w:rPr>
        <w:endnoteReference w:id="3"/>
      </w:r>
    </w:p>
    <w:p w14:paraId="1E5C9174" w14:textId="77777777" w:rsidR="005072B1" w:rsidRPr="00002063" w:rsidRDefault="005072B1" w:rsidP="001024F6">
      <w:pPr>
        <w:spacing w:before="240" w:after="120" w:line="264" w:lineRule="auto"/>
        <w:rPr>
          <w:b/>
          <w:bCs/>
          <w:lang w:val="en-GB"/>
        </w:rPr>
      </w:pPr>
      <w:bookmarkStart w:id="20" w:name="_Toc246127419"/>
      <w:r w:rsidRPr="00002063">
        <w:rPr>
          <w:b/>
          <w:bCs/>
          <w:lang w:val="en-GB"/>
        </w:rPr>
        <w:t>Demographic trends</w:t>
      </w:r>
      <w:bookmarkEnd w:id="20"/>
    </w:p>
    <w:p w14:paraId="6044DE90" w14:textId="6EC99E28" w:rsidR="005072B1" w:rsidRPr="005F6506" w:rsidRDefault="002845FF" w:rsidP="005F6506">
      <w:pPr>
        <w:spacing w:before="120" w:after="0" w:line="252" w:lineRule="auto"/>
        <w:jc w:val="both"/>
        <w:rPr>
          <w:sz w:val="22"/>
          <w:szCs w:val="22"/>
          <w:lang w:val="en-GB"/>
        </w:rPr>
      </w:pPr>
      <w:r>
        <w:rPr>
          <w:sz w:val="22"/>
          <w:szCs w:val="22"/>
          <w:lang w:val="en-GB"/>
        </w:rPr>
        <w:t>T</w:t>
      </w:r>
      <w:r w:rsidR="005072B1" w:rsidRPr="004B58D3">
        <w:rPr>
          <w:sz w:val="22"/>
          <w:szCs w:val="22"/>
          <w:lang w:val="en-GB"/>
        </w:rPr>
        <w:t>he ENI CBC programme area ha</w:t>
      </w:r>
      <w:r>
        <w:rPr>
          <w:sz w:val="22"/>
          <w:szCs w:val="22"/>
          <w:lang w:val="en-GB"/>
        </w:rPr>
        <w:t>s</w:t>
      </w:r>
      <w:r w:rsidR="005072B1" w:rsidRPr="004B58D3">
        <w:rPr>
          <w:sz w:val="22"/>
          <w:szCs w:val="22"/>
          <w:lang w:val="en-GB"/>
        </w:rPr>
        <w:t xml:space="preserve"> a population of 7</w:t>
      </w:r>
      <w:r>
        <w:rPr>
          <w:sz w:val="22"/>
          <w:szCs w:val="22"/>
          <w:lang w:val="en-GB"/>
        </w:rPr>
        <w:t>7</w:t>
      </w:r>
      <w:r w:rsidR="00396D80">
        <w:rPr>
          <w:sz w:val="22"/>
          <w:szCs w:val="22"/>
          <w:lang w:val="en-GB"/>
        </w:rPr>
        <w:t>.</w:t>
      </w:r>
      <w:r>
        <w:rPr>
          <w:sz w:val="22"/>
          <w:szCs w:val="22"/>
          <w:lang w:val="en-GB"/>
        </w:rPr>
        <w:t>2</w:t>
      </w:r>
      <w:r w:rsidR="005072B1" w:rsidRPr="004B58D3">
        <w:rPr>
          <w:sz w:val="22"/>
          <w:szCs w:val="22"/>
          <w:lang w:val="en-GB"/>
        </w:rPr>
        <w:t xml:space="preserve"> million people, that is an increase </w:t>
      </w:r>
      <w:r w:rsidR="005E3315">
        <w:rPr>
          <w:sz w:val="22"/>
          <w:szCs w:val="22"/>
          <w:lang w:val="en-GB"/>
        </w:rPr>
        <w:t>of about</w:t>
      </w:r>
      <w:r w:rsidR="0018790B">
        <w:rPr>
          <w:sz w:val="22"/>
          <w:szCs w:val="22"/>
          <w:lang w:val="en-GB"/>
        </w:rPr>
        <w:t xml:space="preserve"> 3</w:t>
      </w:r>
      <w:r w:rsidR="005072B1" w:rsidRPr="004B58D3">
        <w:rPr>
          <w:sz w:val="22"/>
          <w:szCs w:val="22"/>
          <w:lang w:val="en-GB"/>
        </w:rPr>
        <w:t xml:space="preserve"> million since 2005 and the previous ENPI CBC programming period</w:t>
      </w:r>
      <w:r w:rsidR="005072B1" w:rsidRPr="004D189B">
        <w:rPr>
          <w:rStyle w:val="EndnoteReference"/>
          <w:sz w:val="22"/>
          <w:szCs w:val="22"/>
        </w:rPr>
        <w:endnoteReference w:id="4"/>
      </w:r>
      <w:r w:rsidR="005072B1" w:rsidRPr="004B58D3">
        <w:rPr>
          <w:sz w:val="22"/>
          <w:szCs w:val="22"/>
          <w:lang w:val="en-GB"/>
        </w:rPr>
        <w:t xml:space="preserve">. This overall growth reveals nonetheless highly disparate demographic trends among participating countries (see figure 1 below). While on one hand </w:t>
      </w:r>
      <w:r w:rsidR="005072B1">
        <w:rPr>
          <w:sz w:val="22"/>
          <w:szCs w:val="22"/>
          <w:lang w:val="en-GB"/>
        </w:rPr>
        <w:t xml:space="preserve">in </w:t>
      </w:r>
      <w:r w:rsidR="005072B1" w:rsidRPr="004B58D3">
        <w:rPr>
          <w:sz w:val="22"/>
          <w:szCs w:val="22"/>
          <w:lang w:val="en-GB"/>
        </w:rPr>
        <w:t>Azerbaijan and Turkey eligible area population grew steadily</w:t>
      </w:r>
      <w:r w:rsidR="005E3315">
        <w:rPr>
          <w:sz w:val="22"/>
          <w:szCs w:val="22"/>
          <w:lang w:val="en-GB"/>
        </w:rPr>
        <w:t xml:space="preserve"> between 2005 and 2012</w:t>
      </w:r>
      <w:r w:rsidR="005072B1" w:rsidRPr="004B58D3">
        <w:rPr>
          <w:sz w:val="22"/>
          <w:szCs w:val="22"/>
          <w:lang w:val="en-GB"/>
        </w:rPr>
        <w:t>, respectivel</w:t>
      </w:r>
      <w:r w:rsidR="00041F57">
        <w:rPr>
          <w:sz w:val="22"/>
          <w:szCs w:val="22"/>
          <w:lang w:val="en-GB"/>
        </w:rPr>
        <w:t>y by 0.75 million and 2 million</w:t>
      </w:r>
      <w:r w:rsidR="005072B1" w:rsidRPr="004B58D3">
        <w:rPr>
          <w:sz w:val="22"/>
          <w:szCs w:val="22"/>
          <w:lang w:val="en-GB"/>
        </w:rPr>
        <w:t xml:space="preserve"> over the period, on the other Armenia, Bulgaria, Romania and Ukrainian eligible areas</w:t>
      </w:r>
      <w:r w:rsidR="005072B1" w:rsidRPr="004D189B">
        <w:rPr>
          <w:rStyle w:val="FootnoteReference"/>
          <w:sz w:val="22"/>
          <w:szCs w:val="22"/>
        </w:rPr>
        <w:footnoteReference w:id="21"/>
      </w:r>
      <w:r w:rsidR="005072B1" w:rsidRPr="004B58D3">
        <w:rPr>
          <w:sz w:val="22"/>
          <w:szCs w:val="22"/>
          <w:lang w:val="en-GB"/>
        </w:rPr>
        <w:t xml:space="preserve"> recorded significant</w:t>
      </w:r>
      <w:r w:rsidR="005072B1" w:rsidRPr="004D189B">
        <w:rPr>
          <w:rStyle w:val="FootnoteReference"/>
          <w:sz w:val="22"/>
          <w:szCs w:val="22"/>
        </w:rPr>
        <w:footnoteReference w:id="22"/>
      </w:r>
      <w:r w:rsidR="005072B1" w:rsidRPr="004B58D3">
        <w:rPr>
          <w:sz w:val="22"/>
          <w:szCs w:val="22"/>
          <w:lang w:val="en-GB"/>
        </w:rPr>
        <w:t xml:space="preserve"> population losses</w:t>
      </w:r>
      <w:r w:rsidR="005072B1" w:rsidRPr="004D189B">
        <w:rPr>
          <w:rStyle w:val="EndnoteReference"/>
          <w:sz w:val="22"/>
          <w:szCs w:val="22"/>
        </w:rPr>
        <w:endnoteReference w:id="5"/>
      </w:r>
      <w:r w:rsidR="005072B1" w:rsidRPr="004B58D3">
        <w:rPr>
          <w:sz w:val="22"/>
          <w:szCs w:val="22"/>
          <w:lang w:val="en-GB"/>
        </w:rPr>
        <w:t>. Both the uneven fertility rates – from 2.1 birth</w:t>
      </w:r>
      <w:r w:rsidR="005072B1">
        <w:rPr>
          <w:sz w:val="22"/>
          <w:szCs w:val="22"/>
          <w:lang w:val="en-GB"/>
        </w:rPr>
        <w:t>s</w:t>
      </w:r>
      <w:r w:rsidR="005072B1" w:rsidRPr="004B58D3">
        <w:rPr>
          <w:sz w:val="22"/>
          <w:szCs w:val="22"/>
          <w:lang w:val="en-GB"/>
        </w:rPr>
        <w:t xml:space="preserve"> per woman on average in Turkey to 1.3 in Romania</w:t>
      </w:r>
      <w:r w:rsidR="005072B1" w:rsidRPr="004D189B">
        <w:rPr>
          <w:rStyle w:val="EndnoteReference"/>
          <w:sz w:val="22"/>
          <w:szCs w:val="22"/>
        </w:rPr>
        <w:endnoteReference w:id="6"/>
      </w:r>
      <w:r w:rsidR="005072B1" w:rsidRPr="004B58D3">
        <w:rPr>
          <w:sz w:val="22"/>
          <w:szCs w:val="22"/>
          <w:lang w:val="en-GB"/>
        </w:rPr>
        <w:t xml:space="preserve"> – an</w:t>
      </w:r>
      <w:r w:rsidR="005072B1">
        <w:rPr>
          <w:sz w:val="22"/>
          <w:szCs w:val="22"/>
          <w:lang w:val="en-GB"/>
        </w:rPr>
        <w:t xml:space="preserve">d the migration trends </w:t>
      </w:r>
      <w:r w:rsidR="005072B1" w:rsidRPr="004B58D3">
        <w:rPr>
          <w:sz w:val="22"/>
          <w:szCs w:val="22"/>
          <w:lang w:val="en-GB"/>
        </w:rPr>
        <w:t>explain th</w:t>
      </w:r>
      <w:r w:rsidR="005072B1">
        <w:rPr>
          <w:sz w:val="22"/>
          <w:szCs w:val="22"/>
          <w:lang w:val="en-GB"/>
        </w:rPr>
        <w:t>e</w:t>
      </w:r>
      <w:r w:rsidR="005072B1" w:rsidRPr="004B58D3">
        <w:rPr>
          <w:sz w:val="22"/>
          <w:szCs w:val="22"/>
          <w:lang w:val="en-GB"/>
        </w:rPr>
        <w:t xml:space="preserve">se disparities. </w:t>
      </w:r>
    </w:p>
    <w:p w14:paraId="4D1B28D5" w14:textId="77777777" w:rsidR="005072B1" w:rsidRDefault="005072B1" w:rsidP="005072B1">
      <w:pPr>
        <w:pStyle w:val="Caption"/>
        <w:spacing w:before="120" w:after="0" w:line="252" w:lineRule="auto"/>
        <w:jc w:val="left"/>
        <w:rPr>
          <w:sz w:val="22"/>
          <w:szCs w:val="22"/>
          <w:lang w:val="en-GB"/>
        </w:rPr>
      </w:pPr>
      <w:r>
        <w:rPr>
          <w:noProof/>
          <w:sz w:val="22"/>
          <w:szCs w:val="22"/>
          <w:lang w:val="en-GB" w:eastAsia="en-GB"/>
        </w:rPr>
        <w:lastRenderedPageBreak/>
        <w:drawing>
          <wp:inline distT="0" distB="0" distL="0" distR="0" wp14:anchorId="6746E217" wp14:editId="255C7BA0">
            <wp:extent cx="6908165" cy="2445490"/>
            <wp:effectExtent l="0" t="0" r="635"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8165" cy="2445490"/>
                    </a:xfrm>
                    <a:prstGeom prst="rect">
                      <a:avLst/>
                    </a:prstGeom>
                    <a:noFill/>
                    <a:ln>
                      <a:noFill/>
                    </a:ln>
                  </pic:spPr>
                </pic:pic>
              </a:graphicData>
            </a:graphic>
          </wp:inline>
        </w:drawing>
      </w:r>
    </w:p>
    <w:p w14:paraId="25FA4A26" w14:textId="77777777" w:rsidR="005072B1" w:rsidRPr="004B58D3" w:rsidRDefault="005072B1" w:rsidP="005072B1">
      <w:pPr>
        <w:pStyle w:val="Caption"/>
        <w:spacing w:before="120" w:after="0" w:line="252" w:lineRule="auto"/>
        <w:jc w:val="left"/>
        <w:rPr>
          <w:sz w:val="22"/>
          <w:szCs w:val="22"/>
          <w:lang w:val="en-GB"/>
        </w:rPr>
      </w:pPr>
      <w:proofErr w:type="gramStart"/>
      <w:r w:rsidRPr="000D3441">
        <w:rPr>
          <w:sz w:val="22"/>
          <w:szCs w:val="22"/>
          <w:lang w:val="en-GB"/>
        </w:rPr>
        <w:t xml:space="preserve">Figure </w:t>
      </w:r>
      <w:r w:rsidRPr="000D3441">
        <w:rPr>
          <w:sz w:val="22"/>
          <w:szCs w:val="22"/>
        </w:rPr>
        <w:fldChar w:fldCharType="begin"/>
      </w:r>
      <w:r w:rsidRPr="000D3441">
        <w:rPr>
          <w:sz w:val="22"/>
          <w:szCs w:val="22"/>
          <w:lang w:val="en-GB"/>
        </w:rPr>
        <w:instrText xml:space="preserve"> </w:instrText>
      </w:r>
      <w:r w:rsidR="00761E10">
        <w:rPr>
          <w:sz w:val="22"/>
          <w:szCs w:val="22"/>
          <w:lang w:val="en-GB"/>
        </w:rPr>
        <w:instrText>SEQ</w:instrText>
      </w:r>
      <w:r w:rsidRPr="000D3441">
        <w:rPr>
          <w:sz w:val="22"/>
          <w:szCs w:val="22"/>
          <w:lang w:val="en-GB"/>
        </w:rPr>
        <w:instrText xml:space="preserve"> Figure \* ARABIC </w:instrText>
      </w:r>
      <w:r w:rsidRPr="000D3441">
        <w:rPr>
          <w:sz w:val="22"/>
          <w:szCs w:val="22"/>
        </w:rPr>
        <w:fldChar w:fldCharType="separate"/>
      </w:r>
      <w:r w:rsidR="00DD2A7D">
        <w:rPr>
          <w:noProof/>
          <w:sz w:val="22"/>
          <w:szCs w:val="22"/>
          <w:lang w:val="en-GB"/>
        </w:rPr>
        <w:t>1</w:t>
      </w:r>
      <w:r w:rsidRPr="000D3441">
        <w:rPr>
          <w:sz w:val="22"/>
          <w:szCs w:val="22"/>
        </w:rPr>
        <w:fldChar w:fldCharType="end"/>
      </w:r>
      <w:r w:rsidRPr="000D3441">
        <w:rPr>
          <w:sz w:val="22"/>
          <w:szCs w:val="22"/>
          <w:lang w:val="en-GB"/>
        </w:rPr>
        <w:t>.</w:t>
      </w:r>
      <w:proofErr w:type="gramEnd"/>
      <w:r w:rsidRPr="000D3441">
        <w:rPr>
          <w:sz w:val="22"/>
          <w:szCs w:val="22"/>
          <w:lang w:val="en-GB"/>
        </w:rPr>
        <w:t xml:space="preserve"> Population growth at country level (annual %), stacked per year over the period 2006-2012</w:t>
      </w:r>
      <w:r w:rsidRPr="000D3441">
        <w:rPr>
          <w:rStyle w:val="EndnoteReference"/>
          <w:sz w:val="22"/>
          <w:szCs w:val="22"/>
        </w:rPr>
        <w:endnoteReference w:id="7"/>
      </w:r>
    </w:p>
    <w:p w14:paraId="68765D10" w14:textId="10BB75A9" w:rsidR="00443135" w:rsidRPr="00443135" w:rsidRDefault="005072B1" w:rsidP="00443135">
      <w:pPr>
        <w:spacing w:before="120" w:after="0" w:line="252" w:lineRule="auto"/>
        <w:jc w:val="both"/>
        <w:rPr>
          <w:sz w:val="22"/>
          <w:szCs w:val="22"/>
          <w:lang w:val="en-GB"/>
        </w:rPr>
      </w:pPr>
      <w:r w:rsidRPr="004B58D3">
        <w:rPr>
          <w:sz w:val="22"/>
          <w:szCs w:val="22"/>
          <w:lang w:val="en-GB"/>
        </w:rPr>
        <w:t>Only Russia, Greece and Azerbaijan registered positive migration flows in 2010, a constant since 2005</w:t>
      </w:r>
      <w:r w:rsidR="00C47F80">
        <w:rPr>
          <w:rStyle w:val="EndnoteReference"/>
          <w:sz w:val="22"/>
          <w:szCs w:val="22"/>
          <w:lang w:val="en-GB"/>
        </w:rPr>
        <w:endnoteReference w:id="8"/>
      </w:r>
      <w:r w:rsidRPr="004B58D3">
        <w:rPr>
          <w:sz w:val="22"/>
          <w:szCs w:val="22"/>
          <w:lang w:val="en-GB"/>
        </w:rPr>
        <w:t>. Though Greece is still perceived as a gateway towards the EU Schengen area for many legal and illegal migrants</w:t>
      </w:r>
      <w:r w:rsidRPr="00CA593A">
        <w:rPr>
          <w:sz w:val="22"/>
          <w:szCs w:val="22"/>
          <w:lang w:val="en-GB"/>
        </w:rPr>
        <w:t xml:space="preserve">, its attractiveness has dropped in recent years </w:t>
      </w:r>
      <w:r w:rsidR="009171B1">
        <w:rPr>
          <w:sz w:val="22"/>
          <w:szCs w:val="22"/>
          <w:lang w:val="en-GB"/>
        </w:rPr>
        <w:t>as</w:t>
      </w:r>
      <w:r w:rsidR="0082014E" w:rsidRPr="00372AB7">
        <w:rPr>
          <w:sz w:val="22"/>
          <w:szCs w:val="22"/>
          <w:lang w:val="en-GB"/>
        </w:rPr>
        <w:t xml:space="preserve"> it also experiences a strong</w:t>
      </w:r>
      <w:r w:rsidR="00443135">
        <w:rPr>
          <w:sz w:val="22"/>
          <w:szCs w:val="22"/>
          <w:lang w:val="en-GB"/>
        </w:rPr>
        <w:t xml:space="preserve"> </w:t>
      </w:r>
      <w:r w:rsidR="00FE5A4C" w:rsidRPr="00372AB7">
        <w:rPr>
          <w:sz w:val="22"/>
          <w:szCs w:val="22"/>
          <w:lang w:val="en-GB"/>
        </w:rPr>
        <w:t>emigration</w:t>
      </w:r>
      <w:r w:rsidR="00655409" w:rsidRPr="00372AB7">
        <w:rPr>
          <w:sz w:val="22"/>
          <w:szCs w:val="22"/>
          <w:lang w:val="en-GB"/>
        </w:rPr>
        <w:t xml:space="preserve"> due to </w:t>
      </w:r>
      <w:r w:rsidR="006C1528">
        <w:rPr>
          <w:sz w:val="22"/>
          <w:szCs w:val="22"/>
          <w:lang w:val="en-GB"/>
        </w:rPr>
        <w:t>a</w:t>
      </w:r>
      <w:r w:rsidR="00A854C2" w:rsidRPr="00372AB7">
        <w:rPr>
          <w:sz w:val="22"/>
          <w:szCs w:val="22"/>
          <w:lang w:val="en-GB"/>
        </w:rPr>
        <w:t xml:space="preserve"> harsh economic crisis since 2008</w:t>
      </w:r>
      <w:r w:rsidRPr="004D189B">
        <w:rPr>
          <w:rStyle w:val="EndnoteReference"/>
          <w:sz w:val="22"/>
          <w:szCs w:val="22"/>
        </w:rPr>
        <w:endnoteReference w:id="9"/>
      </w:r>
      <w:r w:rsidR="00443135">
        <w:rPr>
          <w:sz w:val="22"/>
          <w:szCs w:val="22"/>
          <w:lang w:val="en-GB"/>
        </w:rPr>
        <w:t xml:space="preserve">. </w:t>
      </w:r>
      <w:r w:rsidR="00443135" w:rsidRPr="00B72402">
        <w:rPr>
          <w:sz w:val="22"/>
          <w:szCs w:val="22"/>
          <w:lang w:val="en-GB"/>
        </w:rPr>
        <w:t>However</w:t>
      </w:r>
      <w:r w:rsidR="00443135" w:rsidRPr="00B72402">
        <w:rPr>
          <w:rStyle w:val="FootnoteReference"/>
          <w:sz w:val="22"/>
          <w:szCs w:val="22"/>
          <w:lang w:val="en-GB"/>
        </w:rPr>
        <w:footnoteReference w:id="23"/>
      </w:r>
      <w:r w:rsidR="00443135" w:rsidRPr="00B72402">
        <w:rPr>
          <w:sz w:val="22"/>
          <w:szCs w:val="22"/>
          <w:lang w:val="en-GB"/>
        </w:rPr>
        <w:t xml:space="preserve">, the armed conflict that </w:t>
      </w:r>
      <w:r w:rsidR="00443135">
        <w:rPr>
          <w:sz w:val="22"/>
          <w:szCs w:val="22"/>
          <w:lang w:val="en-GB"/>
        </w:rPr>
        <w:t>broke out</w:t>
      </w:r>
      <w:r w:rsidR="00443135" w:rsidRPr="00B72402">
        <w:rPr>
          <w:sz w:val="22"/>
          <w:szCs w:val="22"/>
          <w:lang w:val="en-GB"/>
        </w:rPr>
        <w:t xml:space="preserve"> in Syria in spring 2011 has led to large</w:t>
      </w:r>
      <w:r w:rsidR="00443135">
        <w:rPr>
          <w:sz w:val="22"/>
          <w:szCs w:val="22"/>
          <w:lang w:val="en-GB"/>
        </w:rPr>
        <w:t xml:space="preserve"> flows of migrants into</w:t>
      </w:r>
      <w:r w:rsidR="00443135" w:rsidRPr="00B72402">
        <w:rPr>
          <w:sz w:val="22"/>
          <w:szCs w:val="22"/>
          <w:lang w:val="en-GB"/>
        </w:rPr>
        <w:t xml:space="preserve"> Turkey, that registered in 2012 a net migration of 350,000 people</w:t>
      </w:r>
      <w:r w:rsidR="00443135" w:rsidRPr="00B72402">
        <w:rPr>
          <w:rStyle w:val="EndnoteReference"/>
          <w:sz w:val="22"/>
          <w:szCs w:val="22"/>
          <w:lang w:val="en-GB"/>
        </w:rPr>
        <w:endnoteReference w:id="10"/>
      </w:r>
      <w:r w:rsidR="00443135" w:rsidRPr="00B72402">
        <w:rPr>
          <w:sz w:val="22"/>
          <w:szCs w:val="22"/>
          <w:lang w:val="en-GB"/>
        </w:rPr>
        <w:t>, while in April 2014 the total registered Syrian refugee population in Turkey stood at over 735,000 people</w:t>
      </w:r>
      <w:r w:rsidR="00443135" w:rsidRPr="00B72402">
        <w:rPr>
          <w:rStyle w:val="EndnoteReference"/>
          <w:sz w:val="22"/>
          <w:szCs w:val="22"/>
          <w:lang w:val="en-GB"/>
        </w:rPr>
        <w:endnoteReference w:id="11"/>
      </w:r>
      <w:r w:rsidR="00443135" w:rsidRPr="00F04553">
        <w:rPr>
          <w:rFonts w:cs="Franklin Gothic Book"/>
          <w:sz w:val="22"/>
          <w:szCs w:val="22"/>
          <w:lang w:val="en-GB"/>
        </w:rPr>
        <w:t xml:space="preserve">. </w:t>
      </w:r>
      <w:r w:rsidR="00443135" w:rsidRPr="00B72402">
        <w:rPr>
          <w:sz w:val="22"/>
          <w:szCs w:val="22"/>
          <w:lang w:val="en-GB"/>
        </w:rPr>
        <w:t>It also created further migration pressure at the Greek-Turkish borders, in particular sea borders</w:t>
      </w:r>
      <w:r w:rsidR="00443135" w:rsidRPr="00B72402">
        <w:rPr>
          <w:rStyle w:val="EndnoteReference"/>
          <w:sz w:val="22"/>
          <w:szCs w:val="22"/>
          <w:lang w:val="en-GB"/>
        </w:rPr>
        <w:endnoteReference w:id="12"/>
      </w:r>
      <w:r w:rsidR="00443135" w:rsidRPr="00B72402">
        <w:rPr>
          <w:sz w:val="22"/>
          <w:szCs w:val="22"/>
          <w:lang w:val="en-GB"/>
        </w:rPr>
        <w:t>.</w:t>
      </w:r>
    </w:p>
    <w:p w14:paraId="7DDE9052" w14:textId="5A08EC0C" w:rsidR="005072B1" w:rsidRDefault="00707F9A" w:rsidP="005072B1">
      <w:pPr>
        <w:keepNext/>
        <w:spacing w:before="120" w:after="0" w:line="252" w:lineRule="auto"/>
      </w:pPr>
      <w:r>
        <w:rPr>
          <w:noProof/>
          <w:lang w:val="en-GB" w:eastAsia="en-GB"/>
        </w:rPr>
        <w:drawing>
          <wp:inline distT="0" distB="0" distL="0" distR="0" wp14:anchorId="6C8DEA4C" wp14:editId="0264D554">
            <wp:extent cx="6743700" cy="1888617"/>
            <wp:effectExtent l="0" t="0" r="0" b="0"/>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45654" cy="1889164"/>
                    </a:xfrm>
                    <a:prstGeom prst="rect">
                      <a:avLst/>
                    </a:prstGeom>
                    <a:noFill/>
                    <a:ln>
                      <a:noFill/>
                    </a:ln>
                  </pic:spPr>
                </pic:pic>
              </a:graphicData>
            </a:graphic>
          </wp:inline>
        </w:drawing>
      </w:r>
    </w:p>
    <w:p w14:paraId="5E53A561" w14:textId="70A91F43" w:rsidR="005072B1" w:rsidRPr="004B58D3" w:rsidRDefault="005072B1" w:rsidP="00464594">
      <w:pPr>
        <w:pStyle w:val="Caption"/>
        <w:spacing w:before="120" w:after="0" w:line="252" w:lineRule="auto"/>
        <w:jc w:val="left"/>
        <w:rPr>
          <w:sz w:val="22"/>
          <w:szCs w:val="22"/>
          <w:lang w:val="en-GB"/>
        </w:rPr>
      </w:pPr>
      <w:proofErr w:type="gramStart"/>
      <w:r w:rsidRPr="004B58D3">
        <w:rPr>
          <w:sz w:val="22"/>
          <w:szCs w:val="22"/>
          <w:lang w:val="en-GB"/>
        </w:rPr>
        <w:t xml:space="preserve">Figure </w:t>
      </w:r>
      <w:r w:rsidRPr="005E0F0F">
        <w:rPr>
          <w:sz w:val="22"/>
          <w:szCs w:val="22"/>
        </w:rPr>
        <w:fldChar w:fldCharType="begin"/>
      </w:r>
      <w:r w:rsidRPr="004B58D3">
        <w:rPr>
          <w:sz w:val="22"/>
          <w:szCs w:val="22"/>
          <w:lang w:val="en-GB"/>
        </w:rPr>
        <w:instrText xml:space="preserve"> </w:instrText>
      </w:r>
      <w:r w:rsidR="00761E10">
        <w:rPr>
          <w:sz w:val="22"/>
          <w:szCs w:val="22"/>
          <w:lang w:val="en-GB"/>
        </w:rPr>
        <w:instrText>SEQ</w:instrText>
      </w:r>
      <w:r w:rsidRPr="004B58D3">
        <w:rPr>
          <w:sz w:val="22"/>
          <w:szCs w:val="22"/>
          <w:lang w:val="en-GB"/>
        </w:rPr>
        <w:instrText xml:space="preserve"> Figure \* ARABIC </w:instrText>
      </w:r>
      <w:r w:rsidRPr="005E0F0F">
        <w:rPr>
          <w:sz w:val="22"/>
          <w:szCs w:val="22"/>
        </w:rPr>
        <w:fldChar w:fldCharType="separate"/>
      </w:r>
      <w:r w:rsidR="00DD2A7D">
        <w:rPr>
          <w:noProof/>
          <w:sz w:val="22"/>
          <w:szCs w:val="22"/>
          <w:lang w:val="en-GB"/>
        </w:rPr>
        <w:t>2</w:t>
      </w:r>
      <w:r w:rsidRPr="005E0F0F">
        <w:rPr>
          <w:sz w:val="22"/>
          <w:szCs w:val="22"/>
        </w:rPr>
        <w:fldChar w:fldCharType="end"/>
      </w:r>
      <w:r w:rsidRPr="004B58D3">
        <w:rPr>
          <w:sz w:val="22"/>
          <w:szCs w:val="22"/>
          <w:lang w:val="en-GB"/>
        </w:rPr>
        <w:t>.</w:t>
      </w:r>
      <w:proofErr w:type="gramEnd"/>
      <w:r w:rsidRPr="004B58D3">
        <w:rPr>
          <w:sz w:val="22"/>
          <w:szCs w:val="22"/>
          <w:lang w:val="en-GB"/>
        </w:rPr>
        <w:t xml:space="preserve"> Net migration</w:t>
      </w:r>
      <w:r>
        <w:rPr>
          <w:rStyle w:val="FootnoteReference"/>
          <w:sz w:val="22"/>
          <w:szCs w:val="22"/>
        </w:rPr>
        <w:footnoteReference w:id="24"/>
      </w:r>
      <w:r w:rsidR="00707F9A">
        <w:rPr>
          <w:sz w:val="22"/>
          <w:szCs w:val="22"/>
          <w:lang w:val="en-GB"/>
        </w:rPr>
        <w:t xml:space="preserve">, </w:t>
      </w:r>
      <w:r w:rsidR="00443135">
        <w:rPr>
          <w:sz w:val="22"/>
          <w:szCs w:val="22"/>
          <w:lang w:val="en-GB"/>
        </w:rPr>
        <w:t>2012</w:t>
      </w:r>
      <w:r>
        <w:rPr>
          <w:rStyle w:val="EndnoteReference"/>
          <w:sz w:val="22"/>
          <w:szCs w:val="22"/>
        </w:rPr>
        <w:endnoteReference w:id="13"/>
      </w:r>
    </w:p>
    <w:p w14:paraId="48B45A34" w14:textId="77777777" w:rsidR="006D2D29" w:rsidRDefault="006D2D29" w:rsidP="0084331C">
      <w:pPr>
        <w:pStyle w:val="Default"/>
        <w:rPr>
          <w:rFonts w:asciiTheme="minorHAnsi" w:hAnsiTheme="minorHAnsi"/>
          <w:sz w:val="22"/>
          <w:szCs w:val="22"/>
          <w:lang w:val="en-GB"/>
        </w:rPr>
      </w:pPr>
    </w:p>
    <w:p w14:paraId="03474381" w14:textId="48F2FE67" w:rsidR="00443135" w:rsidRDefault="0093264C" w:rsidP="00443135">
      <w:pPr>
        <w:spacing w:before="120" w:after="0" w:line="252" w:lineRule="auto"/>
        <w:jc w:val="both"/>
        <w:rPr>
          <w:sz w:val="22"/>
          <w:szCs w:val="22"/>
          <w:lang w:val="en-GB"/>
        </w:rPr>
      </w:pPr>
      <w:r>
        <w:rPr>
          <w:sz w:val="22"/>
          <w:szCs w:val="22"/>
          <w:lang w:val="en-GB"/>
        </w:rPr>
        <w:t>T</w:t>
      </w:r>
      <w:r w:rsidR="00443135" w:rsidRPr="004B58D3">
        <w:rPr>
          <w:sz w:val="22"/>
          <w:szCs w:val="22"/>
          <w:lang w:val="en-GB"/>
        </w:rPr>
        <w:t xml:space="preserve">he other participating countries, including EU members Bulgaria and </w:t>
      </w:r>
      <w:proofErr w:type="gramStart"/>
      <w:r w:rsidR="00443135" w:rsidRPr="004B58D3">
        <w:rPr>
          <w:sz w:val="22"/>
          <w:szCs w:val="22"/>
          <w:lang w:val="en-GB"/>
        </w:rPr>
        <w:t>Romania,</w:t>
      </w:r>
      <w:proofErr w:type="gramEnd"/>
      <w:r w:rsidR="00443135" w:rsidRPr="004B58D3">
        <w:rPr>
          <w:sz w:val="22"/>
          <w:szCs w:val="22"/>
          <w:lang w:val="en-GB"/>
        </w:rPr>
        <w:t xml:space="preserve"> are a source of migration, mostly labour migration, towards better economic opportunities in other EU member States, suggesting that local economic development on all sides of the Black Sea Basin remains a key issue for cooperation</w:t>
      </w:r>
      <w:r w:rsidR="00443135" w:rsidRPr="004D189B">
        <w:rPr>
          <w:rStyle w:val="EndnoteReference"/>
          <w:sz w:val="22"/>
          <w:szCs w:val="22"/>
        </w:rPr>
        <w:endnoteReference w:id="14"/>
      </w:r>
      <w:r w:rsidR="00443135" w:rsidRPr="004B58D3">
        <w:rPr>
          <w:sz w:val="22"/>
          <w:szCs w:val="22"/>
          <w:lang w:val="en-GB"/>
        </w:rPr>
        <w:t>.</w:t>
      </w:r>
      <w:r w:rsidR="00443135">
        <w:rPr>
          <w:sz w:val="22"/>
          <w:szCs w:val="22"/>
          <w:lang w:val="en-GB"/>
        </w:rPr>
        <w:t xml:space="preserve"> </w:t>
      </w:r>
    </w:p>
    <w:p w14:paraId="49FC635D" w14:textId="77777777" w:rsidR="005072B1" w:rsidRPr="004B58D3" w:rsidRDefault="005072B1" w:rsidP="005072B1">
      <w:pPr>
        <w:spacing w:before="120" w:after="0" w:line="252" w:lineRule="auto"/>
        <w:jc w:val="both"/>
        <w:rPr>
          <w:rFonts w:cs="v)àÔˇøﬁ‡Õ"/>
          <w:sz w:val="22"/>
          <w:szCs w:val="22"/>
          <w:lang w:val="en-GB"/>
        </w:rPr>
      </w:pPr>
      <w:r w:rsidRPr="004B58D3">
        <w:rPr>
          <w:sz w:val="22"/>
          <w:szCs w:val="22"/>
          <w:lang w:val="en-GB"/>
        </w:rPr>
        <w:t xml:space="preserve">Though all countries in the </w:t>
      </w:r>
      <w:r>
        <w:rPr>
          <w:sz w:val="22"/>
          <w:szCs w:val="22"/>
          <w:lang w:val="en-GB"/>
        </w:rPr>
        <w:t xml:space="preserve">Black Sea </w:t>
      </w:r>
      <w:r w:rsidRPr="004B58D3">
        <w:rPr>
          <w:sz w:val="22"/>
          <w:szCs w:val="22"/>
          <w:lang w:val="en-GB"/>
        </w:rPr>
        <w:t>region are sending and transit countries on the routes of migration flows towards Western Europe, migration within the region itself remains strong: in</w:t>
      </w:r>
      <w:r w:rsidRPr="004B58D3">
        <w:rPr>
          <w:rFonts w:cs="v)àÔˇøﬁ‡Õ"/>
          <w:sz w:val="22"/>
          <w:szCs w:val="22"/>
          <w:lang w:val="en-GB"/>
        </w:rPr>
        <w:t xml:space="preserve"> 2005 the top ten countries of origin of immigrants to the Black Sea region include Russia, Ukraine, Azerbaijan, Georgia, Bulgaria, Armenia </w:t>
      </w:r>
      <w:r w:rsidRPr="004B58D3">
        <w:rPr>
          <w:rFonts w:cs="v)àÔˇøﬁ‡Õ"/>
          <w:sz w:val="22"/>
          <w:szCs w:val="22"/>
          <w:lang w:val="en-GB"/>
        </w:rPr>
        <w:lastRenderedPageBreak/>
        <w:t>and Moldova, while Russia, Ukraine, Turkey and Greece appear within the top ten destinations of emigrants from the Black Sea region</w:t>
      </w:r>
      <w:r w:rsidRPr="004D189B">
        <w:rPr>
          <w:rStyle w:val="EndnoteReference"/>
          <w:rFonts w:cs="v)àÔˇøﬁ‡Õ"/>
          <w:sz w:val="22"/>
          <w:szCs w:val="22"/>
        </w:rPr>
        <w:endnoteReference w:id="15"/>
      </w:r>
      <w:r w:rsidRPr="004B58D3">
        <w:rPr>
          <w:rFonts w:cs="v)àÔˇøﬁ‡Õ"/>
          <w:sz w:val="22"/>
          <w:szCs w:val="22"/>
          <w:lang w:val="en-GB"/>
        </w:rPr>
        <w:t xml:space="preserve">. </w:t>
      </w:r>
    </w:p>
    <w:p w14:paraId="727CBA8D" w14:textId="72E5B13E" w:rsidR="005072B1" w:rsidRPr="009F42D5" w:rsidRDefault="005072B1" w:rsidP="005072B1">
      <w:pPr>
        <w:spacing w:before="120" w:after="0" w:line="252" w:lineRule="auto"/>
        <w:jc w:val="both"/>
        <w:rPr>
          <w:sz w:val="22"/>
          <w:szCs w:val="22"/>
          <w:lang w:val="en-GB"/>
        </w:rPr>
      </w:pPr>
      <w:r w:rsidRPr="000D3441">
        <w:rPr>
          <w:sz w:val="22"/>
          <w:szCs w:val="22"/>
          <w:lang w:val="en-GB"/>
        </w:rPr>
        <w:t>A number of challenges and opportunities arise from these internal and external migration flows. ‘Brain and skill drain’ (as those with higher education and skills leave the country) is recognised as a serious problem in Moldova, Romania and Armenia, and affects notably doctors and the skilled medical workforce in Moldova and Bulgaria</w:t>
      </w:r>
      <w:r w:rsidRPr="000D3441">
        <w:rPr>
          <w:sz w:val="22"/>
          <w:szCs w:val="22"/>
          <w:vertAlign w:val="superscript"/>
        </w:rPr>
        <w:endnoteReference w:id="16"/>
      </w:r>
      <w:r w:rsidRPr="000D3441">
        <w:rPr>
          <w:sz w:val="22"/>
          <w:szCs w:val="22"/>
          <w:lang w:val="en-GB"/>
        </w:rPr>
        <w:t xml:space="preserve">. </w:t>
      </w:r>
      <w:r w:rsidR="002C5399">
        <w:rPr>
          <w:sz w:val="22"/>
          <w:szCs w:val="22"/>
          <w:lang w:val="en-GB"/>
        </w:rPr>
        <w:t>In</w:t>
      </w:r>
      <w:r w:rsidR="00656575">
        <w:rPr>
          <w:sz w:val="22"/>
          <w:szCs w:val="22"/>
          <w:lang w:val="en-GB"/>
        </w:rPr>
        <w:t xml:space="preserve"> the aftermath of </w:t>
      </w:r>
      <w:r w:rsidR="002C5399">
        <w:rPr>
          <w:sz w:val="22"/>
          <w:szCs w:val="22"/>
          <w:lang w:val="en-GB"/>
        </w:rPr>
        <w:t xml:space="preserve">the </w:t>
      </w:r>
      <w:r w:rsidR="00656575">
        <w:rPr>
          <w:sz w:val="22"/>
          <w:szCs w:val="22"/>
          <w:lang w:val="en-GB"/>
        </w:rPr>
        <w:t>2008 crisis</w:t>
      </w:r>
      <w:r w:rsidR="002C5399">
        <w:rPr>
          <w:sz w:val="22"/>
          <w:szCs w:val="22"/>
          <w:lang w:val="en-GB"/>
        </w:rPr>
        <w:t xml:space="preserve"> and following recession in Greece</w:t>
      </w:r>
      <w:r w:rsidR="00D31ECF" w:rsidRPr="00372AB7">
        <w:rPr>
          <w:sz w:val="22"/>
          <w:szCs w:val="22"/>
          <w:lang w:val="en-GB"/>
        </w:rPr>
        <w:t xml:space="preserve">, </w:t>
      </w:r>
      <w:r w:rsidR="00564338" w:rsidRPr="00372AB7">
        <w:rPr>
          <w:sz w:val="22"/>
          <w:szCs w:val="22"/>
          <w:lang w:val="en-GB"/>
        </w:rPr>
        <w:t xml:space="preserve">extremely </w:t>
      </w:r>
      <w:r w:rsidR="002E1AD0" w:rsidRPr="00372AB7">
        <w:rPr>
          <w:sz w:val="22"/>
          <w:szCs w:val="22"/>
          <w:lang w:val="en-GB"/>
        </w:rPr>
        <w:t>high unempl</w:t>
      </w:r>
      <w:r w:rsidR="002C5399">
        <w:rPr>
          <w:sz w:val="22"/>
          <w:szCs w:val="22"/>
          <w:lang w:val="en-GB"/>
        </w:rPr>
        <w:t>oyment has</w:t>
      </w:r>
      <w:r w:rsidR="00D31ECF" w:rsidRPr="00372AB7">
        <w:rPr>
          <w:sz w:val="22"/>
          <w:szCs w:val="22"/>
          <w:lang w:val="en-GB"/>
        </w:rPr>
        <w:t xml:space="preserve"> also led to significant brain drain</w:t>
      </w:r>
      <w:r w:rsidR="00C8545F">
        <w:rPr>
          <w:rStyle w:val="EndnoteReference"/>
          <w:sz w:val="22"/>
          <w:szCs w:val="22"/>
          <w:lang w:val="en-GB"/>
        </w:rPr>
        <w:endnoteReference w:id="17"/>
      </w:r>
      <w:r w:rsidR="002E1AD0">
        <w:rPr>
          <w:sz w:val="22"/>
          <w:szCs w:val="22"/>
          <w:lang w:val="en-GB"/>
        </w:rPr>
        <w:t>.</w:t>
      </w:r>
      <w:r w:rsidR="002E1AD0" w:rsidRPr="000D3441">
        <w:rPr>
          <w:sz w:val="22"/>
          <w:szCs w:val="22"/>
          <w:lang w:val="en-GB"/>
        </w:rPr>
        <w:t xml:space="preserve"> </w:t>
      </w:r>
      <w:r w:rsidRPr="000D3441">
        <w:rPr>
          <w:sz w:val="22"/>
          <w:szCs w:val="22"/>
          <w:lang w:val="en-GB"/>
        </w:rPr>
        <w:t>An associated problem is skill waste, as high education migrants often end up working in low-skilled jobs (e.g. as construction, domestic workers)</w:t>
      </w:r>
      <w:r w:rsidRPr="000D3441">
        <w:rPr>
          <w:rStyle w:val="EndnoteReference"/>
          <w:sz w:val="22"/>
          <w:szCs w:val="22"/>
          <w:lang w:val="en-GB"/>
        </w:rPr>
        <w:endnoteReference w:id="18"/>
      </w:r>
      <w:r w:rsidRPr="000D3441">
        <w:rPr>
          <w:sz w:val="22"/>
          <w:szCs w:val="22"/>
          <w:lang w:val="en-GB"/>
        </w:rPr>
        <w:t>. Brain drain is also an important issue for Turkey, with a high incidence of students graduating abroad not returning</w:t>
      </w:r>
      <w:r w:rsidRPr="000D3441">
        <w:rPr>
          <w:rStyle w:val="EndnoteReference"/>
          <w:sz w:val="22"/>
          <w:szCs w:val="22"/>
          <w:lang w:val="en-GB"/>
        </w:rPr>
        <w:endnoteReference w:id="19"/>
      </w:r>
      <w:r w:rsidRPr="000D3441">
        <w:rPr>
          <w:sz w:val="22"/>
          <w:szCs w:val="22"/>
          <w:lang w:val="en-GB"/>
        </w:rPr>
        <w:t>. However, labour migration can also help reduce unemployment and generate private remittances in the country of origin, which play an increasing role in regional economic development. Hence, effective migration management within the Black Sea region is a common issue of interest and there is potential notably for facilitating emigrant links with their home communities, including remittance transfer and the development of scientific, business and other types of networks</w:t>
      </w:r>
      <w:r w:rsidRPr="000D3441">
        <w:rPr>
          <w:rStyle w:val="EndnoteReference"/>
          <w:sz w:val="22"/>
          <w:szCs w:val="22"/>
          <w:lang w:val="en-GB"/>
        </w:rPr>
        <w:endnoteReference w:id="20"/>
      </w:r>
      <w:r w:rsidRPr="000D3441">
        <w:rPr>
          <w:sz w:val="22"/>
          <w:szCs w:val="22"/>
          <w:lang w:val="en-GB"/>
        </w:rPr>
        <w:t>.</w:t>
      </w:r>
    </w:p>
    <w:p w14:paraId="360DB646" w14:textId="77777777" w:rsidR="005072B1" w:rsidRPr="00002063" w:rsidRDefault="005072B1" w:rsidP="001024F6">
      <w:pPr>
        <w:spacing w:before="240" w:after="120" w:line="264" w:lineRule="auto"/>
        <w:rPr>
          <w:b/>
          <w:bCs/>
          <w:lang w:val="en-GB"/>
        </w:rPr>
      </w:pPr>
      <w:bookmarkStart w:id="21" w:name="_Toc246127420"/>
      <w:r w:rsidRPr="00002063">
        <w:rPr>
          <w:b/>
          <w:bCs/>
          <w:lang w:val="en-GB"/>
        </w:rPr>
        <w:t>Urban and rural development</w:t>
      </w:r>
      <w:bookmarkEnd w:id="21"/>
    </w:p>
    <w:p w14:paraId="4716696E" w14:textId="783DEE7E" w:rsidR="005072B1" w:rsidRPr="004B58D3" w:rsidRDefault="005072B1" w:rsidP="005072B1">
      <w:pPr>
        <w:spacing w:before="120" w:after="0" w:line="252" w:lineRule="auto"/>
        <w:jc w:val="both"/>
        <w:rPr>
          <w:sz w:val="22"/>
          <w:szCs w:val="22"/>
          <w:lang w:val="en-GB"/>
        </w:rPr>
      </w:pPr>
      <w:r w:rsidRPr="004B58D3">
        <w:rPr>
          <w:sz w:val="22"/>
          <w:szCs w:val="22"/>
          <w:lang w:val="en-GB"/>
        </w:rPr>
        <w:t xml:space="preserve">In 2012, population density in the Black Sea Basin ENI CBC programme area was </w:t>
      </w:r>
      <w:proofErr w:type="gramStart"/>
      <w:r w:rsidRPr="004B58D3">
        <w:rPr>
          <w:sz w:val="22"/>
          <w:szCs w:val="22"/>
          <w:lang w:val="en-GB"/>
        </w:rPr>
        <w:t>91 people/km2, a slight increase since 2005</w:t>
      </w:r>
      <w:proofErr w:type="gramEnd"/>
      <w:r w:rsidRPr="004B58D3">
        <w:rPr>
          <w:sz w:val="22"/>
          <w:szCs w:val="22"/>
          <w:lang w:val="en-GB"/>
        </w:rPr>
        <w:t xml:space="preserve"> though below EU average of 120 people/km2</w:t>
      </w:r>
      <w:r w:rsidRPr="004D189B">
        <w:rPr>
          <w:rStyle w:val="EndnoteReference"/>
          <w:sz w:val="22"/>
          <w:szCs w:val="22"/>
        </w:rPr>
        <w:endnoteReference w:id="21"/>
      </w:r>
      <w:r w:rsidRPr="004B58D3">
        <w:rPr>
          <w:sz w:val="22"/>
          <w:szCs w:val="22"/>
          <w:lang w:val="en-GB"/>
        </w:rPr>
        <w:t xml:space="preserve">. The density in Black Sea Basin eligible areas ranges from </w:t>
      </w:r>
      <w:r w:rsidR="00124B20">
        <w:rPr>
          <w:sz w:val="22"/>
          <w:szCs w:val="22"/>
          <w:lang w:val="en-GB"/>
        </w:rPr>
        <w:t>2,767</w:t>
      </w:r>
      <w:r w:rsidRPr="004B58D3">
        <w:rPr>
          <w:sz w:val="22"/>
          <w:szCs w:val="22"/>
          <w:lang w:val="en-GB"/>
        </w:rPr>
        <w:t xml:space="preserve"> people/km2 in </w:t>
      </w:r>
      <w:r w:rsidR="00112DE1">
        <w:rPr>
          <w:sz w:val="22"/>
          <w:szCs w:val="22"/>
          <w:lang w:val="en-GB"/>
        </w:rPr>
        <w:t>I</w:t>
      </w:r>
      <w:r w:rsidR="005F2BFC" w:rsidRPr="00682784">
        <w:rPr>
          <w:sz w:val="22"/>
          <w:szCs w:val="22"/>
          <w:lang w:val="en-GB"/>
        </w:rPr>
        <w:t>stanbul</w:t>
      </w:r>
      <w:r w:rsidRPr="004B58D3">
        <w:rPr>
          <w:sz w:val="22"/>
          <w:szCs w:val="22"/>
          <w:lang w:val="en-GB"/>
        </w:rPr>
        <w:t xml:space="preserve"> to </w:t>
      </w:r>
      <w:r w:rsidR="00124B20">
        <w:rPr>
          <w:sz w:val="22"/>
          <w:szCs w:val="22"/>
          <w:lang w:val="en-GB"/>
        </w:rPr>
        <w:t>29</w:t>
      </w:r>
      <w:r w:rsidRPr="004B58D3">
        <w:rPr>
          <w:sz w:val="22"/>
          <w:szCs w:val="22"/>
          <w:lang w:val="en-GB"/>
        </w:rPr>
        <w:t xml:space="preserve"> people/km2 in </w:t>
      </w:r>
      <w:proofErr w:type="spellStart"/>
      <w:r w:rsidRPr="004B58D3">
        <w:rPr>
          <w:sz w:val="22"/>
          <w:szCs w:val="22"/>
          <w:lang w:val="en-GB"/>
        </w:rPr>
        <w:t>Kastamonu</w:t>
      </w:r>
      <w:proofErr w:type="spellEnd"/>
      <w:r>
        <w:rPr>
          <w:sz w:val="22"/>
          <w:szCs w:val="22"/>
          <w:lang w:val="en-GB"/>
        </w:rPr>
        <w:t>,</w:t>
      </w:r>
      <w:r w:rsidRPr="004B58D3">
        <w:rPr>
          <w:sz w:val="22"/>
          <w:szCs w:val="22"/>
          <w:lang w:val="en-GB"/>
        </w:rPr>
        <w:t xml:space="preserve"> revealing huge </w:t>
      </w:r>
      <w:proofErr w:type="spellStart"/>
      <w:r w:rsidRPr="004B58D3">
        <w:rPr>
          <w:sz w:val="22"/>
          <w:szCs w:val="22"/>
          <w:lang w:val="en-GB"/>
        </w:rPr>
        <w:t>discrepencies</w:t>
      </w:r>
      <w:proofErr w:type="spellEnd"/>
      <w:r w:rsidRPr="004B58D3">
        <w:rPr>
          <w:sz w:val="22"/>
          <w:szCs w:val="22"/>
          <w:lang w:val="en-GB"/>
        </w:rPr>
        <w:t xml:space="preserve"> in territorial development as well as an ongoing urbanisation process</w:t>
      </w:r>
      <w:r w:rsidR="00947273">
        <w:rPr>
          <w:sz w:val="22"/>
          <w:szCs w:val="22"/>
          <w:lang w:val="en-GB"/>
        </w:rPr>
        <w:t xml:space="preserve"> (see table 1 above)</w:t>
      </w:r>
      <w:r w:rsidRPr="004D189B">
        <w:rPr>
          <w:rStyle w:val="EndnoteReference"/>
          <w:sz w:val="22"/>
          <w:szCs w:val="22"/>
        </w:rPr>
        <w:endnoteReference w:id="22"/>
      </w:r>
      <w:r w:rsidRPr="004B58D3">
        <w:rPr>
          <w:sz w:val="22"/>
          <w:szCs w:val="22"/>
          <w:lang w:val="en-GB"/>
        </w:rPr>
        <w:t xml:space="preserve">. </w:t>
      </w:r>
    </w:p>
    <w:p w14:paraId="41D77E2C"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 xml:space="preserve">The ENI CBC programme is characterised by the inclusion of both large rural areas and of major cities, including </w:t>
      </w:r>
      <w:r>
        <w:rPr>
          <w:sz w:val="22"/>
          <w:szCs w:val="22"/>
          <w:lang w:val="en-GB"/>
        </w:rPr>
        <w:t>three</w:t>
      </w:r>
      <w:r w:rsidRPr="004B58D3">
        <w:rPr>
          <w:sz w:val="22"/>
          <w:szCs w:val="22"/>
          <w:lang w:val="en-GB"/>
        </w:rPr>
        <w:t xml:space="preserve"> capital cities (Baku, Tbilisi, </w:t>
      </w:r>
      <w:proofErr w:type="gramStart"/>
      <w:r w:rsidRPr="004B58D3">
        <w:rPr>
          <w:sz w:val="22"/>
          <w:szCs w:val="22"/>
          <w:lang w:val="en-GB"/>
        </w:rPr>
        <w:t>Yerevan</w:t>
      </w:r>
      <w:proofErr w:type="gramEnd"/>
      <w:r w:rsidRPr="004B58D3">
        <w:rPr>
          <w:sz w:val="22"/>
          <w:szCs w:val="22"/>
          <w:lang w:val="en-GB"/>
        </w:rPr>
        <w:t xml:space="preserve">) and the megacity of </w:t>
      </w:r>
      <w:r w:rsidR="00E82BBA" w:rsidRPr="00682784">
        <w:rPr>
          <w:sz w:val="22"/>
          <w:szCs w:val="22"/>
          <w:lang w:val="en-GB"/>
        </w:rPr>
        <w:t>I</w:t>
      </w:r>
      <w:r w:rsidR="00112DE1" w:rsidRPr="00682784">
        <w:rPr>
          <w:sz w:val="22"/>
          <w:szCs w:val="22"/>
          <w:lang w:val="en-GB"/>
        </w:rPr>
        <w:t>stanbul</w:t>
      </w:r>
      <w:r w:rsidRPr="004B58D3">
        <w:rPr>
          <w:sz w:val="22"/>
          <w:szCs w:val="22"/>
          <w:lang w:val="en-GB"/>
        </w:rPr>
        <w:t xml:space="preserve">. Since 2005 the urban population in the programme area has increased by 5 points to 64%, a trend that is common to all the regions across the eligible area, though particularly strong in Turkey, as Istanbul itself grew by 2.2 </w:t>
      </w:r>
      <w:r w:rsidR="00041F57">
        <w:rPr>
          <w:sz w:val="22"/>
          <w:szCs w:val="22"/>
          <w:lang w:val="en-GB"/>
        </w:rPr>
        <w:t>million</w:t>
      </w:r>
      <w:r w:rsidRPr="004B58D3">
        <w:rPr>
          <w:sz w:val="22"/>
          <w:szCs w:val="22"/>
          <w:lang w:val="en-GB"/>
        </w:rPr>
        <w:t xml:space="preserve"> (nearly 20%) over the period. Though this urbanisation process does not yet match the EU average (where 74% of the population is urbanised), it gives rise to common environmental and socio-economic challenges to ensure sustainable urban development.</w:t>
      </w:r>
    </w:p>
    <w:p w14:paraId="03103654"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Another feature of the programme area is the dense population of most coastal zones, which increases considerably during the summer season due to tourism, creating economic opportunities but also putting additional strain on local infrastructure and the environment.</w:t>
      </w:r>
    </w:p>
    <w:p w14:paraId="2000EDEA" w14:textId="77777777" w:rsidR="005072B1" w:rsidRPr="00002063" w:rsidRDefault="005072B1" w:rsidP="001024F6">
      <w:pPr>
        <w:spacing w:before="240" w:after="120" w:line="264" w:lineRule="auto"/>
        <w:rPr>
          <w:b/>
          <w:bCs/>
          <w:lang w:val="en-GB"/>
        </w:rPr>
      </w:pPr>
      <w:bookmarkStart w:id="22" w:name="_Toc246127421"/>
      <w:r w:rsidRPr="00002063">
        <w:rPr>
          <w:b/>
          <w:bCs/>
          <w:lang w:val="en-GB"/>
        </w:rPr>
        <w:t>Population structure by age</w:t>
      </w:r>
      <w:bookmarkEnd w:id="22"/>
    </w:p>
    <w:p w14:paraId="5EB3E2BB" w14:textId="0BE2AA47" w:rsidR="005072B1" w:rsidRPr="004B58D3" w:rsidRDefault="005072B1" w:rsidP="005072B1">
      <w:pPr>
        <w:spacing w:before="120" w:after="0" w:line="252" w:lineRule="auto"/>
        <w:jc w:val="both"/>
        <w:rPr>
          <w:sz w:val="22"/>
          <w:szCs w:val="22"/>
          <w:lang w:val="en-GB"/>
        </w:rPr>
      </w:pPr>
      <w:r w:rsidRPr="004B58D3">
        <w:rPr>
          <w:sz w:val="22"/>
          <w:szCs w:val="22"/>
          <w:lang w:val="en-GB"/>
        </w:rPr>
        <w:t>Demographics trends within the Black Sea Basin eligible area reveal disparate dynamics in regard to the population age structure and its related socio-economic challenges. Greece and Bulgaria, and to a lesser extent Ukraine, Romania and Georgia</w:t>
      </w:r>
      <w:r>
        <w:rPr>
          <w:sz w:val="22"/>
          <w:szCs w:val="22"/>
          <w:lang w:val="en-GB"/>
        </w:rPr>
        <w:t>,</w:t>
      </w:r>
      <w:r w:rsidRPr="004B58D3">
        <w:rPr>
          <w:sz w:val="22"/>
          <w:szCs w:val="22"/>
          <w:lang w:val="en-GB"/>
        </w:rPr>
        <w:t xml:space="preserve"> have an ageing population, with people over </w:t>
      </w:r>
      <w:r w:rsidRPr="007A6B83">
        <w:rPr>
          <w:sz w:val="22"/>
          <w:szCs w:val="22"/>
          <w:lang w:val="en-GB"/>
        </w:rPr>
        <w:t>65 representing more than 20% of their working age population (see figure 4 below) – leading to specific health and pension-financing issues. On the other hand, Azerbaijan and Turkey have more dynamic demographics and a younger</w:t>
      </w:r>
      <w:r w:rsidRPr="004B58D3">
        <w:rPr>
          <w:sz w:val="22"/>
          <w:szCs w:val="22"/>
          <w:lang w:val="en-GB"/>
        </w:rPr>
        <w:t xml:space="preserve"> population </w:t>
      </w:r>
      <w:proofErr w:type="spellStart"/>
      <w:r w:rsidRPr="004B58D3">
        <w:rPr>
          <w:sz w:val="22"/>
          <w:szCs w:val="22"/>
          <w:lang w:val="en-GB"/>
        </w:rPr>
        <w:t>e.g.</w:t>
      </w:r>
      <w:r w:rsidR="00E15F61">
        <w:rPr>
          <w:sz w:val="22"/>
          <w:szCs w:val="22"/>
          <w:lang w:val="en-GB"/>
        </w:rPr>
        <w:t>about</w:t>
      </w:r>
      <w:proofErr w:type="spellEnd"/>
      <w:r w:rsidRPr="004B58D3">
        <w:rPr>
          <w:sz w:val="22"/>
          <w:szCs w:val="22"/>
          <w:lang w:val="en-GB"/>
        </w:rPr>
        <w:t xml:space="preserve"> 23% of the population of Istanbul is under 14</w:t>
      </w:r>
      <w:r w:rsidRPr="004D189B">
        <w:rPr>
          <w:sz w:val="22"/>
          <w:szCs w:val="22"/>
          <w:vertAlign w:val="superscript"/>
        </w:rPr>
        <w:endnoteReference w:id="23"/>
      </w:r>
      <w:r w:rsidRPr="004B58D3">
        <w:rPr>
          <w:sz w:val="22"/>
          <w:szCs w:val="22"/>
          <w:lang w:val="en-GB"/>
        </w:rPr>
        <w:t>, giving rise to related challenges of education and integration into the labour market.</w:t>
      </w:r>
    </w:p>
    <w:p w14:paraId="360DFDAB" w14:textId="77777777" w:rsidR="005072B1" w:rsidRDefault="005072B1" w:rsidP="006C45B4">
      <w:pPr>
        <w:spacing w:after="0" w:line="252" w:lineRule="auto"/>
        <w:jc w:val="both"/>
        <w:rPr>
          <w:i/>
          <w:sz w:val="22"/>
          <w:szCs w:val="22"/>
          <w:lang w:val="en-GB"/>
        </w:rPr>
      </w:pPr>
      <w:r>
        <w:rPr>
          <w:noProof/>
          <w:lang w:val="en-GB" w:eastAsia="en-GB"/>
        </w:rPr>
        <w:lastRenderedPageBreak/>
        <w:drawing>
          <wp:inline distT="0" distB="0" distL="0" distR="0" wp14:anchorId="0349E492" wp14:editId="44D2770D">
            <wp:extent cx="6697345" cy="2268189"/>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7345" cy="2268189"/>
                    </a:xfrm>
                    <a:prstGeom prst="rect">
                      <a:avLst/>
                    </a:prstGeom>
                    <a:noFill/>
                    <a:ln>
                      <a:noFill/>
                    </a:ln>
                  </pic:spPr>
                </pic:pic>
              </a:graphicData>
            </a:graphic>
          </wp:inline>
        </w:drawing>
      </w:r>
      <w:proofErr w:type="gramStart"/>
      <w:r w:rsidRPr="004B58D3">
        <w:rPr>
          <w:i/>
          <w:sz w:val="22"/>
          <w:szCs w:val="22"/>
          <w:lang w:val="en-GB"/>
        </w:rPr>
        <w:t xml:space="preserve">Figure </w:t>
      </w:r>
      <w:r w:rsidRPr="00682784">
        <w:rPr>
          <w:i/>
          <w:sz w:val="22"/>
          <w:szCs w:val="22"/>
          <w:lang w:val="en-GB"/>
        </w:rPr>
        <w:t>3</w:t>
      </w:r>
      <w:r w:rsidR="00FE1F4A">
        <w:rPr>
          <w:i/>
          <w:sz w:val="22"/>
          <w:szCs w:val="22"/>
          <w:lang w:val="en-GB"/>
        </w:rPr>
        <w:t>.</w:t>
      </w:r>
      <w:proofErr w:type="gramEnd"/>
      <w:r w:rsidR="00FE1F4A">
        <w:rPr>
          <w:i/>
          <w:sz w:val="22"/>
          <w:szCs w:val="22"/>
          <w:lang w:val="en-GB"/>
        </w:rPr>
        <w:t xml:space="preserve"> Age dependency ratio, </w:t>
      </w:r>
      <w:r w:rsidRPr="004B58D3">
        <w:rPr>
          <w:i/>
          <w:sz w:val="22"/>
          <w:szCs w:val="22"/>
          <w:lang w:val="en-GB"/>
        </w:rPr>
        <w:t>&gt;65 years old as a % of working age population (15-64 years old), 2012</w:t>
      </w:r>
      <w:r w:rsidRPr="0016742C">
        <w:rPr>
          <w:rStyle w:val="EndnoteReference"/>
          <w:i/>
          <w:sz w:val="22"/>
          <w:szCs w:val="22"/>
        </w:rPr>
        <w:endnoteReference w:id="24"/>
      </w:r>
    </w:p>
    <w:p w14:paraId="51C96BE0" w14:textId="77777777" w:rsidR="00913608" w:rsidRDefault="00913608" w:rsidP="00913608">
      <w:pPr>
        <w:tabs>
          <w:tab w:val="left" w:pos="3921"/>
        </w:tabs>
        <w:spacing w:before="120" w:after="0" w:line="252" w:lineRule="auto"/>
        <w:jc w:val="both"/>
        <w:rPr>
          <w:i/>
          <w:lang w:val="en-GB"/>
        </w:rPr>
      </w:pPr>
      <w:r>
        <w:rPr>
          <w:i/>
          <w:lang w:val="en-GB"/>
        </w:rPr>
        <w:tab/>
      </w:r>
    </w:p>
    <w:p w14:paraId="373C59A6" w14:textId="77777777" w:rsidR="00BD76C1" w:rsidRPr="004B58D3" w:rsidRDefault="00BD76C1" w:rsidP="00913608">
      <w:pPr>
        <w:tabs>
          <w:tab w:val="left" w:pos="3921"/>
        </w:tabs>
        <w:spacing w:before="120" w:after="0" w:line="252" w:lineRule="auto"/>
        <w:jc w:val="both"/>
        <w:rPr>
          <w:i/>
          <w:lang w:val="en-GB"/>
        </w:rPr>
      </w:pPr>
    </w:p>
    <w:tbl>
      <w:tblPr>
        <w:tblStyle w:val="ColorfulList"/>
        <w:tblW w:w="0" w:type="auto"/>
        <w:tblLayout w:type="fixed"/>
        <w:tblLook w:val="04A0" w:firstRow="1" w:lastRow="0" w:firstColumn="1" w:lastColumn="0" w:noHBand="0" w:noVBand="1"/>
      </w:tblPr>
      <w:tblGrid>
        <w:gridCol w:w="5317"/>
        <w:gridCol w:w="5706"/>
      </w:tblGrid>
      <w:tr w:rsidR="0001321D" w:rsidRPr="009C4D30" w14:paraId="65A7A288" w14:textId="77777777" w:rsidTr="000C49D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tcBorders>
              <w:top w:val="single" w:sz="18" w:space="0" w:color="983620" w:themeColor="accent2"/>
              <w:left w:val="single" w:sz="18" w:space="0" w:color="983620" w:themeColor="accent2"/>
              <w:right w:val="single" w:sz="18" w:space="0" w:color="983620" w:themeColor="accent2"/>
            </w:tcBorders>
            <w:noWrap/>
            <w:hideMark/>
          </w:tcPr>
          <w:p w14:paraId="21481703" w14:textId="77777777" w:rsidR="0001321D" w:rsidRPr="009C4D30" w:rsidRDefault="005578B7" w:rsidP="009C4D30">
            <w:pPr>
              <w:jc w:val="center"/>
            </w:pPr>
            <w:bookmarkStart w:id="23" w:name="_Toc246127422"/>
            <w:r>
              <w:t xml:space="preserve">SWOT - </w:t>
            </w:r>
            <w:r w:rsidR="0001321D" w:rsidRPr="009C4D30">
              <w:t>DEMOGRAPHY</w:t>
            </w:r>
          </w:p>
        </w:tc>
      </w:tr>
      <w:tr w:rsidR="00913608" w:rsidRPr="005A013A" w14:paraId="7158E4B9" w14:textId="77777777" w:rsidTr="000C49D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317" w:type="dxa"/>
            <w:tcBorders>
              <w:left w:val="single" w:sz="18" w:space="0" w:color="983620" w:themeColor="accent2"/>
              <w:right w:val="single" w:sz="4" w:space="0" w:color="983620" w:themeColor="accent2"/>
            </w:tcBorders>
            <w:noWrap/>
            <w:hideMark/>
          </w:tcPr>
          <w:p w14:paraId="6B133071" w14:textId="77777777" w:rsidR="0001321D" w:rsidRPr="005A013A" w:rsidRDefault="0001321D" w:rsidP="00371650">
            <w:pPr>
              <w:jc w:val="center"/>
              <w:rPr>
                <w:sz w:val="22"/>
                <w:szCs w:val="22"/>
              </w:rPr>
            </w:pPr>
            <w:r w:rsidRPr="005A013A">
              <w:rPr>
                <w:sz w:val="22"/>
                <w:szCs w:val="22"/>
              </w:rPr>
              <w:t>STRENGTHS</w:t>
            </w:r>
          </w:p>
        </w:tc>
        <w:tc>
          <w:tcPr>
            <w:tcW w:w="5706" w:type="dxa"/>
            <w:tcBorders>
              <w:left w:val="single" w:sz="4" w:space="0" w:color="983620" w:themeColor="accent2"/>
              <w:right w:val="single" w:sz="18" w:space="0" w:color="983620" w:themeColor="accent2"/>
            </w:tcBorders>
            <w:hideMark/>
          </w:tcPr>
          <w:p w14:paraId="5A36549D" w14:textId="77777777" w:rsidR="0001321D" w:rsidRPr="005A013A" w:rsidRDefault="0001321D" w:rsidP="0037165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A013A">
              <w:rPr>
                <w:b/>
                <w:sz w:val="22"/>
                <w:szCs w:val="22"/>
              </w:rPr>
              <w:t>WEAKNESSES</w:t>
            </w:r>
          </w:p>
        </w:tc>
      </w:tr>
      <w:tr w:rsidR="00913608" w:rsidRPr="00B71347" w14:paraId="62763C75" w14:textId="77777777" w:rsidTr="000C49D0">
        <w:trPr>
          <w:trHeight w:val="1120"/>
        </w:trPr>
        <w:tc>
          <w:tcPr>
            <w:cnfStyle w:val="001000000000" w:firstRow="0" w:lastRow="0" w:firstColumn="1" w:lastColumn="0" w:oddVBand="0" w:evenVBand="0" w:oddHBand="0" w:evenHBand="0" w:firstRowFirstColumn="0" w:firstRowLastColumn="0" w:lastRowFirstColumn="0" w:lastRowLastColumn="0"/>
            <w:tcW w:w="5317" w:type="dxa"/>
            <w:tcBorders>
              <w:left w:val="single" w:sz="18" w:space="0" w:color="983620" w:themeColor="accent2"/>
              <w:right w:val="single" w:sz="4" w:space="0" w:color="983620" w:themeColor="accent2"/>
            </w:tcBorders>
            <w:hideMark/>
          </w:tcPr>
          <w:p w14:paraId="7A4B774D" w14:textId="77777777" w:rsidR="0001321D" w:rsidRPr="00682784" w:rsidRDefault="0001321D" w:rsidP="0028075A">
            <w:pPr>
              <w:pStyle w:val="ListParagraph"/>
              <w:numPr>
                <w:ilvl w:val="0"/>
                <w:numId w:val="30"/>
              </w:numPr>
              <w:rPr>
                <w:b w:val="0"/>
                <w:sz w:val="22"/>
                <w:szCs w:val="22"/>
                <w:lang w:val="en-GB"/>
              </w:rPr>
            </w:pPr>
            <w:r w:rsidRPr="00682784">
              <w:rPr>
                <w:b w:val="0"/>
                <w:sz w:val="22"/>
                <w:szCs w:val="22"/>
                <w:lang w:val="en-GB"/>
              </w:rPr>
              <w:t>Young population Turkey and Azerbaijan</w:t>
            </w:r>
          </w:p>
        </w:tc>
        <w:tc>
          <w:tcPr>
            <w:tcW w:w="5706" w:type="dxa"/>
            <w:tcBorders>
              <w:left w:val="single" w:sz="4" w:space="0" w:color="983620" w:themeColor="accent2"/>
              <w:right w:val="single" w:sz="18" w:space="0" w:color="983620" w:themeColor="accent2"/>
            </w:tcBorders>
            <w:hideMark/>
          </w:tcPr>
          <w:p w14:paraId="3C2CCCF8" w14:textId="77777777" w:rsidR="00CE671E" w:rsidRPr="00CE671E" w:rsidRDefault="00CE671E" w:rsidP="0028075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CE671E">
              <w:rPr>
                <w:sz w:val="22"/>
                <w:szCs w:val="22"/>
              </w:rPr>
              <w:t>Strong</w:t>
            </w:r>
            <w:proofErr w:type="spellEnd"/>
            <w:r w:rsidRPr="00CE671E">
              <w:rPr>
                <w:sz w:val="22"/>
                <w:szCs w:val="22"/>
              </w:rPr>
              <w:t xml:space="preserve"> urbanisation </w:t>
            </w:r>
            <w:proofErr w:type="spellStart"/>
            <w:r w:rsidRPr="00CE671E">
              <w:rPr>
                <w:sz w:val="22"/>
                <w:szCs w:val="22"/>
              </w:rPr>
              <w:t>process</w:t>
            </w:r>
            <w:proofErr w:type="spellEnd"/>
            <w:r w:rsidRPr="00CE671E">
              <w:rPr>
                <w:sz w:val="22"/>
                <w:szCs w:val="22"/>
              </w:rPr>
              <w:t xml:space="preserve"> </w:t>
            </w:r>
          </w:p>
          <w:p w14:paraId="1DC013A6" w14:textId="77777777" w:rsidR="00CE671E" w:rsidRPr="00682784" w:rsidRDefault="0001321D" w:rsidP="0028075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lang w:val="en-GB"/>
              </w:rPr>
            </w:pPr>
            <w:r w:rsidRPr="00682784">
              <w:rPr>
                <w:sz w:val="22"/>
                <w:szCs w:val="22"/>
                <w:lang w:val="en-GB"/>
              </w:rPr>
              <w:t>For Greece, Bulgaria, Ukraine, Romania and Georgia: ageing of their population leading to health and pension-financing issues</w:t>
            </w:r>
            <w:r w:rsidR="00CE671E" w:rsidRPr="00682784">
              <w:rPr>
                <w:sz w:val="22"/>
                <w:szCs w:val="22"/>
                <w:lang w:val="en-GB"/>
              </w:rPr>
              <w:t xml:space="preserve"> </w:t>
            </w:r>
          </w:p>
          <w:p w14:paraId="6CBE7AB4" w14:textId="77777777" w:rsidR="0001321D" w:rsidRPr="00682784" w:rsidRDefault="0001321D" w:rsidP="0028075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lang w:val="en-GB"/>
              </w:rPr>
            </w:pPr>
            <w:r w:rsidRPr="00682784">
              <w:rPr>
                <w:sz w:val="22"/>
                <w:szCs w:val="22"/>
                <w:lang w:val="en-GB"/>
              </w:rPr>
              <w:t>For Azerbaijan and Turkey younger population: challenges of education and integration into the labour market</w:t>
            </w:r>
          </w:p>
        </w:tc>
      </w:tr>
      <w:tr w:rsidR="00913608" w:rsidRPr="005A013A" w14:paraId="6FE29680" w14:textId="77777777" w:rsidTr="000C49D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317" w:type="dxa"/>
            <w:tcBorders>
              <w:left w:val="single" w:sz="18" w:space="0" w:color="983620" w:themeColor="accent2"/>
              <w:right w:val="single" w:sz="4" w:space="0" w:color="983620" w:themeColor="accent2"/>
            </w:tcBorders>
            <w:noWrap/>
            <w:hideMark/>
          </w:tcPr>
          <w:p w14:paraId="6CFA3216" w14:textId="77777777" w:rsidR="0001321D" w:rsidRPr="005A013A" w:rsidRDefault="0001321D" w:rsidP="00371650">
            <w:pPr>
              <w:jc w:val="center"/>
              <w:rPr>
                <w:sz w:val="22"/>
                <w:szCs w:val="22"/>
              </w:rPr>
            </w:pPr>
            <w:r w:rsidRPr="005A013A">
              <w:rPr>
                <w:sz w:val="22"/>
                <w:szCs w:val="22"/>
              </w:rPr>
              <w:t>OPPORTUNITIES</w:t>
            </w:r>
          </w:p>
        </w:tc>
        <w:tc>
          <w:tcPr>
            <w:tcW w:w="5706" w:type="dxa"/>
            <w:tcBorders>
              <w:left w:val="single" w:sz="4" w:space="0" w:color="983620" w:themeColor="accent2"/>
              <w:right w:val="single" w:sz="18" w:space="0" w:color="983620" w:themeColor="accent2"/>
            </w:tcBorders>
            <w:hideMark/>
          </w:tcPr>
          <w:p w14:paraId="5560712C" w14:textId="77777777" w:rsidR="0001321D" w:rsidRPr="005A013A" w:rsidRDefault="0001321D" w:rsidP="0037165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A013A">
              <w:rPr>
                <w:b/>
                <w:sz w:val="22"/>
                <w:szCs w:val="22"/>
              </w:rPr>
              <w:t>THREATS</w:t>
            </w:r>
          </w:p>
        </w:tc>
      </w:tr>
      <w:tr w:rsidR="00913608" w:rsidRPr="00B71347" w14:paraId="76D04D89" w14:textId="77777777" w:rsidTr="000C49D0">
        <w:trPr>
          <w:trHeight w:val="1076"/>
        </w:trPr>
        <w:tc>
          <w:tcPr>
            <w:cnfStyle w:val="001000000000" w:firstRow="0" w:lastRow="0" w:firstColumn="1" w:lastColumn="0" w:oddVBand="0" w:evenVBand="0" w:oddHBand="0" w:evenHBand="0" w:firstRowFirstColumn="0" w:firstRowLastColumn="0" w:lastRowFirstColumn="0" w:lastRowLastColumn="0"/>
            <w:tcW w:w="5317" w:type="dxa"/>
            <w:tcBorders>
              <w:left w:val="single" w:sz="18" w:space="0" w:color="983620" w:themeColor="accent2"/>
              <w:bottom w:val="single" w:sz="18" w:space="0" w:color="983620" w:themeColor="accent2"/>
              <w:right w:val="single" w:sz="4" w:space="0" w:color="983620" w:themeColor="accent2"/>
            </w:tcBorders>
            <w:hideMark/>
          </w:tcPr>
          <w:p w14:paraId="62B48D75" w14:textId="77777777" w:rsidR="0001321D" w:rsidRPr="00682784" w:rsidRDefault="0001321D" w:rsidP="0028075A">
            <w:pPr>
              <w:pStyle w:val="ListParagraph"/>
              <w:numPr>
                <w:ilvl w:val="0"/>
                <w:numId w:val="30"/>
              </w:numPr>
              <w:rPr>
                <w:b w:val="0"/>
                <w:sz w:val="22"/>
                <w:szCs w:val="22"/>
                <w:lang w:val="en-GB"/>
              </w:rPr>
            </w:pPr>
            <w:r w:rsidRPr="00682784">
              <w:rPr>
                <w:b w:val="0"/>
                <w:sz w:val="22"/>
                <w:szCs w:val="22"/>
                <w:lang w:val="en-GB"/>
              </w:rPr>
              <w:t>Migration flows: potential for development of scientific, business and other types of networks with migrants from BSB region</w:t>
            </w:r>
          </w:p>
        </w:tc>
        <w:tc>
          <w:tcPr>
            <w:tcW w:w="5706" w:type="dxa"/>
            <w:tcBorders>
              <w:left w:val="single" w:sz="4" w:space="0" w:color="983620" w:themeColor="accent2"/>
              <w:bottom w:val="single" w:sz="18" w:space="0" w:color="983620" w:themeColor="accent2"/>
              <w:right w:val="single" w:sz="18" w:space="0" w:color="983620" w:themeColor="accent2"/>
            </w:tcBorders>
            <w:hideMark/>
          </w:tcPr>
          <w:p w14:paraId="43A39D24" w14:textId="77777777" w:rsidR="0001321D" w:rsidRPr="00682784" w:rsidRDefault="0001321D" w:rsidP="0028075A">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2"/>
                <w:szCs w:val="22"/>
                <w:lang w:val="en-GB"/>
              </w:rPr>
            </w:pPr>
            <w:r w:rsidRPr="00682784">
              <w:rPr>
                <w:sz w:val="22"/>
                <w:szCs w:val="22"/>
                <w:lang w:val="en-GB"/>
              </w:rPr>
              <w:t>Labour emigration towards better economic opportunities outside BSB region</w:t>
            </w:r>
          </w:p>
        </w:tc>
      </w:tr>
    </w:tbl>
    <w:p w14:paraId="303B6A58" w14:textId="77777777" w:rsidR="005072B1" w:rsidRPr="00002063" w:rsidRDefault="00306593" w:rsidP="00F40719">
      <w:pPr>
        <w:pStyle w:val="Heading3"/>
        <w:rPr>
          <w:b/>
          <w:sz w:val="28"/>
          <w:szCs w:val="28"/>
          <w:lang w:val="en-GB"/>
        </w:rPr>
      </w:pPr>
      <w:bookmarkStart w:id="24" w:name="_Toc423436274"/>
      <w:r>
        <w:rPr>
          <w:b/>
          <w:sz w:val="28"/>
          <w:szCs w:val="28"/>
          <w:lang w:val="en-GB"/>
        </w:rPr>
        <w:t xml:space="preserve">3.2 </w:t>
      </w:r>
      <w:r w:rsidR="005072B1" w:rsidRPr="00002063">
        <w:rPr>
          <w:b/>
          <w:sz w:val="28"/>
          <w:szCs w:val="28"/>
          <w:lang w:val="en-GB"/>
        </w:rPr>
        <w:t>Economy</w:t>
      </w:r>
      <w:bookmarkEnd w:id="23"/>
      <w:bookmarkEnd w:id="24"/>
    </w:p>
    <w:p w14:paraId="726B8942" w14:textId="77777777" w:rsidR="005072B1" w:rsidRPr="00002063" w:rsidRDefault="005072B1" w:rsidP="001024F6">
      <w:pPr>
        <w:spacing w:before="240" w:after="120" w:line="264" w:lineRule="auto"/>
        <w:rPr>
          <w:b/>
          <w:bCs/>
          <w:lang w:val="en-GB"/>
        </w:rPr>
      </w:pPr>
      <w:bookmarkStart w:id="25" w:name="_Toc246127423"/>
      <w:r w:rsidRPr="00002063">
        <w:rPr>
          <w:b/>
          <w:bCs/>
          <w:lang w:val="en-GB"/>
        </w:rPr>
        <w:t>Overview of economic structure and performance</w:t>
      </w:r>
      <w:bookmarkEnd w:id="25"/>
      <w:r w:rsidRPr="00002063">
        <w:rPr>
          <w:b/>
          <w:bCs/>
          <w:lang w:val="en-GB"/>
        </w:rPr>
        <w:t xml:space="preserve"> </w:t>
      </w:r>
    </w:p>
    <w:p w14:paraId="227D9A45"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From 2000 to 2008, the Black Sea Basin countries enjoyed a steady growth based on foreign direct investment inflows, credit growth, increases in domestic demand, investment, and in particular export growth to Western European markets</w:t>
      </w:r>
      <w:r w:rsidRPr="004D189B">
        <w:rPr>
          <w:rStyle w:val="EndnoteReference"/>
          <w:sz w:val="22"/>
          <w:szCs w:val="22"/>
        </w:rPr>
        <w:endnoteReference w:id="25"/>
      </w:r>
      <w:r w:rsidRPr="004B58D3">
        <w:rPr>
          <w:sz w:val="22"/>
          <w:szCs w:val="22"/>
          <w:lang w:val="en-GB"/>
        </w:rPr>
        <w:t>. After the short but severe recession that hit the Black Sea region economies following the global financial crisis in September 2008 most of them</w:t>
      </w:r>
      <w:r>
        <w:rPr>
          <w:sz w:val="22"/>
          <w:szCs w:val="22"/>
          <w:lang w:val="en-GB"/>
        </w:rPr>
        <w:t>,</w:t>
      </w:r>
      <w:r w:rsidRPr="004B58D3">
        <w:rPr>
          <w:sz w:val="22"/>
          <w:szCs w:val="22"/>
          <w:lang w:val="en-GB"/>
        </w:rPr>
        <w:t xml:space="preserve"> except notably Greece</w:t>
      </w:r>
      <w:r>
        <w:rPr>
          <w:sz w:val="22"/>
          <w:szCs w:val="22"/>
          <w:lang w:val="en-GB"/>
        </w:rPr>
        <w:t>,</w:t>
      </w:r>
      <w:r w:rsidRPr="004B58D3">
        <w:rPr>
          <w:sz w:val="22"/>
          <w:szCs w:val="22"/>
          <w:lang w:val="en-GB"/>
        </w:rPr>
        <w:t xml:space="preserve"> see</w:t>
      </w:r>
      <w:r w:rsidR="002E4277">
        <w:rPr>
          <w:sz w:val="22"/>
          <w:szCs w:val="22"/>
          <w:lang w:val="en-GB"/>
        </w:rPr>
        <w:t>m to be recovering (see figure 4</w:t>
      </w:r>
      <w:r w:rsidRPr="004B58D3">
        <w:rPr>
          <w:sz w:val="22"/>
          <w:szCs w:val="22"/>
          <w:lang w:val="en-GB"/>
        </w:rPr>
        <w:t xml:space="preserve"> below). </w:t>
      </w:r>
    </w:p>
    <w:p w14:paraId="4794151E" w14:textId="77777777" w:rsidR="005072B1" w:rsidRDefault="005072B1" w:rsidP="005072B1">
      <w:pPr>
        <w:keepNext/>
        <w:widowControl w:val="0"/>
        <w:autoSpaceDE w:val="0"/>
        <w:autoSpaceDN w:val="0"/>
        <w:adjustRightInd w:val="0"/>
        <w:spacing w:before="120" w:after="0" w:line="252" w:lineRule="auto"/>
      </w:pPr>
      <w:r>
        <w:rPr>
          <w:noProof/>
          <w:lang w:val="en-GB" w:eastAsia="en-GB"/>
        </w:rPr>
        <w:lastRenderedPageBreak/>
        <w:drawing>
          <wp:inline distT="0" distB="0" distL="0" distR="0" wp14:anchorId="592E0889" wp14:editId="560A664E">
            <wp:extent cx="6697345" cy="2271223"/>
            <wp:effectExtent l="0" t="0" r="8255" b="0"/>
            <wp:docPr id="9"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97345" cy="2271223"/>
                    </a:xfrm>
                    <a:prstGeom prst="rect">
                      <a:avLst/>
                    </a:prstGeom>
                    <a:noFill/>
                    <a:ln>
                      <a:noFill/>
                    </a:ln>
                  </pic:spPr>
                </pic:pic>
              </a:graphicData>
            </a:graphic>
          </wp:inline>
        </w:drawing>
      </w:r>
    </w:p>
    <w:p w14:paraId="16FB07C0" w14:textId="77777777" w:rsidR="005072B1" w:rsidRPr="00682784" w:rsidRDefault="005072B1" w:rsidP="006C45B4">
      <w:pPr>
        <w:pStyle w:val="Caption"/>
        <w:spacing w:after="0" w:line="252" w:lineRule="auto"/>
        <w:jc w:val="left"/>
        <w:rPr>
          <w:sz w:val="22"/>
          <w:szCs w:val="22"/>
          <w:lang w:val="en-GB"/>
        </w:rPr>
      </w:pPr>
      <w:proofErr w:type="gramStart"/>
      <w:r w:rsidRPr="000D3441">
        <w:rPr>
          <w:sz w:val="22"/>
          <w:szCs w:val="22"/>
          <w:lang w:val="en-GB"/>
        </w:rPr>
        <w:t xml:space="preserve">Figure </w:t>
      </w:r>
      <w:r w:rsidRPr="00682784">
        <w:rPr>
          <w:sz w:val="22"/>
          <w:szCs w:val="22"/>
          <w:lang w:val="en-GB"/>
        </w:rPr>
        <w:t>4</w:t>
      </w:r>
      <w:r w:rsidRPr="000D3441">
        <w:rPr>
          <w:sz w:val="22"/>
          <w:szCs w:val="22"/>
          <w:lang w:val="en-GB"/>
        </w:rPr>
        <w:t>.</w:t>
      </w:r>
      <w:proofErr w:type="gramEnd"/>
      <w:r w:rsidRPr="000D3441">
        <w:rPr>
          <w:sz w:val="22"/>
          <w:szCs w:val="22"/>
          <w:lang w:val="en-GB"/>
        </w:rPr>
        <w:t xml:space="preserve"> Overview of GDP growth trends per year over the period 2006-2012 (annual %)</w:t>
      </w:r>
      <w:r w:rsidRPr="000D3441">
        <w:rPr>
          <w:rStyle w:val="EndnoteReference"/>
          <w:sz w:val="22"/>
          <w:szCs w:val="22"/>
        </w:rPr>
        <w:endnoteReference w:id="26"/>
      </w:r>
      <w:r w:rsidRPr="000D3441">
        <w:rPr>
          <w:sz w:val="22"/>
          <w:szCs w:val="22"/>
          <w:lang w:val="en-GB"/>
        </w:rPr>
        <w:t xml:space="preserve"> and impact of the 2008 crisis</w:t>
      </w:r>
    </w:p>
    <w:p w14:paraId="37652126" w14:textId="77777777" w:rsidR="005072B1" w:rsidRDefault="005072B1" w:rsidP="005072B1">
      <w:pPr>
        <w:spacing w:before="120" w:after="0" w:line="252" w:lineRule="auto"/>
        <w:jc w:val="both"/>
        <w:rPr>
          <w:sz w:val="22"/>
          <w:szCs w:val="22"/>
          <w:lang w:val="en-GB"/>
        </w:rPr>
      </w:pPr>
      <w:r w:rsidRPr="000D3441">
        <w:rPr>
          <w:sz w:val="22"/>
          <w:szCs w:val="22"/>
          <w:lang w:val="en-GB"/>
        </w:rPr>
        <w:t>Most Black Sea countries economic performance by far exceeded the EU’s average over th</w:t>
      </w:r>
      <w:r w:rsidR="002E4277">
        <w:rPr>
          <w:sz w:val="22"/>
          <w:szCs w:val="22"/>
          <w:lang w:val="en-GB"/>
        </w:rPr>
        <w:t xml:space="preserve">e 2006-2012 </w:t>
      </w:r>
      <w:proofErr w:type="gramStart"/>
      <w:r w:rsidR="002E4277">
        <w:rPr>
          <w:sz w:val="22"/>
          <w:szCs w:val="22"/>
          <w:lang w:val="en-GB"/>
        </w:rPr>
        <w:t>period</w:t>
      </w:r>
      <w:proofErr w:type="gramEnd"/>
      <w:r w:rsidR="002E4277">
        <w:rPr>
          <w:sz w:val="22"/>
          <w:szCs w:val="22"/>
          <w:lang w:val="en-GB"/>
        </w:rPr>
        <w:t xml:space="preserve"> (see figure 5</w:t>
      </w:r>
      <w:r w:rsidRPr="000D3441">
        <w:rPr>
          <w:sz w:val="22"/>
          <w:szCs w:val="22"/>
          <w:lang w:val="en-GB"/>
        </w:rPr>
        <w:t xml:space="preserve"> below). Azerbaijan, Moldova, Georgia and Armenia registered particularly strong growth while on the other hand Greece’s economy contracted over the period.</w:t>
      </w:r>
      <w:r>
        <w:rPr>
          <w:sz w:val="22"/>
          <w:szCs w:val="22"/>
          <w:lang w:val="en-GB"/>
        </w:rPr>
        <w:t xml:space="preserve"> </w:t>
      </w:r>
    </w:p>
    <w:p w14:paraId="3DB584D3" w14:textId="77777777" w:rsidR="005072B1" w:rsidRDefault="005072B1" w:rsidP="005072B1">
      <w:pPr>
        <w:pStyle w:val="Caption"/>
        <w:spacing w:before="120" w:after="0" w:line="252" w:lineRule="auto"/>
        <w:jc w:val="left"/>
        <w:rPr>
          <w:sz w:val="22"/>
          <w:szCs w:val="22"/>
          <w:lang w:val="en-GB"/>
        </w:rPr>
      </w:pPr>
      <w:r>
        <w:rPr>
          <w:noProof/>
          <w:sz w:val="22"/>
          <w:szCs w:val="22"/>
          <w:lang w:val="en-GB" w:eastAsia="en-GB"/>
        </w:rPr>
        <w:drawing>
          <wp:inline distT="0" distB="0" distL="0" distR="0" wp14:anchorId="6803A5CF" wp14:editId="6EFCF07B">
            <wp:extent cx="6908165" cy="2443763"/>
            <wp:effectExtent l="0" t="0" r="63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08165" cy="2443763"/>
                    </a:xfrm>
                    <a:prstGeom prst="rect">
                      <a:avLst/>
                    </a:prstGeom>
                    <a:noFill/>
                    <a:ln>
                      <a:noFill/>
                    </a:ln>
                  </pic:spPr>
                </pic:pic>
              </a:graphicData>
            </a:graphic>
          </wp:inline>
        </w:drawing>
      </w:r>
    </w:p>
    <w:p w14:paraId="77B55A35" w14:textId="77777777" w:rsidR="005072B1" w:rsidRDefault="005072B1" w:rsidP="006C45B4">
      <w:pPr>
        <w:pStyle w:val="Caption"/>
        <w:spacing w:after="0" w:line="252" w:lineRule="auto"/>
        <w:jc w:val="left"/>
        <w:rPr>
          <w:sz w:val="22"/>
          <w:szCs w:val="22"/>
          <w:lang w:val="en-GB"/>
        </w:rPr>
      </w:pPr>
      <w:proofErr w:type="gramStart"/>
      <w:r w:rsidRPr="000D3441">
        <w:rPr>
          <w:sz w:val="22"/>
          <w:szCs w:val="22"/>
          <w:lang w:val="en-GB"/>
        </w:rPr>
        <w:t xml:space="preserve">Figure </w:t>
      </w:r>
      <w:r w:rsidR="00957F9B" w:rsidRPr="00682784">
        <w:rPr>
          <w:sz w:val="22"/>
          <w:szCs w:val="22"/>
          <w:lang w:val="en-GB"/>
        </w:rPr>
        <w:t>5</w:t>
      </w:r>
      <w:r w:rsidRPr="000D3441">
        <w:rPr>
          <w:sz w:val="22"/>
          <w:szCs w:val="22"/>
          <w:lang w:val="en-GB"/>
        </w:rPr>
        <w:t>.</w:t>
      </w:r>
      <w:proofErr w:type="gramEnd"/>
      <w:r w:rsidRPr="000D3441">
        <w:rPr>
          <w:sz w:val="22"/>
          <w:szCs w:val="22"/>
          <w:lang w:val="en-GB"/>
        </w:rPr>
        <w:t xml:space="preserve"> Stacked</w:t>
      </w:r>
      <w:r w:rsidRPr="000D3441">
        <w:rPr>
          <w:rStyle w:val="FootnoteReference"/>
          <w:sz w:val="22"/>
          <w:szCs w:val="22"/>
          <w:lang w:val="en-GB"/>
        </w:rPr>
        <w:footnoteReference w:id="25"/>
      </w:r>
      <w:r w:rsidRPr="000D3441">
        <w:rPr>
          <w:sz w:val="22"/>
          <w:szCs w:val="22"/>
          <w:lang w:val="en-GB"/>
        </w:rPr>
        <w:t xml:space="preserve"> GDP growth per country over the period 2006-2012 (annual %)</w:t>
      </w:r>
      <w:r w:rsidRPr="000D3441">
        <w:rPr>
          <w:rStyle w:val="EndnoteReference"/>
          <w:sz w:val="22"/>
          <w:szCs w:val="22"/>
        </w:rPr>
        <w:endnoteReference w:id="27"/>
      </w:r>
    </w:p>
    <w:p w14:paraId="03528F01" w14:textId="77777777" w:rsidR="005072B1" w:rsidRPr="0077602E" w:rsidRDefault="005072B1" w:rsidP="005072B1">
      <w:pPr>
        <w:widowControl w:val="0"/>
        <w:autoSpaceDE w:val="0"/>
        <w:autoSpaceDN w:val="0"/>
        <w:adjustRightInd w:val="0"/>
        <w:spacing w:after="0" w:line="240" w:lineRule="auto"/>
        <w:rPr>
          <w:rFonts w:ascii="Times New Roman" w:hAnsi="Times New Roman" w:cs="Times New Roman"/>
          <w:sz w:val="20"/>
          <w:szCs w:val="20"/>
          <w:lang w:val="en-GB"/>
        </w:rPr>
      </w:pPr>
    </w:p>
    <w:p w14:paraId="1144D4A2" w14:textId="77777777" w:rsidR="005072B1" w:rsidRDefault="005072B1" w:rsidP="005072B1">
      <w:pPr>
        <w:spacing w:before="120" w:after="0" w:line="252" w:lineRule="auto"/>
        <w:jc w:val="both"/>
        <w:rPr>
          <w:sz w:val="22"/>
          <w:szCs w:val="22"/>
          <w:lang w:val="en-GB"/>
        </w:rPr>
      </w:pPr>
      <w:r w:rsidRPr="004B58D3">
        <w:rPr>
          <w:sz w:val="22"/>
          <w:szCs w:val="22"/>
          <w:lang w:val="en-GB"/>
        </w:rPr>
        <w:t xml:space="preserve">Growth rates in 2012 </w:t>
      </w:r>
      <w:r>
        <w:rPr>
          <w:sz w:val="22"/>
          <w:szCs w:val="22"/>
          <w:lang w:val="en-GB"/>
        </w:rPr>
        <w:t xml:space="preserve">still </w:t>
      </w:r>
      <w:r w:rsidRPr="004B58D3">
        <w:rPr>
          <w:sz w:val="22"/>
          <w:szCs w:val="22"/>
          <w:lang w:val="en-GB"/>
        </w:rPr>
        <w:t xml:space="preserve">showed considerable variation among countries, with both Georgia and Armenia achieving high rates of growth (above 6%), while sub-national data reflects even greater disparities and </w:t>
      </w:r>
      <w:proofErr w:type="spellStart"/>
      <w:r w:rsidRPr="004B58D3">
        <w:rPr>
          <w:sz w:val="22"/>
          <w:szCs w:val="22"/>
          <w:lang w:val="en-GB"/>
        </w:rPr>
        <w:t>persistant</w:t>
      </w:r>
      <w:proofErr w:type="spellEnd"/>
      <w:r w:rsidRPr="004B58D3">
        <w:rPr>
          <w:sz w:val="22"/>
          <w:szCs w:val="22"/>
          <w:lang w:val="en-GB"/>
        </w:rPr>
        <w:t xml:space="preserve"> difficulties, in particular in eligible regions in Ukraine</w:t>
      </w:r>
      <w:r w:rsidRPr="004D189B">
        <w:rPr>
          <w:rStyle w:val="EndnoteReference"/>
          <w:sz w:val="22"/>
          <w:szCs w:val="22"/>
        </w:rPr>
        <w:endnoteReference w:id="28"/>
      </w:r>
      <w:r w:rsidRPr="004B58D3">
        <w:rPr>
          <w:sz w:val="22"/>
          <w:szCs w:val="22"/>
          <w:lang w:val="en-GB"/>
        </w:rPr>
        <w:t xml:space="preserve">. </w:t>
      </w:r>
    </w:p>
    <w:p w14:paraId="189E1855"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 xml:space="preserve">Though economic growth for the Black Sea Basin countries on average remained limited in 2012, it </w:t>
      </w:r>
      <w:r>
        <w:rPr>
          <w:sz w:val="22"/>
          <w:szCs w:val="22"/>
          <w:lang w:val="en-GB"/>
        </w:rPr>
        <w:t xml:space="preserve">still </w:t>
      </w:r>
      <w:r w:rsidRPr="004B58D3">
        <w:rPr>
          <w:sz w:val="22"/>
          <w:szCs w:val="22"/>
          <w:lang w:val="en-GB"/>
        </w:rPr>
        <w:t>outperformed the EU, which suffered a contraction of 0.3% overall. The EU recession and continuing problems emanating from the debt crisis limit further economic recovery in the Black Sea region. The EU, and more specifically the Eurozone area, is by far the most significant economic partner of the Black Sea region countries, EU Member States are key trade partners and the principal source of financing and foreign direct investment (FDI) for most Black Sea countries</w:t>
      </w:r>
      <w:r w:rsidRPr="004D189B">
        <w:rPr>
          <w:rStyle w:val="EndnoteReference"/>
          <w:rFonts w:ascii="Arial" w:hAnsi="Arial" w:cs="Arial"/>
          <w:color w:val="313131"/>
          <w:sz w:val="22"/>
          <w:szCs w:val="22"/>
        </w:rPr>
        <w:endnoteReference w:id="29"/>
      </w:r>
      <w:r w:rsidRPr="004B58D3">
        <w:rPr>
          <w:sz w:val="22"/>
          <w:szCs w:val="22"/>
          <w:lang w:val="en-GB"/>
        </w:rPr>
        <w:t xml:space="preserve">. </w:t>
      </w:r>
    </w:p>
    <w:p w14:paraId="04183851" w14:textId="77777777" w:rsidR="005072B1" w:rsidRDefault="005072B1" w:rsidP="005072B1">
      <w:pPr>
        <w:spacing w:before="120" w:after="0" w:line="252" w:lineRule="auto"/>
        <w:jc w:val="both"/>
        <w:rPr>
          <w:sz w:val="22"/>
          <w:szCs w:val="22"/>
          <w:lang w:val="en-GB"/>
        </w:rPr>
      </w:pPr>
      <w:r w:rsidRPr="004B58D3">
        <w:rPr>
          <w:sz w:val="22"/>
          <w:szCs w:val="22"/>
          <w:lang w:val="en-GB"/>
        </w:rPr>
        <w:lastRenderedPageBreak/>
        <w:t>Other key indicators showed stable and sustainable trends in the Black Sea region, in particular the consumer price index that shows a continued trend of declining price pressures over the years. For the first time in 2012, all Black Sea region countries posted single digit rates of inflation, and inflation was below 5% in eight countries</w:t>
      </w:r>
      <w:r w:rsidRPr="004D189B">
        <w:rPr>
          <w:rStyle w:val="EndnoteReference"/>
          <w:sz w:val="22"/>
          <w:szCs w:val="22"/>
        </w:rPr>
        <w:endnoteReference w:id="30"/>
      </w:r>
      <w:r w:rsidRPr="004B58D3">
        <w:rPr>
          <w:sz w:val="22"/>
          <w:szCs w:val="22"/>
          <w:lang w:val="en-GB"/>
        </w:rPr>
        <w:t>.</w:t>
      </w:r>
    </w:p>
    <w:p w14:paraId="3035412F" w14:textId="77777777" w:rsidR="005072B1" w:rsidRPr="0002122A" w:rsidRDefault="005072B1" w:rsidP="005072B1">
      <w:pPr>
        <w:spacing w:before="120" w:after="0" w:line="252" w:lineRule="auto"/>
        <w:jc w:val="both"/>
        <w:rPr>
          <w:sz w:val="22"/>
          <w:szCs w:val="22"/>
          <w:lang w:val="en-GB"/>
        </w:rPr>
      </w:pPr>
      <w:r w:rsidRPr="000D3441">
        <w:rPr>
          <w:sz w:val="22"/>
          <w:szCs w:val="22"/>
          <w:lang w:val="en-GB"/>
        </w:rPr>
        <w:t>There has been overall a positive evolution of Black Sea Basin countries global competitiveness, as measured by the Global Competitiveness Index (CGI) of the World Economic Forum. Over the last five years, CGI scores for most countries have increased, meaning the countries improved the set of institutions, policies and factors determining the level of productivity and thus their potential for economic growth and their ability to sustain a high level of income</w:t>
      </w:r>
      <w:r w:rsidRPr="000D3441">
        <w:rPr>
          <w:rStyle w:val="EndnoteReference"/>
          <w:sz w:val="22"/>
          <w:szCs w:val="22"/>
          <w:lang w:val="en-GB"/>
        </w:rPr>
        <w:endnoteReference w:id="31"/>
      </w:r>
      <w:r w:rsidRPr="000D3441">
        <w:rPr>
          <w:sz w:val="22"/>
          <w:szCs w:val="22"/>
          <w:lang w:val="en-GB"/>
        </w:rPr>
        <w:t>. Between 2008 and 201</w:t>
      </w:r>
      <w:r w:rsidR="00EF459E">
        <w:rPr>
          <w:sz w:val="22"/>
          <w:szCs w:val="22"/>
          <w:lang w:val="en-GB"/>
        </w:rPr>
        <w:t>3</w:t>
      </w:r>
      <w:r w:rsidRPr="000D3441">
        <w:rPr>
          <w:sz w:val="22"/>
          <w:szCs w:val="22"/>
          <w:lang w:val="en-GB"/>
        </w:rPr>
        <w:t xml:space="preserve">, Azerbaijan jumped from 69 to 39 (out of 148 countries) in CGI rankings, replacing Russia (downgraded from </w:t>
      </w:r>
      <w:r w:rsidR="00EF459E">
        <w:rPr>
          <w:sz w:val="22"/>
          <w:szCs w:val="22"/>
          <w:lang w:val="en-GB"/>
        </w:rPr>
        <w:t>51</w:t>
      </w:r>
      <w:r w:rsidRPr="000D3441">
        <w:rPr>
          <w:sz w:val="22"/>
          <w:szCs w:val="22"/>
          <w:lang w:val="en-GB"/>
        </w:rPr>
        <w:t xml:space="preserve"> to </w:t>
      </w:r>
      <w:r w:rsidR="00EF459E">
        <w:rPr>
          <w:sz w:val="22"/>
          <w:szCs w:val="22"/>
          <w:lang w:val="en-GB"/>
        </w:rPr>
        <w:t>64</w:t>
      </w:r>
      <w:r w:rsidRPr="000D3441">
        <w:rPr>
          <w:sz w:val="22"/>
          <w:szCs w:val="22"/>
          <w:lang w:val="en-GB"/>
        </w:rPr>
        <w:t>) as the most competitive economy of the Black Sea Basin. Armenia, Turkey, Georgia and Bulgaria are the other countries that have most improved their ranking and scoring over the period. Put in a worldwide context, Black Sea Basin countries main competitive assets are the availability of a healthy and educated workforce and a conducive macro-economic environment (save Greece), while the innovation factor is their weakest point (see table 2 below).</w:t>
      </w:r>
      <w:r>
        <w:rPr>
          <w:sz w:val="22"/>
          <w:szCs w:val="22"/>
          <w:lang w:val="en-GB"/>
        </w:rPr>
        <w:t xml:space="preserve"> </w:t>
      </w:r>
    </w:p>
    <w:p w14:paraId="0612860A" w14:textId="77777777" w:rsidR="005072B1" w:rsidRPr="0077602E" w:rsidRDefault="005072B1" w:rsidP="005072B1">
      <w:pPr>
        <w:widowControl w:val="0"/>
        <w:autoSpaceDE w:val="0"/>
        <w:autoSpaceDN w:val="0"/>
        <w:adjustRightInd w:val="0"/>
        <w:rPr>
          <w:rFonts w:ascii="Times New Roman" w:hAnsi="Times New Roman" w:cs="Times New Roman"/>
          <w:b/>
          <w:sz w:val="18"/>
          <w:szCs w:val="18"/>
          <w:lang w:val="en-GB"/>
        </w:rPr>
      </w:pPr>
    </w:p>
    <w:tbl>
      <w:tblPr>
        <w:tblStyle w:val="LightGrid-Accent4"/>
        <w:tblpPr w:leftFromText="141" w:rightFromText="141" w:horzAnchor="page" w:tblpX="588"/>
        <w:tblW w:w="11023" w:type="dxa"/>
        <w:tblLayout w:type="fixed"/>
        <w:tblLook w:val="04A0" w:firstRow="1" w:lastRow="0" w:firstColumn="1" w:lastColumn="0" w:noHBand="0" w:noVBand="1"/>
      </w:tblPr>
      <w:tblGrid>
        <w:gridCol w:w="1013"/>
        <w:gridCol w:w="796"/>
        <w:gridCol w:w="709"/>
        <w:gridCol w:w="709"/>
        <w:gridCol w:w="709"/>
        <w:gridCol w:w="708"/>
        <w:gridCol w:w="709"/>
        <w:gridCol w:w="709"/>
        <w:gridCol w:w="709"/>
        <w:gridCol w:w="708"/>
        <w:gridCol w:w="709"/>
        <w:gridCol w:w="709"/>
        <w:gridCol w:w="709"/>
        <w:gridCol w:w="708"/>
        <w:gridCol w:w="709"/>
      </w:tblGrid>
      <w:tr w:rsidR="005072B1" w:rsidRPr="00E53AA0" w14:paraId="76CD4CB6" w14:textId="77777777" w:rsidTr="005072B1">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13" w:type="dxa"/>
            <w:hideMark/>
          </w:tcPr>
          <w:p w14:paraId="0FACD892" w14:textId="77777777" w:rsidR="005072B1" w:rsidRPr="00E53AA0" w:rsidRDefault="005072B1" w:rsidP="005072B1">
            <w:pPr>
              <w:jc w:val="cente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Country</w:t>
            </w:r>
          </w:p>
        </w:tc>
        <w:tc>
          <w:tcPr>
            <w:tcW w:w="796" w:type="dxa"/>
            <w:hideMark/>
          </w:tcPr>
          <w:p w14:paraId="74FD0F95"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rPr>
            </w:pPr>
            <w:r w:rsidRPr="00E53AA0">
              <w:rPr>
                <w:rFonts w:ascii="Calibri" w:eastAsia="Times New Roman" w:hAnsi="Calibri" w:cs="Times New Roman"/>
                <w:bCs w:val="0"/>
                <w:color w:val="000000"/>
                <w:sz w:val="18"/>
                <w:szCs w:val="18"/>
              </w:rPr>
              <w:t xml:space="preserve">GCI </w:t>
            </w:r>
            <w:proofErr w:type="spellStart"/>
            <w:r w:rsidRPr="00E53AA0">
              <w:rPr>
                <w:rFonts w:ascii="Calibri" w:eastAsia="Times New Roman" w:hAnsi="Calibri" w:cs="Times New Roman"/>
                <w:bCs w:val="0"/>
                <w:color w:val="000000"/>
                <w:sz w:val="18"/>
                <w:szCs w:val="18"/>
              </w:rPr>
              <w:t>rank</w:t>
            </w:r>
            <w:proofErr w:type="spellEnd"/>
            <w:r w:rsidRPr="00E53AA0">
              <w:rPr>
                <w:rFonts w:ascii="Calibri" w:eastAsia="Times New Roman" w:hAnsi="Calibri" w:cs="Times New Roman"/>
                <w:bCs w:val="0"/>
                <w:color w:val="000000"/>
                <w:sz w:val="18"/>
                <w:szCs w:val="18"/>
              </w:rPr>
              <w:t xml:space="preserve"> (out of 148)</w:t>
            </w:r>
          </w:p>
        </w:tc>
        <w:tc>
          <w:tcPr>
            <w:tcW w:w="709" w:type="dxa"/>
            <w:hideMark/>
          </w:tcPr>
          <w:p w14:paraId="2B4BD053"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rPr>
            </w:pPr>
            <w:r w:rsidRPr="00E53AA0">
              <w:rPr>
                <w:rFonts w:ascii="Calibri" w:eastAsia="Times New Roman" w:hAnsi="Calibri" w:cs="Times New Roman"/>
                <w:bCs w:val="0"/>
                <w:color w:val="000000"/>
                <w:sz w:val="18"/>
                <w:szCs w:val="18"/>
              </w:rPr>
              <w:t>CGI score (1-7)</w:t>
            </w:r>
          </w:p>
        </w:tc>
        <w:tc>
          <w:tcPr>
            <w:tcW w:w="709" w:type="dxa"/>
            <w:hideMark/>
          </w:tcPr>
          <w:p w14:paraId="1683CA1C"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1</w:t>
            </w:r>
            <w:r w:rsidRPr="00E53AA0">
              <w:rPr>
                <w:rFonts w:ascii="Calibri" w:eastAsia="Times New Roman" w:hAnsi="Calibri" w:cs="Times New Roman"/>
                <w:bCs w:val="0"/>
                <w:color w:val="000000"/>
                <w:sz w:val="18"/>
                <w:szCs w:val="18"/>
              </w:rPr>
              <w:t xml:space="preserve"> score (1-7)</w:t>
            </w:r>
          </w:p>
        </w:tc>
        <w:tc>
          <w:tcPr>
            <w:tcW w:w="709" w:type="dxa"/>
            <w:hideMark/>
          </w:tcPr>
          <w:p w14:paraId="58ED525C"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2</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8" w:type="dxa"/>
            <w:hideMark/>
          </w:tcPr>
          <w:p w14:paraId="237D8A7C"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3</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22368294"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4</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203C1ED7"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5</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3D77E4FD"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6</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8" w:type="dxa"/>
            <w:hideMark/>
          </w:tcPr>
          <w:p w14:paraId="3B98914E"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7</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670B3D8B"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8</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3544E007"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9</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tcPr>
          <w:p w14:paraId="2E5340EA"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10</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8" w:type="dxa"/>
          </w:tcPr>
          <w:p w14:paraId="4AEE18B7"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11</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c>
          <w:tcPr>
            <w:tcW w:w="709" w:type="dxa"/>
            <w:hideMark/>
          </w:tcPr>
          <w:p w14:paraId="2B36F7CD" w14:textId="77777777" w:rsidR="005072B1" w:rsidRPr="00E53AA0" w:rsidRDefault="005072B1"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12</w:t>
            </w:r>
            <w:r w:rsidRPr="00E53AA0">
              <w:rPr>
                <w:rFonts w:ascii="Calibri" w:eastAsia="Times New Roman" w:hAnsi="Calibri" w:cs="Times New Roman"/>
                <w:bCs w:val="0"/>
                <w:color w:val="000000"/>
                <w:sz w:val="18"/>
                <w:szCs w:val="18"/>
              </w:rPr>
              <w:t xml:space="preserve"> </w:t>
            </w:r>
            <w:proofErr w:type="gramStart"/>
            <w:r w:rsidRPr="00E53AA0">
              <w:rPr>
                <w:rFonts w:ascii="Calibri" w:eastAsia="Times New Roman" w:hAnsi="Calibri" w:cs="Times New Roman"/>
                <w:bCs w:val="0"/>
                <w:color w:val="000000"/>
                <w:sz w:val="18"/>
                <w:szCs w:val="18"/>
              </w:rPr>
              <w:t>score</w:t>
            </w:r>
            <w:proofErr w:type="gramEnd"/>
            <w:r w:rsidRPr="00E53AA0">
              <w:rPr>
                <w:rFonts w:ascii="Calibri" w:eastAsia="Times New Roman" w:hAnsi="Calibri" w:cs="Times New Roman"/>
                <w:bCs w:val="0"/>
                <w:color w:val="000000"/>
                <w:sz w:val="18"/>
                <w:szCs w:val="18"/>
              </w:rPr>
              <w:t xml:space="preserve"> (1-7)</w:t>
            </w:r>
          </w:p>
        </w:tc>
      </w:tr>
      <w:tr w:rsidR="005072B1" w:rsidRPr="00E53AA0" w14:paraId="2DAEC506" w14:textId="77777777" w:rsidTr="00507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3D04C8C5" w14:textId="77777777" w:rsidR="005072B1" w:rsidRPr="00E53AA0" w:rsidRDefault="005072B1" w:rsidP="005072B1">
            <w:pPr>
              <w:rPr>
                <w:rFonts w:ascii="Calibri" w:eastAsia="Times New Roman" w:hAnsi="Calibri" w:cs="Times New Roman"/>
                <w:b w:val="0"/>
                <w:bCs w:val="0"/>
                <w:color w:val="000000"/>
                <w:sz w:val="18"/>
                <w:szCs w:val="18"/>
              </w:rPr>
            </w:pPr>
            <w:proofErr w:type="spellStart"/>
            <w:r w:rsidRPr="00E53AA0">
              <w:rPr>
                <w:rFonts w:ascii="Calibri" w:eastAsia="Times New Roman" w:hAnsi="Calibri" w:cs="Times New Roman"/>
                <w:b w:val="0"/>
                <w:bCs w:val="0"/>
                <w:color w:val="000000"/>
                <w:sz w:val="18"/>
                <w:szCs w:val="18"/>
              </w:rPr>
              <w:t>Azerbaijan</w:t>
            </w:r>
            <w:proofErr w:type="spellEnd"/>
          </w:p>
        </w:tc>
        <w:tc>
          <w:tcPr>
            <w:tcW w:w="796" w:type="dxa"/>
            <w:hideMark/>
          </w:tcPr>
          <w:p w14:paraId="7B9701B5"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39</w:t>
            </w:r>
          </w:p>
        </w:tc>
        <w:tc>
          <w:tcPr>
            <w:tcW w:w="709" w:type="dxa"/>
            <w:hideMark/>
          </w:tcPr>
          <w:p w14:paraId="6B297C48"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4.51</w:t>
            </w:r>
          </w:p>
        </w:tc>
        <w:tc>
          <w:tcPr>
            <w:tcW w:w="709" w:type="dxa"/>
            <w:hideMark/>
          </w:tcPr>
          <w:p w14:paraId="3191B5FE"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4.06</w:t>
            </w:r>
          </w:p>
        </w:tc>
        <w:tc>
          <w:tcPr>
            <w:tcW w:w="709" w:type="dxa"/>
            <w:hideMark/>
          </w:tcPr>
          <w:p w14:paraId="3DFF910A"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4.06</w:t>
            </w:r>
          </w:p>
        </w:tc>
        <w:tc>
          <w:tcPr>
            <w:tcW w:w="708" w:type="dxa"/>
            <w:hideMark/>
          </w:tcPr>
          <w:p w14:paraId="106BF637"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6.42</w:t>
            </w:r>
          </w:p>
        </w:tc>
        <w:tc>
          <w:tcPr>
            <w:tcW w:w="709" w:type="dxa"/>
            <w:hideMark/>
          </w:tcPr>
          <w:p w14:paraId="18D15DB2"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5.07</w:t>
            </w:r>
          </w:p>
        </w:tc>
        <w:tc>
          <w:tcPr>
            <w:tcW w:w="709" w:type="dxa"/>
            <w:hideMark/>
          </w:tcPr>
          <w:p w14:paraId="3304349B"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4.00</w:t>
            </w:r>
          </w:p>
        </w:tc>
        <w:tc>
          <w:tcPr>
            <w:tcW w:w="709" w:type="dxa"/>
            <w:hideMark/>
          </w:tcPr>
          <w:p w14:paraId="4362E7F7"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4.27</w:t>
            </w:r>
          </w:p>
        </w:tc>
        <w:tc>
          <w:tcPr>
            <w:tcW w:w="708" w:type="dxa"/>
            <w:hideMark/>
          </w:tcPr>
          <w:p w14:paraId="4469B769"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4.72</w:t>
            </w:r>
          </w:p>
        </w:tc>
        <w:tc>
          <w:tcPr>
            <w:tcW w:w="709" w:type="dxa"/>
            <w:hideMark/>
          </w:tcPr>
          <w:p w14:paraId="26AE1854"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3.80</w:t>
            </w:r>
          </w:p>
        </w:tc>
        <w:tc>
          <w:tcPr>
            <w:tcW w:w="709" w:type="dxa"/>
            <w:hideMark/>
          </w:tcPr>
          <w:p w14:paraId="7FE8188B"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4.17</w:t>
            </w:r>
          </w:p>
        </w:tc>
        <w:tc>
          <w:tcPr>
            <w:tcW w:w="709" w:type="dxa"/>
          </w:tcPr>
          <w:p w14:paraId="06027806"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3.60</w:t>
            </w:r>
          </w:p>
        </w:tc>
        <w:tc>
          <w:tcPr>
            <w:tcW w:w="708" w:type="dxa"/>
          </w:tcPr>
          <w:p w14:paraId="27C32478"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3.97</w:t>
            </w:r>
          </w:p>
        </w:tc>
        <w:tc>
          <w:tcPr>
            <w:tcW w:w="709" w:type="dxa"/>
            <w:hideMark/>
          </w:tcPr>
          <w:p w14:paraId="045AE278"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3.45</w:t>
            </w:r>
          </w:p>
        </w:tc>
      </w:tr>
      <w:tr w:rsidR="005072B1" w:rsidRPr="00E53AA0" w14:paraId="28ADB09C" w14:textId="77777777" w:rsidTr="005072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24C95032" w14:textId="77777777" w:rsidR="005072B1" w:rsidRPr="00E53AA0" w:rsidRDefault="005072B1" w:rsidP="005072B1">
            <w:pPr>
              <w:rPr>
                <w:rFonts w:ascii="Calibri" w:eastAsia="Times New Roman" w:hAnsi="Calibri" w:cs="Times New Roman"/>
                <w:b w:val="0"/>
                <w:bCs w:val="0"/>
                <w:color w:val="000000"/>
                <w:sz w:val="18"/>
                <w:szCs w:val="18"/>
              </w:rPr>
            </w:pPr>
            <w:proofErr w:type="spellStart"/>
            <w:r w:rsidRPr="00E53AA0">
              <w:rPr>
                <w:rFonts w:ascii="Calibri" w:eastAsia="Times New Roman" w:hAnsi="Calibri" w:cs="Times New Roman"/>
                <w:b w:val="0"/>
                <w:bCs w:val="0"/>
                <w:color w:val="000000"/>
                <w:sz w:val="18"/>
                <w:szCs w:val="18"/>
              </w:rPr>
              <w:t>Turkey</w:t>
            </w:r>
            <w:proofErr w:type="spellEnd"/>
          </w:p>
        </w:tc>
        <w:tc>
          <w:tcPr>
            <w:tcW w:w="796" w:type="dxa"/>
            <w:hideMark/>
          </w:tcPr>
          <w:p w14:paraId="5A165FE9"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44</w:t>
            </w:r>
          </w:p>
        </w:tc>
        <w:tc>
          <w:tcPr>
            <w:tcW w:w="709" w:type="dxa"/>
            <w:hideMark/>
          </w:tcPr>
          <w:p w14:paraId="276A4E01"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4.45</w:t>
            </w:r>
          </w:p>
        </w:tc>
        <w:tc>
          <w:tcPr>
            <w:tcW w:w="709" w:type="dxa"/>
            <w:hideMark/>
          </w:tcPr>
          <w:p w14:paraId="343F4678"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4.08</w:t>
            </w:r>
          </w:p>
        </w:tc>
        <w:tc>
          <w:tcPr>
            <w:tcW w:w="709" w:type="dxa"/>
            <w:hideMark/>
          </w:tcPr>
          <w:p w14:paraId="7A7F35B8"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4.45</w:t>
            </w:r>
          </w:p>
        </w:tc>
        <w:tc>
          <w:tcPr>
            <w:tcW w:w="708" w:type="dxa"/>
            <w:hideMark/>
          </w:tcPr>
          <w:p w14:paraId="7D3CC2A9"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4.62</w:t>
            </w:r>
          </w:p>
        </w:tc>
        <w:tc>
          <w:tcPr>
            <w:tcW w:w="709" w:type="dxa"/>
            <w:hideMark/>
          </w:tcPr>
          <w:p w14:paraId="1F04C01D"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5.86</w:t>
            </w:r>
          </w:p>
        </w:tc>
        <w:tc>
          <w:tcPr>
            <w:tcW w:w="709" w:type="dxa"/>
            <w:hideMark/>
          </w:tcPr>
          <w:p w14:paraId="144ACF9C"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4.29</w:t>
            </w:r>
          </w:p>
        </w:tc>
        <w:tc>
          <w:tcPr>
            <w:tcW w:w="709" w:type="dxa"/>
            <w:hideMark/>
          </w:tcPr>
          <w:p w14:paraId="150B5A8F"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4.52</w:t>
            </w:r>
          </w:p>
        </w:tc>
        <w:tc>
          <w:tcPr>
            <w:tcW w:w="708" w:type="dxa"/>
            <w:hideMark/>
          </w:tcPr>
          <w:p w14:paraId="6F9DCCFB"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3.74</w:t>
            </w:r>
          </w:p>
        </w:tc>
        <w:tc>
          <w:tcPr>
            <w:tcW w:w="709" w:type="dxa"/>
            <w:hideMark/>
          </w:tcPr>
          <w:p w14:paraId="13CD9965"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4.40</w:t>
            </w:r>
          </w:p>
        </w:tc>
        <w:tc>
          <w:tcPr>
            <w:tcW w:w="709" w:type="dxa"/>
            <w:hideMark/>
          </w:tcPr>
          <w:p w14:paraId="518273DC"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4.05</w:t>
            </w:r>
          </w:p>
        </w:tc>
        <w:tc>
          <w:tcPr>
            <w:tcW w:w="709" w:type="dxa"/>
          </w:tcPr>
          <w:p w14:paraId="14A3934B"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5.30</w:t>
            </w:r>
          </w:p>
        </w:tc>
        <w:tc>
          <w:tcPr>
            <w:tcW w:w="708" w:type="dxa"/>
          </w:tcPr>
          <w:p w14:paraId="62566BF3"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4.36</w:t>
            </w:r>
          </w:p>
        </w:tc>
        <w:tc>
          <w:tcPr>
            <w:tcW w:w="709" w:type="dxa"/>
            <w:hideMark/>
          </w:tcPr>
          <w:p w14:paraId="287842F6"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3.47</w:t>
            </w:r>
          </w:p>
        </w:tc>
      </w:tr>
      <w:tr w:rsidR="005072B1" w:rsidRPr="00E53AA0" w14:paraId="2D3D6598" w14:textId="77777777" w:rsidTr="00507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2A5D10F6" w14:textId="77777777" w:rsidR="005072B1" w:rsidRPr="00E53AA0" w:rsidRDefault="005072B1" w:rsidP="005072B1">
            <w:pPr>
              <w:rPr>
                <w:rFonts w:ascii="Calibri" w:eastAsia="Times New Roman" w:hAnsi="Calibri" w:cs="Times New Roman"/>
                <w:b w:val="0"/>
                <w:bCs w:val="0"/>
                <w:color w:val="000000"/>
                <w:sz w:val="18"/>
                <w:szCs w:val="18"/>
              </w:rPr>
            </w:pPr>
            <w:proofErr w:type="spellStart"/>
            <w:r w:rsidRPr="00E53AA0">
              <w:rPr>
                <w:rFonts w:ascii="Calibri" w:eastAsia="Times New Roman" w:hAnsi="Calibri" w:cs="Times New Roman"/>
                <w:b w:val="0"/>
                <w:bCs w:val="0"/>
                <w:color w:val="000000"/>
                <w:sz w:val="18"/>
                <w:szCs w:val="18"/>
              </w:rPr>
              <w:t>Bulgaria</w:t>
            </w:r>
            <w:proofErr w:type="spellEnd"/>
          </w:p>
        </w:tc>
        <w:tc>
          <w:tcPr>
            <w:tcW w:w="796" w:type="dxa"/>
            <w:hideMark/>
          </w:tcPr>
          <w:p w14:paraId="4F60815C" w14:textId="11AB12AE" w:rsidR="005072B1" w:rsidRPr="00110AEC"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lang w:val="bg-BG"/>
              </w:rPr>
            </w:pPr>
            <w:r w:rsidRPr="00E53AA0">
              <w:rPr>
                <w:rFonts w:ascii="Calibri" w:eastAsia="Times New Roman" w:hAnsi="Calibri" w:cs="Times New Roman"/>
                <w:b/>
                <w:color w:val="000000"/>
                <w:sz w:val="18"/>
                <w:szCs w:val="18"/>
              </w:rPr>
              <w:t>57</w:t>
            </w:r>
          </w:p>
        </w:tc>
        <w:tc>
          <w:tcPr>
            <w:tcW w:w="709" w:type="dxa"/>
            <w:hideMark/>
          </w:tcPr>
          <w:p w14:paraId="444F9803" w14:textId="6AF8491E" w:rsidR="005072B1" w:rsidRPr="00110AEC"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lang w:val="bg-BG"/>
              </w:rPr>
            </w:pPr>
            <w:r w:rsidRPr="00E53AA0">
              <w:rPr>
                <w:rFonts w:ascii="Calibri" w:eastAsia="Times New Roman" w:hAnsi="Calibri" w:cs="Times New Roman"/>
                <w:b/>
                <w:bCs/>
                <w:color w:val="000000"/>
                <w:sz w:val="18"/>
                <w:szCs w:val="18"/>
              </w:rPr>
              <w:t>4.31</w:t>
            </w:r>
          </w:p>
        </w:tc>
        <w:tc>
          <w:tcPr>
            <w:tcW w:w="709" w:type="dxa"/>
            <w:hideMark/>
          </w:tcPr>
          <w:p w14:paraId="3C879304"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3.38</w:t>
            </w:r>
          </w:p>
        </w:tc>
        <w:tc>
          <w:tcPr>
            <w:tcW w:w="709" w:type="dxa"/>
            <w:hideMark/>
          </w:tcPr>
          <w:p w14:paraId="381FD7D2"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3.93</w:t>
            </w:r>
          </w:p>
        </w:tc>
        <w:tc>
          <w:tcPr>
            <w:tcW w:w="708" w:type="dxa"/>
            <w:hideMark/>
          </w:tcPr>
          <w:p w14:paraId="38A7653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5.61</w:t>
            </w:r>
          </w:p>
        </w:tc>
        <w:tc>
          <w:tcPr>
            <w:tcW w:w="709" w:type="dxa"/>
            <w:hideMark/>
          </w:tcPr>
          <w:p w14:paraId="08E1AA5F"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6.00</w:t>
            </w:r>
          </w:p>
        </w:tc>
        <w:tc>
          <w:tcPr>
            <w:tcW w:w="709" w:type="dxa"/>
            <w:hideMark/>
          </w:tcPr>
          <w:p w14:paraId="5451C05F" w14:textId="5219EEAC" w:rsidR="005072B1" w:rsidRPr="00DA607C" w:rsidRDefault="005072B1" w:rsidP="004A63B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lang w:val="bg-BG"/>
              </w:rPr>
            </w:pPr>
            <w:r w:rsidRPr="00DA607C">
              <w:rPr>
                <w:rFonts w:ascii="Calibri" w:eastAsia="Times New Roman" w:hAnsi="Calibri" w:cs="Times New Roman"/>
                <w:color w:val="000000"/>
                <w:sz w:val="18"/>
                <w:szCs w:val="18"/>
              </w:rPr>
              <w:t>4.25</w:t>
            </w:r>
          </w:p>
        </w:tc>
        <w:tc>
          <w:tcPr>
            <w:tcW w:w="709" w:type="dxa"/>
            <w:hideMark/>
          </w:tcPr>
          <w:p w14:paraId="5F4DEFC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4.19</w:t>
            </w:r>
          </w:p>
        </w:tc>
        <w:tc>
          <w:tcPr>
            <w:tcW w:w="708" w:type="dxa"/>
            <w:hideMark/>
          </w:tcPr>
          <w:p w14:paraId="4BF38086"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4.36</w:t>
            </w:r>
          </w:p>
        </w:tc>
        <w:tc>
          <w:tcPr>
            <w:tcW w:w="709" w:type="dxa"/>
            <w:hideMark/>
          </w:tcPr>
          <w:p w14:paraId="57968479"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3.95</w:t>
            </w:r>
          </w:p>
        </w:tc>
        <w:tc>
          <w:tcPr>
            <w:tcW w:w="709" w:type="dxa"/>
            <w:hideMark/>
          </w:tcPr>
          <w:p w14:paraId="4464F019"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4.45</w:t>
            </w:r>
          </w:p>
        </w:tc>
        <w:tc>
          <w:tcPr>
            <w:tcW w:w="709" w:type="dxa"/>
          </w:tcPr>
          <w:p w14:paraId="6F5BB643"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3.87</w:t>
            </w:r>
          </w:p>
        </w:tc>
        <w:tc>
          <w:tcPr>
            <w:tcW w:w="708" w:type="dxa"/>
          </w:tcPr>
          <w:p w14:paraId="2C6C179C" w14:textId="47E6102E" w:rsidR="005072B1" w:rsidRPr="00110AEC" w:rsidRDefault="005072B1" w:rsidP="00B3297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3.59</w:t>
            </w:r>
          </w:p>
        </w:tc>
        <w:tc>
          <w:tcPr>
            <w:tcW w:w="709" w:type="dxa"/>
            <w:hideMark/>
          </w:tcPr>
          <w:p w14:paraId="49D28B78"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2.97</w:t>
            </w:r>
          </w:p>
        </w:tc>
      </w:tr>
      <w:tr w:rsidR="005072B1" w:rsidRPr="00E53AA0" w14:paraId="72449881" w14:textId="77777777" w:rsidTr="005072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276F3A62" w14:textId="77777777" w:rsidR="005072B1" w:rsidRPr="00E53AA0" w:rsidRDefault="005072B1" w:rsidP="005072B1">
            <w:pPr>
              <w:rPr>
                <w:rFonts w:ascii="Calibri" w:eastAsia="Times New Roman" w:hAnsi="Calibri" w:cs="Times New Roman"/>
                <w:b w:val="0"/>
                <w:bCs w:val="0"/>
                <w:color w:val="000000"/>
                <w:sz w:val="18"/>
                <w:szCs w:val="18"/>
              </w:rPr>
            </w:pPr>
            <w:proofErr w:type="spellStart"/>
            <w:r w:rsidRPr="00E53AA0">
              <w:rPr>
                <w:rFonts w:ascii="Calibri" w:eastAsia="Times New Roman" w:hAnsi="Calibri" w:cs="Times New Roman"/>
                <w:b w:val="0"/>
                <w:bCs w:val="0"/>
                <w:color w:val="000000"/>
                <w:sz w:val="18"/>
                <w:szCs w:val="18"/>
              </w:rPr>
              <w:t>Russian</w:t>
            </w:r>
            <w:proofErr w:type="spellEnd"/>
            <w:r w:rsidRPr="00E53AA0">
              <w:rPr>
                <w:rFonts w:ascii="Calibri" w:eastAsia="Times New Roman" w:hAnsi="Calibri" w:cs="Times New Roman"/>
                <w:b w:val="0"/>
                <w:bCs w:val="0"/>
                <w:color w:val="000000"/>
                <w:sz w:val="18"/>
                <w:szCs w:val="18"/>
              </w:rPr>
              <w:t xml:space="preserve"> </w:t>
            </w:r>
            <w:proofErr w:type="spellStart"/>
            <w:r w:rsidRPr="00E53AA0">
              <w:rPr>
                <w:rFonts w:ascii="Calibri" w:eastAsia="Times New Roman" w:hAnsi="Calibri" w:cs="Times New Roman"/>
                <w:b w:val="0"/>
                <w:bCs w:val="0"/>
                <w:color w:val="000000"/>
                <w:sz w:val="18"/>
                <w:szCs w:val="18"/>
              </w:rPr>
              <w:t>Federation</w:t>
            </w:r>
            <w:proofErr w:type="spellEnd"/>
          </w:p>
        </w:tc>
        <w:tc>
          <w:tcPr>
            <w:tcW w:w="796" w:type="dxa"/>
            <w:hideMark/>
          </w:tcPr>
          <w:p w14:paraId="711F83FC"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64</w:t>
            </w:r>
          </w:p>
        </w:tc>
        <w:tc>
          <w:tcPr>
            <w:tcW w:w="709" w:type="dxa"/>
            <w:hideMark/>
          </w:tcPr>
          <w:p w14:paraId="61175833"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4.25</w:t>
            </w:r>
          </w:p>
        </w:tc>
        <w:tc>
          <w:tcPr>
            <w:tcW w:w="709" w:type="dxa"/>
          </w:tcPr>
          <w:p w14:paraId="579F8DE5"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3.28</w:t>
            </w:r>
          </w:p>
        </w:tc>
        <w:tc>
          <w:tcPr>
            <w:tcW w:w="709" w:type="dxa"/>
          </w:tcPr>
          <w:p w14:paraId="1F135D37"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4.61</w:t>
            </w:r>
          </w:p>
        </w:tc>
        <w:tc>
          <w:tcPr>
            <w:tcW w:w="708" w:type="dxa"/>
          </w:tcPr>
          <w:p w14:paraId="44EBC459"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5.93</w:t>
            </w:r>
          </w:p>
        </w:tc>
        <w:tc>
          <w:tcPr>
            <w:tcW w:w="709" w:type="dxa"/>
          </w:tcPr>
          <w:p w14:paraId="23D85B1B"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5.71</w:t>
            </w:r>
          </w:p>
        </w:tc>
        <w:tc>
          <w:tcPr>
            <w:tcW w:w="709" w:type="dxa"/>
            <w:hideMark/>
          </w:tcPr>
          <w:p w14:paraId="3E2BED4E"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4.66</w:t>
            </w:r>
          </w:p>
        </w:tc>
        <w:tc>
          <w:tcPr>
            <w:tcW w:w="709" w:type="dxa"/>
            <w:hideMark/>
          </w:tcPr>
          <w:p w14:paraId="363BA2A7"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3.80</w:t>
            </w:r>
          </w:p>
        </w:tc>
        <w:tc>
          <w:tcPr>
            <w:tcW w:w="708" w:type="dxa"/>
            <w:hideMark/>
          </w:tcPr>
          <w:p w14:paraId="28DBA7ED"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4.31</w:t>
            </w:r>
          </w:p>
        </w:tc>
        <w:tc>
          <w:tcPr>
            <w:tcW w:w="709" w:type="dxa"/>
            <w:hideMark/>
          </w:tcPr>
          <w:p w14:paraId="0DC5FEF9"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3.39</w:t>
            </w:r>
          </w:p>
        </w:tc>
        <w:tc>
          <w:tcPr>
            <w:tcW w:w="709" w:type="dxa"/>
            <w:hideMark/>
          </w:tcPr>
          <w:p w14:paraId="7FD3620E"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3.97</w:t>
            </w:r>
          </w:p>
        </w:tc>
        <w:tc>
          <w:tcPr>
            <w:tcW w:w="709" w:type="dxa"/>
          </w:tcPr>
          <w:p w14:paraId="6B65BDDA"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5.78</w:t>
            </w:r>
          </w:p>
        </w:tc>
        <w:tc>
          <w:tcPr>
            <w:tcW w:w="708" w:type="dxa"/>
          </w:tcPr>
          <w:p w14:paraId="39313D52"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3.56</w:t>
            </w:r>
          </w:p>
        </w:tc>
        <w:tc>
          <w:tcPr>
            <w:tcW w:w="709" w:type="dxa"/>
            <w:hideMark/>
          </w:tcPr>
          <w:p w14:paraId="310A46A3"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3.13</w:t>
            </w:r>
          </w:p>
        </w:tc>
      </w:tr>
      <w:tr w:rsidR="005072B1" w:rsidRPr="00E53AA0" w14:paraId="3111D218" w14:textId="77777777" w:rsidTr="00507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4C9B7D08" w14:textId="77777777" w:rsidR="005072B1" w:rsidRPr="00E53AA0" w:rsidRDefault="005072B1" w:rsidP="005072B1">
            <w:pP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Georgia</w:t>
            </w:r>
          </w:p>
        </w:tc>
        <w:tc>
          <w:tcPr>
            <w:tcW w:w="796" w:type="dxa"/>
            <w:hideMark/>
          </w:tcPr>
          <w:p w14:paraId="0418729A"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72</w:t>
            </w:r>
          </w:p>
        </w:tc>
        <w:tc>
          <w:tcPr>
            <w:tcW w:w="709" w:type="dxa"/>
            <w:hideMark/>
          </w:tcPr>
          <w:p w14:paraId="38F1377E"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4.15</w:t>
            </w:r>
          </w:p>
        </w:tc>
        <w:tc>
          <w:tcPr>
            <w:tcW w:w="709" w:type="dxa"/>
            <w:hideMark/>
          </w:tcPr>
          <w:p w14:paraId="18EAA36F"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4.00</w:t>
            </w:r>
          </w:p>
        </w:tc>
        <w:tc>
          <w:tcPr>
            <w:tcW w:w="709" w:type="dxa"/>
            <w:hideMark/>
          </w:tcPr>
          <w:p w14:paraId="7C8C97D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4.31</w:t>
            </w:r>
          </w:p>
        </w:tc>
        <w:tc>
          <w:tcPr>
            <w:tcW w:w="708" w:type="dxa"/>
            <w:hideMark/>
          </w:tcPr>
          <w:p w14:paraId="38A8F322"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4.91</w:t>
            </w:r>
          </w:p>
        </w:tc>
        <w:tc>
          <w:tcPr>
            <w:tcW w:w="709" w:type="dxa"/>
            <w:hideMark/>
          </w:tcPr>
          <w:p w14:paraId="448440D5"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5.75</w:t>
            </w:r>
          </w:p>
        </w:tc>
        <w:tc>
          <w:tcPr>
            <w:tcW w:w="709" w:type="dxa"/>
            <w:hideMark/>
          </w:tcPr>
          <w:p w14:paraId="20B81149"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3.79</w:t>
            </w:r>
          </w:p>
        </w:tc>
        <w:tc>
          <w:tcPr>
            <w:tcW w:w="709" w:type="dxa"/>
            <w:hideMark/>
          </w:tcPr>
          <w:p w14:paraId="507BD232"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4.29</w:t>
            </w:r>
          </w:p>
        </w:tc>
        <w:tc>
          <w:tcPr>
            <w:tcW w:w="708" w:type="dxa"/>
            <w:hideMark/>
          </w:tcPr>
          <w:p w14:paraId="393B963D"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4.59</w:t>
            </w:r>
          </w:p>
        </w:tc>
        <w:tc>
          <w:tcPr>
            <w:tcW w:w="709" w:type="dxa"/>
            <w:hideMark/>
          </w:tcPr>
          <w:p w14:paraId="3DFF8657"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3.91</w:t>
            </w:r>
          </w:p>
        </w:tc>
        <w:tc>
          <w:tcPr>
            <w:tcW w:w="709" w:type="dxa"/>
            <w:hideMark/>
          </w:tcPr>
          <w:p w14:paraId="0ED18BD4"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3.83</w:t>
            </w:r>
          </w:p>
        </w:tc>
        <w:tc>
          <w:tcPr>
            <w:tcW w:w="709" w:type="dxa"/>
          </w:tcPr>
          <w:p w14:paraId="17EDFDCA"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2.96</w:t>
            </w:r>
          </w:p>
        </w:tc>
        <w:tc>
          <w:tcPr>
            <w:tcW w:w="708" w:type="dxa"/>
          </w:tcPr>
          <w:p w14:paraId="202DE396"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3.47</w:t>
            </w:r>
          </w:p>
        </w:tc>
        <w:tc>
          <w:tcPr>
            <w:tcW w:w="709" w:type="dxa"/>
            <w:hideMark/>
          </w:tcPr>
          <w:p w14:paraId="1B80A39F"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2.68</w:t>
            </w:r>
          </w:p>
        </w:tc>
      </w:tr>
      <w:tr w:rsidR="005072B1" w:rsidRPr="00E53AA0" w14:paraId="1DCE338F" w14:textId="77777777" w:rsidTr="005072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13B5B990" w14:textId="77777777" w:rsidR="005072B1" w:rsidRPr="00E53AA0" w:rsidRDefault="005072B1" w:rsidP="005072B1">
            <w:pP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Romania</w:t>
            </w:r>
          </w:p>
        </w:tc>
        <w:tc>
          <w:tcPr>
            <w:tcW w:w="796" w:type="dxa"/>
            <w:hideMark/>
          </w:tcPr>
          <w:p w14:paraId="3D9C90CB"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76</w:t>
            </w:r>
          </w:p>
        </w:tc>
        <w:tc>
          <w:tcPr>
            <w:tcW w:w="709" w:type="dxa"/>
            <w:hideMark/>
          </w:tcPr>
          <w:p w14:paraId="3A6BA086"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4.13</w:t>
            </w:r>
          </w:p>
        </w:tc>
        <w:tc>
          <w:tcPr>
            <w:tcW w:w="709" w:type="dxa"/>
            <w:hideMark/>
          </w:tcPr>
          <w:p w14:paraId="4DFA1A48"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3.34</w:t>
            </w:r>
          </w:p>
        </w:tc>
        <w:tc>
          <w:tcPr>
            <w:tcW w:w="709" w:type="dxa"/>
            <w:hideMark/>
          </w:tcPr>
          <w:p w14:paraId="0ECF21B0"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3.33</w:t>
            </w:r>
          </w:p>
        </w:tc>
        <w:tc>
          <w:tcPr>
            <w:tcW w:w="708" w:type="dxa"/>
            <w:hideMark/>
          </w:tcPr>
          <w:p w14:paraId="3B4C1522"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5.14</w:t>
            </w:r>
          </w:p>
        </w:tc>
        <w:tc>
          <w:tcPr>
            <w:tcW w:w="709" w:type="dxa"/>
            <w:hideMark/>
          </w:tcPr>
          <w:p w14:paraId="70D39C08"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5.47</w:t>
            </w:r>
          </w:p>
        </w:tc>
        <w:tc>
          <w:tcPr>
            <w:tcW w:w="709" w:type="dxa"/>
            <w:hideMark/>
          </w:tcPr>
          <w:p w14:paraId="0115C137"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4.41</w:t>
            </w:r>
          </w:p>
        </w:tc>
        <w:tc>
          <w:tcPr>
            <w:tcW w:w="709" w:type="dxa"/>
            <w:hideMark/>
          </w:tcPr>
          <w:p w14:paraId="3AA21A72"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3.89</w:t>
            </w:r>
          </w:p>
        </w:tc>
        <w:tc>
          <w:tcPr>
            <w:tcW w:w="708" w:type="dxa"/>
            <w:hideMark/>
          </w:tcPr>
          <w:p w14:paraId="77DD5B7B"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3.96</w:t>
            </w:r>
          </w:p>
        </w:tc>
        <w:tc>
          <w:tcPr>
            <w:tcW w:w="709" w:type="dxa"/>
            <w:hideMark/>
          </w:tcPr>
          <w:p w14:paraId="020B81B6"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3.95</w:t>
            </w:r>
          </w:p>
        </w:tc>
        <w:tc>
          <w:tcPr>
            <w:tcW w:w="709" w:type="dxa"/>
            <w:hideMark/>
          </w:tcPr>
          <w:p w14:paraId="0E7BD8B2"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4.14</w:t>
            </w:r>
          </w:p>
        </w:tc>
        <w:tc>
          <w:tcPr>
            <w:tcW w:w="709" w:type="dxa"/>
          </w:tcPr>
          <w:p w14:paraId="4034D346"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4.44</w:t>
            </w:r>
          </w:p>
        </w:tc>
        <w:tc>
          <w:tcPr>
            <w:tcW w:w="708" w:type="dxa"/>
          </w:tcPr>
          <w:p w14:paraId="4599EE29"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3.62</w:t>
            </w:r>
          </w:p>
        </w:tc>
        <w:tc>
          <w:tcPr>
            <w:tcW w:w="709" w:type="dxa"/>
            <w:hideMark/>
          </w:tcPr>
          <w:p w14:paraId="3D526A8B"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3.01</w:t>
            </w:r>
          </w:p>
        </w:tc>
      </w:tr>
      <w:tr w:rsidR="005072B1" w:rsidRPr="00E53AA0" w14:paraId="05F2A99C" w14:textId="77777777" w:rsidTr="00507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0A9CBF5B" w14:textId="77777777" w:rsidR="005072B1" w:rsidRPr="00E53AA0" w:rsidRDefault="005072B1" w:rsidP="005072B1">
            <w:pP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Armenia</w:t>
            </w:r>
          </w:p>
        </w:tc>
        <w:tc>
          <w:tcPr>
            <w:tcW w:w="796" w:type="dxa"/>
            <w:hideMark/>
          </w:tcPr>
          <w:p w14:paraId="3A65C7B2"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79</w:t>
            </w:r>
          </w:p>
        </w:tc>
        <w:tc>
          <w:tcPr>
            <w:tcW w:w="709" w:type="dxa"/>
            <w:hideMark/>
          </w:tcPr>
          <w:p w14:paraId="6DAAD5FF"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4.10</w:t>
            </w:r>
          </w:p>
        </w:tc>
        <w:tc>
          <w:tcPr>
            <w:tcW w:w="709" w:type="dxa"/>
            <w:hideMark/>
          </w:tcPr>
          <w:p w14:paraId="4DE08BC6"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3.98</w:t>
            </w:r>
          </w:p>
        </w:tc>
        <w:tc>
          <w:tcPr>
            <w:tcW w:w="709" w:type="dxa"/>
            <w:hideMark/>
          </w:tcPr>
          <w:p w14:paraId="3A5F19C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3.81</w:t>
            </w:r>
          </w:p>
        </w:tc>
        <w:tc>
          <w:tcPr>
            <w:tcW w:w="708" w:type="dxa"/>
            <w:hideMark/>
          </w:tcPr>
          <w:p w14:paraId="6D6BA706"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4.88</w:t>
            </w:r>
          </w:p>
        </w:tc>
        <w:tc>
          <w:tcPr>
            <w:tcW w:w="709" w:type="dxa"/>
            <w:hideMark/>
          </w:tcPr>
          <w:p w14:paraId="55F38DEF"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5.46</w:t>
            </w:r>
          </w:p>
        </w:tc>
        <w:tc>
          <w:tcPr>
            <w:tcW w:w="709" w:type="dxa"/>
            <w:hideMark/>
          </w:tcPr>
          <w:p w14:paraId="7B98F44B"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4.18</w:t>
            </w:r>
          </w:p>
        </w:tc>
        <w:tc>
          <w:tcPr>
            <w:tcW w:w="709" w:type="dxa"/>
            <w:hideMark/>
          </w:tcPr>
          <w:p w14:paraId="35E0E5B8"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4.34</w:t>
            </w:r>
          </w:p>
        </w:tc>
        <w:tc>
          <w:tcPr>
            <w:tcW w:w="708" w:type="dxa"/>
            <w:hideMark/>
          </w:tcPr>
          <w:p w14:paraId="0FD9A315"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4.49</w:t>
            </w:r>
          </w:p>
        </w:tc>
        <w:tc>
          <w:tcPr>
            <w:tcW w:w="709" w:type="dxa"/>
            <w:hideMark/>
          </w:tcPr>
          <w:p w14:paraId="2B520AF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3.91</w:t>
            </w:r>
          </w:p>
        </w:tc>
        <w:tc>
          <w:tcPr>
            <w:tcW w:w="709" w:type="dxa"/>
            <w:hideMark/>
          </w:tcPr>
          <w:p w14:paraId="057A5668"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3.74</w:t>
            </w:r>
          </w:p>
        </w:tc>
        <w:tc>
          <w:tcPr>
            <w:tcW w:w="709" w:type="dxa"/>
          </w:tcPr>
          <w:p w14:paraId="4151969E"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2.73</w:t>
            </w:r>
          </w:p>
        </w:tc>
        <w:tc>
          <w:tcPr>
            <w:tcW w:w="708" w:type="dxa"/>
          </w:tcPr>
          <w:p w14:paraId="720C0622"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3.82</w:t>
            </w:r>
          </w:p>
        </w:tc>
        <w:tc>
          <w:tcPr>
            <w:tcW w:w="709" w:type="dxa"/>
            <w:hideMark/>
          </w:tcPr>
          <w:p w14:paraId="52544548"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2.99</w:t>
            </w:r>
          </w:p>
        </w:tc>
      </w:tr>
      <w:tr w:rsidR="005072B1" w:rsidRPr="00E53AA0" w14:paraId="0ABADAD2" w14:textId="77777777" w:rsidTr="005072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49617FF7" w14:textId="77777777" w:rsidR="005072B1" w:rsidRPr="00E53AA0" w:rsidRDefault="005072B1" w:rsidP="005072B1">
            <w:pP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Ukraine</w:t>
            </w:r>
          </w:p>
        </w:tc>
        <w:tc>
          <w:tcPr>
            <w:tcW w:w="796" w:type="dxa"/>
            <w:hideMark/>
          </w:tcPr>
          <w:p w14:paraId="3C770CB5"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84</w:t>
            </w:r>
          </w:p>
        </w:tc>
        <w:tc>
          <w:tcPr>
            <w:tcW w:w="709" w:type="dxa"/>
            <w:hideMark/>
          </w:tcPr>
          <w:p w14:paraId="3E2F5DC3"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4.05</w:t>
            </w:r>
          </w:p>
        </w:tc>
        <w:tc>
          <w:tcPr>
            <w:tcW w:w="709" w:type="dxa"/>
            <w:hideMark/>
          </w:tcPr>
          <w:p w14:paraId="3A2CCBCB"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2.99</w:t>
            </w:r>
          </w:p>
        </w:tc>
        <w:tc>
          <w:tcPr>
            <w:tcW w:w="709" w:type="dxa"/>
            <w:hideMark/>
          </w:tcPr>
          <w:p w14:paraId="63930F4C"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4.07</w:t>
            </w:r>
          </w:p>
        </w:tc>
        <w:tc>
          <w:tcPr>
            <w:tcW w:w="708" w:type="dxa"/>
            <w:hideMark/>
          </w:tcPr>
          <w:p w14:paraId="1BBECDAC"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4.20</w:t>
            </w:r>
          </w:p>
        </w:tc>
        <w:tc>
          <w:tcPr>
            <w:tcW w:w="709" w:type="dxa"/>
            <w:hideMark/>
          </w:tcPr>
          <w:p w14:paraId="01E50B04"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5.84</w:t>
            </w:r>
          </w:p>
        </w:tc>
        <w:tc>
          <w:tcPr>
            <w:tcW w:w="709" w:type="dxa"/>
            <w:hideMark/>
          </w:tcPr>
          <w:p w14:paraId="4AE44F86"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4.75</w:t>
            </w:r>
          </w:p>
        </w:tc>
        <w:tc>
          <w:tcPr>
            <w:tcW w:w="709" w:type="dxa"/>
            <w:hideMark/>
          </w:tcPr>
          <w:p w14:paraId="33CBB4EE"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3.81</w:t>
            </w:r>
          </w:p>
        </w:tc>
        <w:tc>
          <w:tcPr>
            <w:tcW w:w="708" w:type="dxa"/>
            <w:hideMark/>
          </w:tcPr>
          <w:p w14:paraId="28E8D27F"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4.18</w:t>
            </w:r>
          </w:p>
        </w:tc>
        <w:tc>
          <w:tcPr>
            <w:tcW w:w="709" w:type="dxa"/>
            <w:hideMark/>
          </w:tcPr>
          <w:p w14:paraId="06E02948"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3.46</w:t>
            </w:r>
          </w:p>
        </w:tc>
        <w:tc>
          <w:tcPr>
            <w:tcW w:w="709" w:type="dxa"/>
            <w:hideMark/>
          </w:tcPr>
          <w:p w14:paraId="609C6C25"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3.28</w:t>
            </w:r>
          </w:p>
        </w:tc>
        <w:tc>
          <w:tcPr>
            <w:tcW w:w="709" w:type="dxa"/>
          </w:tcPr>
          <w:p w14:paraId="6BEDC219"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4.60</w:t>
            </w:r>
          </w:p>
        </w:tc>
        <w:tc>
          <w:tcPr>
            <w:tcW w:w="708" w:type="dxa"/>
          </w:tcPr>
          <w:p w14:paraId="1B3C2030"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3.68</w:t>
            </w:r>
          </w:p>
        </w:tc>
        <w:tc>
          <w:tcPr>
            <w:tcW w:w="709" w:type="dxa"/>
            <w:hideMark/>
          </w:tcPr>
          <w:p w14:paraId="6CAB8283"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3.03</w:t>
            </w:r>
          </w:p>
        </w:tc>
      </w:tr>
      <w:tr w:rsidR="005072B1" w:rsidRPr="00E53AA0" w14:paraId="5C9D7E8A" w14:textId="77777777" w:rsidTr="005072B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013" w:type="dxa"/>
            <w:hideMark/>
          </w:tcPr>
          <w:p w14:paraId="3D696E40" w14:textId="77777777" w:rsidR="005072B1" w:rsidRPr="00E53AA0" w:rsidRDefault="005072B1" w:rsidP="005072B1">
            <w:pPr>
              <w:rPr>
                <w:rFonts w:ascii="Calibri" w:eastAsia="Times New Roman" w:hAnsi="Calibri" w:cs="Times New Roman"/>
                <w:b w:val="0"/>
                <w:bCs w:val="0"/>
                <w:color w:val="000000"/>
                <w:sz w:val="18"/>
                <w:szCs w:val="18"/>
              </w:rPr>
            </w:pPr>
            <w:r w:rsidRPr="00E53AA0">
              <w:rPr>
                <w:rFonts w:ascii="Calibri" w:eastAsia="Times New Roman" w:hAnsi="Calibri" w:cs="Times New Roman"/>
                <w:b w:val="0"/>
                <w:bCs w:val="0"/>
                <w:color w:val="000000"/>
                <w:sz w:val="18"/>
                <w:szCs w:val="18"/>
              </w:rPr>
              <w:t>Moldova</w:t>
            </w:r>
          </w:p>
        </w:tc>
        <w:tc>
          <w:tcPr>
            <w:tcW w:w="796" w:type="dxa"/>
            <w:hideMark/>
          </w:tcPr>
          <w:p w14:paraId="10B75D6D"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89</w:t>
            </w:r>
          </w:p>
        </w:tc>
        <w:tc>
          <w:tcPr>
            <w:tcW w:w="709" w:type="dxa"/>
            <w:hideMark/>
          </w:tcPr>
          <w:p w14:paraId="6587DFB5" w14:textId="77777777" w:rsidR="005072B1" w:rsidRPr="00E53AA0" w:rsidRDefault="005072B1" w:rsidP="005072B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3.94</w:t>
            </w:r>
          </w:p>
        </w:tc>
        <w:tc>
          <w:tcPr>
            <w:tcW w:w="709" w:type="dxa"/>
            <w:hideMark/>
          </w:tcPr>
          <w:p w14:paraId="289E1D0A"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3.24</w:t>
            </w:r>
          </w:p>
        </w:tc>
        <w:tc>
          <w:tcPr>
            <w:tcW w:w="709" w:type="dxa"/>
            <w:hideMark/>
          </w:tcPr>
          <w:p w14:paraId="54CCCCE4"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3.57</w:t>
            </w:r>
          </w:p>
        </w:tc>
        <w:tc>
          <w:tcPr>
            <w:tcW w:w="708" w:type="dxa"/>
            <w:hideMark/>
          </w:tcPr>
          <w:p w14:paraId="4FDD32E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4.62</w:t>
            </w:r>
          </w:p>
        </w:tc>
        <w:tc>
          <w:tcPr>
            <w:tcW w:w="709" w:type="dxa"/>
            <w:hideMark/>
          </w:tcPr>
          <w:p w14:paraId="73F5925D"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5.38</w:t>
            </w:r>
          </w:p>
        </w:tc>
        <w:tc>
          <w:tcPr>
            <w:tcW w:w="709" w:type="dxa"/>
            <w:hideMark/>
          </w:tcPr>
          <w:p w14:paraId="2EFCF591"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3.88</w:t>
            </w:r>
          </w:p>
        </w:tc>
        <w:tc>
          <w:tcPr>
            <w:tcW w:w="709" w:type="dxa"/>
            <w:hideMark/>
          </w:tcPr>
          <w:p w14:paraId="39659837"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3.93</w:t>
            </w:r>
          </w:p>
        </w:tc>
        <w:tc>
          <w:tcPr>
            <w:tcW w:w="708" w:type="dxa"/>
            <w:hideMark/>
          </w:tcPr>
          <w:p w14:paraId="098D35F9"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4.09</w:t>
            </w:r>
          </w:p>
        </w:tc>
        <w:tc>
          <w:tcPr>
            <w:tcW w:w="709" w:type="dxa"/>
            <w:hideMark/>
          </w:tcPr>
          <w:p w14:paraId="095C4995"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3.60</w:t>
            </w:r>
          </w:p>
        </w:tc>
        <w:tc>
          <w:tcPr>
            <w:tcW w:w="709" w:type="dxa"/>
            <w:hideMark/>
          </w:tcPr>
          <w:p w14:paraId="347F8E7B"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3.89</w:t>
            </w:r>
          </w:p>
        </w:tc>
        <w:tc>
          <w:tcPr>
            <w:tcW w:w="709" w:type="dxa"/>
          </w:tcPr>
          <w:p w14:paraId="1C89C4C0" w14:textId="77777777" w:rsidR="005072B1" w:rsidRPr="00DA607C"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2.55</w:t>
            </w:r>
          </w:p>
        </w:tc>
        <w:tc>
          <w:tcPr>
            <w:tcW w:w="708" w:type="dxa"/>
          </w:tcPr>
          <w:p w14:paraId="6C4DB8D6"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3.32</w:t>
            </w:r>
          </w:p>
        </w:tc>
        <w:tc>
          <w:tcPr>
            <w:tcW w:w="709" w:type="dxa"/>
            <w:hideMark/>
          </w:tcPr>
          <w:p w14:paraId="7CB8E7B1" w14:textId="77777777" w:rsidR="005072B1" w:rsidRPr="00E53AA0" w:rsidRDefault="005072B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2.42</w:t>
            </w:r>
          </w:p>
        </w:tc>
      </w:tr>
      <w:tr w:rsidR="005072B1" w:rsidRPr="00E53AA0" w14:paraId="3D1A9793" w14:textId="77777777" w:rsidTr="005072B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210C5D1C" w14:textId="77777777" w:rsidR="005072B1" w:rsidRPr="00E53AA0" w:rsidRDefault="005072B1" w:rsidP="005072B1">
            <w:pPr>
              <w:rPr>
                <w:rFonts w:ascii="Calibri" w:eastAsia="Times New Roman" w:hAnsi="Calibri" w:cs="Times New Roman"/>
                <w:b w:val="0"/>
                <w:bCs w:val="0"/>
                <w:color w:val="000000"/>
                <w:sz w:val="18"/>
                <w:szCs w:val="18"/>
              </w:rPr>
            </w:pPr>
            <w:proofErr w:type="spellStart"/>
            <w:r w:rsidRPr="00E53AA0">
              <w:rPr>
                <w:rFonts w:ascii="Calibri" w:eastAsia="Times New Roman" w:hAnsi="Calibri" w:cs="Times New Roman"/>
                <w:b w:val="0"/>
                <w:bCs w:val="0"/>
                <w:color w:val="000000"/>
                <w:sz w:val="18"/>
                <w:szCs w:val="18"/>
              </w:rPr>
              <w:t>Greece</w:t>
            </w:r>
            <w:proofErr w:type="spellEnd"/>
          </w:p>
        </w:tc>
        <w:tc>
          <w:tcPr>
            <w:tcW w:w="796" w:type="dxa"/>
            <w:hideMark/>
          </w:tcPr>
          <w:p w14:paraId="725CC101"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E53AA0">
              <w:rPr>
                <w:rFonts w:ascii="Calibri" w:eastAsia="Times New Roman" w:hAnsi="Calibri" w:cs="Times New Roman"/>
                <w:b/>
                <w:color w:val="000000"/>
                <w:sz w:val="18"/>
                <w:szCs w:val="18"/>
              </w:rPr>
              <w:t>91</w:t>
            </w:r>
          </w:p>
        </w:tc>
        <w:tc>
          <w:tcPr>
            <w:tcW w:w="709" w:type="dxa"/>
            <w:hideMark/>
          </w:tcPr>
          <w:p w14:paraId="6B65284A" w14:textId="77777777" w:rsidR="005072B1" w:rsidRPr="00E53AA0" w:rsidRDefault="005072B1" w:rsidP="005072B1">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bCs/>
                <w:color w:val="000000"/>
                <w:sz w:val="18"/>
                <w:szCs w:val="18"/>
              </w:rPr>
            </w:pPr>
            <w:r w:rsidRPr="00E53AA0">
              <w:rPr>
                <w:rFonts w:ascii="Calibri" w:eastAsia="Times New Roman" w:hAnsi="Calibri" w:cs="Times New Roman"/>
                <w:b/>
                <w:bCs/>
                <w:color w:val="000000"/>
                <w:sz w:val="18"/>
                <w:szCs w:val="18"/>
              </w:rPr>
              <w:t>3.93</w:t>
            </w:r>
          </w:p>
        </w:tc>
        <w:tc>
          <w:tcPr>
            <w:tcW w:w="709" w:type="dxa"/>
            <w:hideMark/>
          </w:tcPr>
          <w:p w14:paraId="22C79280"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3.49</w:t>
            </w:r>
          </w:p>
        </w:tc>
        <w:tc>
          <w:tcPr>
            <w:tcW w:w="709" w:type="dxa"/>
            <w:hideMark/>
          </w:tcPr>
          <w:p w14:paraId="5D4BF677"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4.79</w:t>
            </w:r>
          </w:p>
        </w:tc>
        <w:tc>
          <w:tcPr>
            <w:tcW w:w="708" w:type="dxa"/>
            <w:hideMark/>
          </w:tcPr>
          <w:p w14:paraId="463B1563"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2.82</w:t>
            </w:r>
          </w:p>
        </w:tc>
        <w:tc>
          <w:tcPr>
            <w:tcW w:w="709" w:type="dxa"/>
            <w:hideMark/>
          </w:tcPr>
          <w:p w14:paraId="63B04EDB"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6.10</w:t>
            </w:r>
          </w:p>
        </w:tc>
        <w:tc>
          <w:tcPr>
            <w:tcW w:w="709" w:type="dxa"/>
            <w:hideMark/>
          </w:tcPr>
          <w:p w14:paraId="7DCE03DE"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4.81</w:t>
            </w:r>
          </w:p>
        </w:tc>
        <w:tc>
          <w:tcPr>
            <w:tcW w:w="709" w:type="dxa"/>
            <w:hideMark/>
          </w:tcPr>
          <w:p w14:paraId="63775375"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3.93</w:t>
            </w:r>
          </w:p>
        </w:tc>
        <w:tc>
          <w:tcPr>
            <w:tcW w:w="708" w:type="dxa"/>
            <w:hideMark/>
          </w:tcPr>
          <w:p w14:paraId="73C99A6C"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3.77</w:t>
            </w:r>
          </w:p>
        </w:tc>
        <w:tc>
          <w:tcPr>
            <w:tcW w:w="709" w:type="dxa"/>
            <w:hideMark/>
          </w:tcPr>
          <w:p w14:paraId="18362928"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2.86</w:t>
            </w:r>
          </w:p>
        </w:tc>
        <w:tc>
          <w:tcPr>
            <w:tcW w:w="709" w:type="dxa"/>
            <w:hideMark/>
          </w:tcPr>
          <w:p w14:paraId="70D5AA30"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4.62</w:t>
            </w:r>
          </w:p>
        </w:tc>
        <w:tc>
          <w:tcPr>
            <w:tcW w:w="709" w:type="dxa"/>
          </w:tcPr>
          <w:p w14:paraId="4FEED84A" w14:textId="77777777" w:rsidR="005072B1" w:rsidRPr="00DA607C"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eastAsia="Times New Roman" w:hAnsi="Calibri" w:cs="Times New Roman"/>
                <w:color w:val="000000"/>
                <w:sz w:val="18"/>
                <w:szCs w:val="18"/>
              </w:rPr>
              <w:t>4.37</w:t>
            </w:r>
          </w:p>
        </w:tc>
        <w:tc>
          <w:tcPr>
            <w:tcW w:w="708" w:type="dxa"/>
          </w:tcPr>
          <w:p w14:paraId="18EC7B9B"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3.84</w:t>
            </w:r>
          </w:p>
        </w:tc>
        <w:tc>
          <w:tcPr>
            <w:tcW w:w="709" w:type="dxa"/>
            <w:hideMark/>
          </w:tcPr>
          <w:p w14:paraId="434EB24A" w14:textId="77777777" w:rsidR="005072B1" w:rsidRPr="00E53AA0" w:rsidRDefault="005072B1" w:rsidP="005072B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E53AA0">
              <w:rPr>
                <w:rFonts w:ascii="Calibri" w:eastAsia="Times New Roman" w:hAnsi="Calibri" w:cs="Times New Roman"/>
                <w:color w:val="000000"/>
                <w:sz w:val="18"/>
                <w:szCs w:val="18"/>
              </w:rPr>
              <w:t>3.08</w:t>
            </w:r>
          </w:p>
        </w:tc>
      </w:tr>
      <w:tr w:rsidR="005072B1" w:rsidRPr="00B71347" w14:paraId="696C3DB8" w14:textId="77777777" w:rsidTr="005072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3" w:type="dxa"/>
            <w:gridSpan w:val="15"/>
          </w:tcPr>
          <w:p w14:paraId="4035C250" w14:textId="77777777" w:rsidR="005072B1" w:rsidRPr="0077602E" w:rsidRDefault="005072B1" w:rsidP="005072B1">
            <w:pPr>
              <w:tabs>
                <w:tab w:val="left" w:pos="1008"/>
              </w:tabs>
              <w:jc w:val="both"/>
              <w:rPr>
                <w:rFonts w:ascii="Calibri" w:eastAsia="Times New Roman" w:hAnsi="Calibri" w:cs="Times New Roman"/>
                <w:b w:val="0"/>
                <w:color w:val="000000"/>
                <w:sz w:val="18"/>
                <w:szCs w:val="18"/>
                <w:lang w:val="en-GB"/>
              </w:rPr>
            </w:pPr>
            <w:r w:rsidRPr="0077602E">
              <w:rPr>
                <w:b w:val="0"/>
                <w:sz w:val="20"/>
                <w:szCs w:val="20"/>
                <w:lang w:val="en-GB"/>
              </w:rPr>
              <w:t xml:space="preserve">The Global Competitiveness Index is based on 12 pillars : (1) Institutions, (2) Infrastructure, (3) Macroeconomic environment, (4) Health and primary education, (5) Higher education and training, (6) Goods market efficiency, (7) Labour market efficiency, (8) Financial market development, (9) Technological readiness, (10) Market size, (11) Business sophistication, (12) Innovation. </w:t>
            </w:r>
            <w:r w:rsidRPr="0077602E">
              <w:rPr>
                <w:b w:val="0"/>
                <w:lang w:val="en-GB"/>
              </w:rPr>
              <w:t xml:space="preserve"> </w:t>
            </w:r>
          </w:p>
        </w:tc>
      </w:tr>
    </w:tbl>
    <w:p w14:paraId="7888A0B2" w14:textId="365F3052" w:rsidR="005072B1" w:rsidRPr="000D3441" w:rsidRDefault="005072B1" w:rsidP="005A12B9">
      <w:pPr>
        <w:pStyle w:val="Caption"/>
        <w:spacing w:before="120" w:after="0"/>
        <w:jc w:val="left"/>
        <w:rPr>
          <w:sz w:val="22"/>
          <w:szCs w:val="22"/>
          <w:lang w:val="en-GB"/>
        </w:rPr>
      </w:pPr>
      <w:proofErr w:type="gramStart"/>
      <w:r w:rsidRPr="000D3441">
        <w:rPr>
          <w:sz w:val="22"/>
          <w:szCs w:val="22"/>
          <w:lang w:val="en-GB"/>
        </w:rPr>
        <w:t>Table 2.</w:t>
      </w:r>
      <w:proofErr w:type="gramEnd"/>
      <w:r w:rsidRPr="000D3441">
        <w:rPr>
          <w:sz w:val="22"/>
          <w:szCs w:val="22"/>
          <w:lang w:val="en-GB"/>
        </w:rPr>
        <w:t xml:space="preserve"> </w:t>
      </w:r>
      <w:proofErr w:type="gramStart"/>
      <w:r w:rsidRPr="000D3441">
        <w:rPr>
          <w:sz w:val="22"/>
          <w:szCs w:val="22"/>
          <w:lang w:val="en-GB"/>
        </w:rPr>
        <w:t>Global Competitiveness Index (CGI) 201</w:t>
      </w:r>
      <w:r w:rsidR="00EF459E">
        <w:rPr>
          <w:sz w:val="22"/>
          <w:szCs w:val="22"/>
          <w:lang w:val="en-GB"/>
        </w:rPr>
        <w:t>3</w:t>
      </w:r>
      <w:r w:rsidRPr="000D3441">
        <w:rPr>
          <w:sz w:val="22"/>
          <w:szCs w:val="22"/>
          <w:lang w:val="en-GB"/>
        </w:rPr>
        <w:t>-201</w:t>
      </w:r>
      <w:r w:rsidR="00EF459E">
        <w:rPr>
          <w:sz w:val="22"/>
          <w:szCs w:val="22"/>
          <w:lang w:val="en-GB"/>
        </w:rPr>
        <w:t>4</w:t>
      </w:r>
      <w:r w:rsidRPr="000D3441">
        <w:rPr>
          <w:sz w:val="22"/>
          <w:szCs w:val="22"/>
          <w:lang w:val="en-GB"/>
        </w:rPr>
        <w:t xml:space="preserve"> ranking (out of 148 countries) and scoring (from lowest 1 to highest 7), overall and for each of the 12 pillars</w:t>
      </w:r>
      <w:r w:rsidR="000B084A">
        <w:rPr>
          <w:sz w:val="22"/>
          <w:szCs w:val="22"/>
          <w:lang w:val="en-GB"/>
        </w:rPr>
        <w:t>.</w:t>
      </w:r>
      <w:proofErr w:type="gramEnd"/>
      <w:r w:rsidRPr="000D3441">
        <w:rPr>
          <w:sz w:val="22"/>
          <w:szCs w:val="22"/>
          <w:lang w:val="en-GB"/>
        </w:rPr>
        <w:t xml:space="preserve">   </w:t>
      </w:r>
    </w:p>
    <w:p w14:paraId="2C89B93D" w14:textId="77777777" w:rsidR="005072B1" w:rsidRPr="004B58D3" w:rsidRDefault="005072B1" w:rsidP="005072B1">
      <w:pPr>
        <w:spacing w:before="120" w:after="0" w:line="252" w:lineRule="auto"/>
        <w:jc w:val="both"/>
        <w:rPr>
          <w:sz w:val="22"/>
          <w:szCs w:val="22"/>
          <w:lang w:val="en-GB"/>
        </w:rPr>
      </w:pPr>
      <w:r w:rsidRPr="000D3441">
        <w:rPr>
          <w:sz w:val="22"/>
          <w:szCs w:val="22"/>
          <w:lang w:val="en-GB"/>
        </w:rPr>
        <w:t>In 2013, according to the World Economic Forum survey</w:t>
      </w:r>
      <w:r>
        <w:rPr>
          <w:rStyle w:val="EndnoteReference"/>
          <w:sz w:val="22"/>
          <w:szCs w:val="22"/>
          <w:lang w:val="en-GB"/>
        </w:rPr>
        <w:endnoteReference w:id="32"/>
      </w:r>
      <w:r w:rsidRPr="000D3441">
        <w:rPr>
          <w:sz w:val="22"/>
          <w:szCs w:val="22"/>
          <w:lang w:val="en-GB"/>
        </w:rPr>
        <w:t>, corruption is perceived by business executives as the most problematic factor for doing business in Armenia, Azerbaijan, Bulgaria, Moldova and Russia, and as the second most problematic factor in Romania (after tax rates) and Ukraine (after access to financing). In Greece and Georgia, access to financing is considered the most problematic factor, while it is tax rates in Turkey.</w:t>
      </w:r>
      <w:r>
        <w:rPr>
          <w:sz w:val="22"/>
          <w:szCs w:val="22"/>
          <w:lang w:val="en-GB"/>
        </w:rPr>
        <w:t xml:space="preserve">  </w:t>
      </w:r>
    </w:p>
    <w:p w14:paraId="3A941447" w14:textId="77777777" w:rsidR="005072B1" w:rsidRPr="004B58D3" w:rsidRDefault="005072B1" w:rsidP="005072B1">
      <w:pPr>
        <w:spacing w:before="120" w:after="0" w:line="252" w:lineRule="auto"/>
        <w:jc w:val="both"/>
        <w:rPr>
          <w:sz w:val="22"/>
          <w:szCs w:val="22"/>
          <w:lang w:val="en-GB"/>
        </w:rPr>
      </w:pPr>
      <w:r>
        <w:rPr>
          <w:sz w:val="22"/>
          <w:szCs w:val="22"/>
          <w:lang w:val="en-GB"/>
        </w:rPr>
        <w:t>I</w:t>
      </w:r>
      <w:r w:rsidRPr="004B58D3">
        <w:rPr>
          <w:sz w:val="22"/>
          <w:szCs w:val="22"/>
          <w:lang w:val="en-GB"/>
        </w:rPr>
        <w:t xml:space="preserve">n 2011 only three countries (Georgia, Azerbaijan and Armenia) attracted </w:t>
      </w:r>
      <w:r>
        <w:rPr>
          <w:sz w:val="22"/>
          <w:szCs w:val="22"/>
          <w:lang w:val="en-GB"/>
        </w:rPr>
        <w:t>foreign direct investment (</w:t>
      </w:r>
      <w:r w:rsidRPr="004B58D3">
        <w:rPr>
          <w:sz w:val="22"/>
          <w:szCs w:val="22"/>
          <w:lang w:val="en-GB"/>
        </w:rPr>
        <w:t>FDI</w:t>
      </w:r>
      <w:r>
        <w:rPr>
          <w:sz w:val="22"/>
          <w:szCs w:val="22"/>
          <w:lang w:val="en-GB"/>
        </w:rPr>
        <w:t>)</w:t>
      </w:r>
      <w:r w:rsidRPr="004B58D3">
        <w:rPr>
          <w:sz w:val="22"/>
          <w:szCs w:val="22"/>
          <w:lang w:val="en-GB"/>
        </w:rPr>
        <w:t xml:space="preserve"> in excess of 5% of GDP against seven countries in 2007</w:t>
      </w:r>
      <w:r>
        <w:rPr>
          <w:sz w:val="22"/>
          <w:szCs w:val="22"/>
          <w:lang w:val="en-GB"/>
        </w:rPr>
        <w:t xml:space="preserve"> (see </w:t>
      </w:r>
      <w:r w:rsidR="00363A14">
        <w:rPr>
          <w:sz w:val="22"/>
          <w:szCs w:val="22"/>
          <w:lang w:val="en-GB"/>
        </w:rPr>
        <w:t>figure 6</w:t>
      </w:r>
      <w:r w:rsidRPr="004B58D3">
        <w:rPr>
          <w:sz w:val="22"/>
          <w:szCs w:val="22"/>
          <w:lang w:val="en-GB"/>
        </w:rPr>
        <w:t xml:space="preserve"> below). The FDI is</w:t>
      </w:r>
      <w:r>
        <w:rPr>
          <w:sz w:val="22"/>
          <w:szCs w:val="22"/>
          <w:lang w:val="en-GB"/>
        </w:rPr>
        <w:t xml:space="preserve"> a</w:t>
      </w:r>
      <w:r w:rsidRPr="004B58D3">
        <w:rPr>
          <w:sz w:val="22"/>
          <w:szCs w:val="22"/>
          <w:lang w:val="en-GB"/>
        </w:rPr>
        <w:t xml:space="preserve"> useful indicator of how the business environment in the eligible territories is perceived by investors, and it shows that the Black Sea region</w:t>
      </w:r>
      <w:r>
        <w:rPr>
          <w:sz w:val="22"/>
          <w:szCs w:val="22"/>
          <w:lang w:val="en-GB"/>
        </w:rPr>
        <w:t xml:space="preserve"> overall</w:t>
      </w:r>
      <w:r w:rsidRPr="004B58D3">
        <w:rPr>
          <w:sz w:val="22"/>
          <w:szCs w:val="22"/>
          <w:lang w:val="en-GB"/>
        </w:rPr>
        <w:t xml:space="preserve"> still suffers from </w:t>
      </w:r>
      <w:r>
        <w:rPr>
          <w:sz w:val="22"/>
          <w:szCs w:val="22"/>
          <w:lang w:val="en-GB"/>
        </w:rPr>
        <w:t>a</w:t>
      </w:r>
      <w:r w:rsidRPr="004B58D3">
        <w:rPr>
          <w:sz w:val="22"/>
          <w:szCs w:val="22"/>
          <w:lang w:val="en-GB"/>
        </w:rPr>
        <w:t xml:space="preserve"> broader risk aversion following the 2008 crisis. </w:t>
      </w:r>
    </w:p>
    <w:p w14:paraId="5DDACDB2" w14:textId="77777777" w:rsidR="005072B1" w:rsidRPr="004B58D3" w:rsidRDefault="005072B1" w:rsidP="006C45B4">
      <w:pPr>
        <w:pStyle w:val="Caption"/>
        <w:spacing w:after="0" w:line="252" w:lineRule="auto"/>
        <w:jc w:val="left"/>
        <w:rPr>
          <w:sz w:val="22"/>
          <w:szCs w:val="22"/>
          <w:lang w:val="en-GB"/>
        </w:rPr>
      </w:pPr>
      <w:r>
        <w:rPr>
          <w:bCs w:val="0"/>
          <w:i w:val="0"/>
          <w:noProof/>
          <w:color w:val="auto"/>
          <w:sz w:val="24"/>
          <w:szCs w:val="24"/>
          <w:lang w:val="en-GB" w:eastAsia="en-GB"/>
        </w:rPr>
        <w:lastRenderedPageBreak/>
        <w:drawing>
          <wp:inline distT="0" distB="0" distL="0" distR="0" wp14:anchorId="78A2894E" wp14:editId="0E7A6176">
            <wp:extent cx="6697345" cy="2335699"/>
            <wp:effectExtent l="0" t="0" r="8255" b="1270"/>
            <wp:docPr id="66"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97345" cy="2335699"/>
                    </a:xfrm>
                    <a:prstGeom prst="rect">
                      <a:avLst/>
                    </a:prstGeom>
                    <a:noFill/>
                    <a:ln>
                      <a:noFill/>
                    </a:ln>
                  </pic:spPr>
                </pic:pic>
              </a:graphicData>
            </a:graphic>
          </wp:inline>
        </w:drawing>
      </w:r>
      <w:proofErr w:type="gramStart"/>
      <w:r w:rsidRPr="004B58D3">
        <w:rPr>
          <w:sz w:val="22"/>
          <w:szCs w:val="22"/>
          <w:lang w:val="en-GB"/>
        </w:rPr>
        <w:t xml:space="preserve">Figure </w:t>
      </w:r>
      <w:r w:rsidR="00957F9B">
        <w:rPr>
          <w:sz w:val="22"/>
          <w:szCs w:val="22"/>
          <w:lang w:val="en-GB"/>
        </w:rPr>
        <w:t>6</w:t>
      </w:r>
      <w:r w:rsidRPr="004B58D3">
        <w:rPr>
          <w:sz w:val="22"/>
          <w:szCs w:val="22"/>
          <w:lang w:val="en-GB"/>
        </w:rPr>
        <w:t>.</w:t>
      </w:r>
      <w:proofErr w:type="gramEnd"/>
      <w:r w:rsidRPr="004B58D3">
        <w:rPr>
          <w:sz w:val="22"/>
          <w:szCs w:val="22"/>
          <w:lang w:val="en-GB"/>
        </w:rPr>
        <w:t xml:space="preserve"> Foreign Direct Investment, as a % of GDP, 2011</w:t>
      </w:r>
      <w:r>
        <w:rPr>
          <w:rStyle w:val="EndnoteReference"/>
          <w:sz w:val="22"/>
          <w:szCs w:val="22"/>
        </w:rPr>
        <w:endnoteReference w:id="33"/>
      </w:r>
    </w:p>
    <w:p w14:paraId="2E1200B4" w14:textId="77777777" w:rsidR="005072B1" w:rsidRPr="004B58D3" w:rsidRDefault="005072B1" w:rsidP="00C51C92">
      <w:pPr>
        <w:spacing w:before="120" w:after="0" w:line="252" w:lineRule="auto"/>
        <w:jc w:val="both"/>
        <w:rPr>
          <w:sz w:val="22"/>
          <w:szCs w:val="22"/>
          <w:lang w:val="en-GB"/>
        </w:rPr>
      </w:pPr>
      <w:r w:rsidRPr="004B58D3">
        <w:rPr>
          <w:sz w:val="22"/>
          <w:szCs w:val="22"/>
          <w:lang w:val="en-GB"/>
        </w:rPr>
        <w:t>The significant emigration since the 1990s, mostly labour emigration, has generated considerable flows of remittances to the Black Sea region</w:t>
      </w:r>
      <w:r w:rsidR="008873DD">
        <w:rPr>
          <w:sz w:val="22"/>
          <w:szCs w:val="22"/>
          <w:lang w:val="en-GB"/>
        </w:rPr>
        <w:t xml:space="preserve"> (see figure 7</w:t>
      </w:r>
      <w:r w:rsidRPr="004B58D3">
        <w:rPr>
          <w:sz w:val="22"/>
          <w:szCs w:val="22"/>
          <w:lang w:val="en-GB"/>
        </w:rPr>
        <w:t xml:space="preserve"> below). </w:t>
      </w:r>
      <w:proofErr w:type="spellStart"/>
      <w:r w:rsidRPr="004B58D3">
        <w:rPr>
          <w:sz w:val="22"/>
          <w:szCs w:val="22"/>
          <w:lang w:val="en-GB"/>
        </w:rPr>
        <w:t>Personnal</w:t>
      </w:r>
      <w:proofErr w:type="spellEnd"/>
      <w:r w:rsidRPr="004B58D3">
        <w:rPr>
          <w:sz w:val="22"/>
          <w:szCs w:val="22"/>
          <w:lang w:val="en-GB"/>
        </w:rPr>
        <w:t xml:space="preserve"> remittances received represent a substantial part of Gross Domestic Product (GDP) for Moldova (23%), Armenia (20%) and Georgia (11%), and is at about the same level as foreign direct investment (FDI) overall for Ukraine. As migrant remittances tend to be more predictable and stable than FDI as a source of foreign exchange, they play an important role in offsetting the balance of trade deficit. Remittances also influence economic activity in the recipient country through the growth of consumer demand, savings and investments, and entrepreneurial activity, and as such represent an opportunity to take advantage of to get maximum benefit for the countries e.g. encouraging the productive investment of remittances</w:t>
      </w:r>
      <w:r w:rsidRPr="004D189B">
        <w:rPr>
          <w:rStyle w:val="EndnoteReference"/>
          <w:sz w:val="22"/>
          <w:szCs w:val="22"/>
        </w:rPr>
        <w:endnoteReference w:id="34"/>
      </w:r>
      <w:r w:rsidRPr="004B58D3">
        <w:rPr>
          <w:rFonts w:cs="Times New Roman"/>
          <w:sz w:val="22"/>
          <w:szCs w:val="22"/>
          <w:lang w:val="en-GB"/>
        </w:rPr>
        <w:t>.</w:t>
      </w:r>
    </w:p>
    <w:p w14:paraId="03B1C778" w14:textId="77777777" w:rsidR="005072B1" w:rsidRPr="004B58D3" w:rsidRDefault="005072B1" w:rsidP="006C45B4">
      <w:pPr>
        <w:widowControl w:val="0"/>
        <w:autoSpaceDE w:val="0"/>
        <w:autoSpaceDN w:val="0"/>
        <w:adjustRightInd w:val="0"/>
        <w:spacing w:after="0" w:line="252" w:lineRule="auto"/>
        <w:rPr>
          <w:rFonts w:ascii="Times New Roman" w:hAnsi="Times New Roman" w:cs="Times New Roman"/>
          <w:i/>
          <w:sz w:val="22"/>
          <w:szCs w:val="22"/>
          <w:lang w:val="en-GB"/>
        </w:rPr>
      </w:pPr>
      <w:r>
        <w:rPr>
          <w:rFonts w:ascii="Times New Roman" w:hAnsi="Times New Roman" w:cs="Times New Roman"/>
          <w:noProof/>
          <w:sz w:val="22"/>
          <w:szCs w:val="22"/>
          <w:lang w:val="en-GB" w:eastAsia="en-GB"/>
        </w:rPr>
        <w:drawing>
          <wp:inline distT="0" distB="0" distL="0" distR="0" wp14:anchorId="07F9A38B" wp14:editId="0F03BD67">
            <wp:extent cx="6697345" cy="2335699"/>
            <wp:effectExtent l="0" t="0" r="8255" b="127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97345" cy="2335699"/>
                    </a:xfrm>
                    <a:prstGeom prst="rect">
                      <a:avLst/>
                    </a:prstGeom>
                    <a:noFill/>
                    <a:ln>
                      <a:noFill/>
                    </a:ln>
                  </pic:spPr>
                </pic:pic>
              </a:graphicData>
            </a:graphic>
          </wp:inline>
        </w:drawing>
      </w:r>
      <w:proofErr w:type="gramStart"/>
      <w:r w:rsidRPr="004B58D3">
        <w:rPr>
          <w:i/>
          <w:sz w:val="22"/>
          <w:szCs w:val="22"/>
          <w:lang w:val="en-GB"/>
        </w:rPr>
        <w:t xml:space="preserve">Figure </w:t>
      </w:r>
      <w:r w:rsidR="00957F9B">
        <w:rPr>
          <w:i/>
          <w:sz w:val="22"/>
          <w:szCs w:val="22"/>
          <w:lang w:val="en-GB"/>
        </w:rPr>
        <w:t>7</w:t>
      </w:r>
      <w:r w:rsidRPr="004B58D3">
        <w:rPr>
          <w:i/>
          <w:sz w:val="22"/>
          <w:szCs w:val="22"/>
          <w:lang w:val="en-GB"/>
        </w:rPr>
        <w:t>.</w:t>
      </w:r>
      <w:proofErr w:type="gramEnd"/>
      <w:r w:rsidRPr="004B58D3">
        <w:rPr>
          <w:i/>
          <w:sz w:val="22"/>
          <w:szCs w:val="22"/>
          <w:lang w:val="en-GB"/>
        </w:rPr>
        <w:t xml:space="preserve"> </w:t>
      </w:r>
      <w:proofErr w:type="spellStart"/>
      <w:r w:rsidRPr="004B58D3">
        <w:rPr>
          <w:i/>
          <w:sz w:val="22"/>
          <w:szCs w:val="22"/>
          <w:lang w:val="en-GB"/>
        </w:rPr>
        <w:t>Personnal</w:t>
      </w:r>
      <w:proofErr w:type="spellEnd"/>
      <w:r w:rsidRPr="004B58D3">
        <w:rPr>
          <w:i/>
          <w:sz w:val="22"/>
          <w:szCs w:val="22"/>
          <w:lang w:val="en-GB"/>
        </w:rPr>
        <w:t xml:space="preserve"> remittances received, as a % of GDP, 2011</w:t>
      </w:r>
      <w:r w:rsidRPr="00ED01AF">
        <w:rPr>
          <w:rStyle w:val="EndnoteReference"/>
          <w:i/>
          <w:sz w:val="22"/>
          <w:szCs w:val="22"/>
        </w:rPr>
        <w:endnoteReference w:id="35"/>
      </w:r>
    </w:p>
    <w:p w14:paraId="563E0469"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The Gross Domestic Product (GDP) per capita figures still reflect large wealth disparities among Black Sea region countries</w:t>
      </w:r>
      <w:r w:rsidR="00C238A8">
        <w:rPr>
          <w:sz w:val="22"/>
          <w:szCs w:val="22"/>
          <w:lang w:val="en-GB"/>
        </w:rPr>
        <w:t xml:space="preserve"> (see figure 8</w:t>
      </w:r>
      <w:r w:rsidRPr="004B58D3">
        <w:rPr>
          <w:sz w:val="22"/>
          <w:szCs w:val="22"/>
          <w:lang w:val="en-GB"/>
        </w:rPr>
        <w:t xml:space="preserve"> below). </w:t>
      </w:r>
      <w:proofErr w:type="gramStart"/>
      <w:r w:rsidRPr="004B58D3">
        <w:rPr>
          <w:sz w:val="22"/>
          <w:szCs w:val="22"/>
          <w:lang w:val="en-GB"/>
        </w:rPr>
        <w:t>GDP per capita in 2012 ranges from $2,038 in Moldova to $22,083 in Greece.</w:t>
      </w:r>
      <w:proofErr w:type="gramEnd"/>
      <w:r w:rsidRPr="004B58D3">
        <w:rPr>
          <w:sz w:val="22"/>
          <w:szCs w:val="22"/>
          <w:lang w:val="en-GB"/>
        </w:rPr>
        <w:t xml:space="preserve"> The average for the region is $8,139, which corresponds to an upper middle income level</w:t>
      </w:r>
      <w:r w:rsidRPr="004D189B">
        <w:rPr>
          <w:rStyle w:val="FootnoteReference"/>
          <w:sz w:val="22"/>
          <w:szCs w:val="22"/>
        </w:rPr>
        <w:footnoteReference w:id="26"/>
      </w:r>
      <w:r w:rsidRPr="004B58D3">
        <w:rPr>
          <w:sz w:val="22"/>
          <w:szCs w:val="22"/>
          <w:lang w:val="en-GB"/>
        </w:rPr>
        <w:t xml:space="preserve">. </w:t>
      </w:r>
    </w:p>
    <w:p w14:paraId="243C045E"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This average is still four times lower than th</w:t>
      </w:r>
      <w:r w:rsidR="00CC7AC7">
        <w:rPr>
          <w:sz w:val="22"/>
          <w:szCs w:val="22"/>
          <w:lang w:val="en-GB"/>
        </w:rPr>
        <w:t>e EU overall figure in 2012 ($3</w:t>
      </w:r>
      <w:r w:rsidRPr="004B58D3">
        <w:rPr>
          <w:sz w:val="22"/>
          <w:szCs w:val="22"/>
          <w:lang w:val="en-GB"/>
        </w:rPr>
        <w:t>2</w:t>
      </w:r>
      <w:r w:rsidR="00CC7AC7">
        <w:rPr>
          <w:sz w:val="22"/>
          <w:szCs w:val="22"/>
          <w:lang w:val="en-GB"/>
        </w:rPr>
        <w:t>,</w:t>
      </w:r>
      <w:r w:rsidRPr="004B58D3">
        <w:rPr>
          <w:sz w:val="22"/>
          <w:szCs w:val="22"/>
          <w:lang w:val="en-GB"/>
        </w:rPr>
        <w:t>677), although, considering it was six times lower in 2006, there has been a convergence over the period, driven by stronger economic growth</w:t>
      </w:r>
      <w:r>
        <w:rPr>
          <w:sz w:val="22"/>
          <w:szCs w:val="22"/>
          <w:lang w:val="en-GB"/>
        </w:rPr>
        <w:t xml:space="preserve"> on average</w:t>
      </w:r>
      <w:r w:rsidRPr="004B58D3">
        <w:rPr>
          <w:sz w:val="22"/>
          <w:szCs w:val="22"/>
          <w:lang w:val="en-GB"/>
        </w:rPr>
        <w:t xml:space="preserve"> </w:t>
      </w:r>
      <w:r w:rsidRPr="000D3441">
        <w:rPr>
          <w:sz w:val="22"/>
          <w:szCs w:val="22"/>
          <w:lang w:val="en-GB"/>
        </w:rPr>
        <w:t>in th</w:t>
      </w:r>
      <w:r w:rsidR="00FB4798">
        <w:rPr>
          <w:sz w:val="22"/>
          <w:szCs w:val="22"/>
          <w:lang w:val="en-GB"/>
        </w:rPr>
        <w:t>e Black Sea region (see figure 5</w:t>
      </w:r>
      <w:r w:rsidRPr="000D3441">
        <w:rPr>
          <w:sz w:val="22"/>
          <w:szCs w:val="22"/>
          <w:lang w:val="en-GB"/>
        </w:rPr>
        <w:t xml:space="preserve"> above). When comparing Purchasing Power Parity (PPP), the </w:t>
      </w:r>
      <w:r w:rsidRPr="000D3441">
        <w:rPr>
          <w:sz w:val="22"/>
          <w:szCs w:val="22"/>
          <w:lang w:val="en-GB"/>
        </w:rPr>
        <w:lastRenderedPageBreak/>
        <w:t>GDP per capita</w:t>
      </w:r>
      <w:r w:rsidRPr="004B58D3">
        <w:rPr>
          <w:sz w:val="22"/>
          <w:szCs w:val="22"/>
          <w:lang w:val="en-GB"/>
        </w:rPr>
        <w:t xml:space="preserve"> gap is even smaller, as Black Sea region average figure is only 2.5 times lower than that for the EU.   </w:t>
      </w:r>
    </w:p>
    <w:p w14:paraId="2D8043EB" w14:textId="77777777" w:rsidR="005072B1" w:rsidRDefault="005072B1" w:rsidP="005072B1">
      <w:pPr>
        <w:keepNext/>
        <w:widowControl w:val="0"/>
        <w:autoSpaceDE w:val="0"/>
        <w:autoSpaceDN w:val="0"/>
        <w:adjustRightInd w:val="0"/>
        <w:spacing w:before="120" w:after="0" w:line="252" w:lineRule="auto"/>
      </w:pPr>
      <w:r>
        <w:rPr>
          <w:noProof/>
          <w:lang w:val="en-GB" w:eastAsia="en-GB"/>
        </w:rPr>
        <w:drawing>
          <wp:inline distT="0" distB="0" distL="0" distR="0" wp14:anchorId="1D85CAD9" wp14:editId="30C3A3AD">
            <wp:extent cx="6697345" cy="2271223"/>
            <wp:effectExtent l="0" t="0" r="8255" b="0"/>
            <wp:docPr id="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97345" cy="2271223"/>
                    </a:xfrm>
                    <a:prstGeom prst="rect">
                      <a:avLst/>
                    </a:prstGeom>
                    <a:noFill/>
                    <a:ln>
                      <a:noFill/>
                    </a:ln>
                  </pic:spPr>
                </pic:pic>
              </a:graphicData>
            </a:graphic>
          </wp:inline>
        </w:drawing>
      </w:r>
    </w:p>
    <w:p w14:paraId="2CBA69EF" w14:textId="77777777" w:rsidR="005072B1" w:rsidRPr="005A12B9" w:rsidRDefault="005072B1" w:rsidP="005A12B9">
      <w:pPr>
        <w:pStyle w:val="Caption"/>
        <w:spacing w:after="0" w:line="252" w:lineRule="auto"/>
        <w:jc w:val="left"/>
        <w:rPr>
          <w:rFonts w:ascii="Times New Roman" w:hAnsi="Times New Roman" w:cs="Times New Roman"/>
          <w:color w:val="1D181A"/>
          <w:sz w:val="22"/>
          <w:szCs w:val="22"/>
          <w:lang w:val="en-GB"/>
        </w:rPr>
      </w:pPr>
      <w:proofErr w:type="gramStart"/>
      <w:r w:rsidRPr="005A12B9">
        <w:rPr>
          <w:sz w:val="22"/>
          <w:szCs w:val="22"/>
          <w:lang w:val="en-GB"/>
        </w:rPr>
        <w:t xml:space="preserve">Figure </w:t>
      </w:r>
      <w:r w:rsidR="00957F9B" w:rsidRPr="005A12B9">
        <w:rPr>
          <w:sz w:val="22"/>
          <w:szCs w:val="22"/>
          <w:lang w:val="en-GB"/>
        </w:rPr>
        <w:t>8</w:t>
      </w:r>
      <w:r w:rsidRPr="005A12B9">
        <w:rPr>
          <w:sz w:val="22"/>
          <w:szCs w:val="22"/>
          <w:lang w:val="en-GB"/>
        </w:rPr>
        <w:t>.</w:t>
      </w:r>
      <w:proofErr w:type="gramEnd"/>
      <w:r w:rsidRPr="005A12B9">
        <w:rPr>
          <w:sz w:val="22"/>
          <w:szCs w:val="22"/>
          <w:lang w:val="en-GB"/>
        </w:rPr>
        <w:t xml:space="preserve"> GDP per capita of Black Sea countries, 2012</w:t>
      </w:r>
      <w:r w:rsidRPr="005A12B9">
        <w:rPr>
          <w:rStyle w:val="EndnoteReference"/>
          <w:sz w:val="22"/>
          <w:szCs w:val="22"/>
        </w:rPr>
        <w:endnoteReference w:id="36"/>
      </w:r>
    </w:p>
    <w:p w14:paraId="067ECE52" w14:textId="77777777" w:rsidR="005072B1" w:rsidRDefault="005072B1" w:rsidP="005072B1">
      <w:pPr>
        <w:spacing w:before="120" w:after="0" w:line="252" w:lineRule="auto"/>
        <w:jc w:val="both"/>
        <w:rPr>
          <w:sz w:val="22"/>
          <w:szCs w:val="22"/>
          <w:lang w:val="en-GB"/>
        </w:rPr>
      </w:pPr>
      <w:r w:rsidRPr="000D3441">
        <w:rPr>
          <w:sz w:val="22"/>
          <w:szCs w:val="22"/>
          <w:lang w:val="en-GB"/>
        </w:rPr>
        <w:t>Disparities among Black Sea countries have also reduced over the last few years, mostly due to the different countries growth rates but also to a lesser extent to their disparate demographic trends, notably affected by emigration</w:t>
      </w:r>
      <w:r w:rsidRPr="000D3441">
        <w:rPr>
          <w:rStyle w:val="FootnoteReference"/>
          <w:sz w:val="22"/>
          <w:szCs w:val="22"/>
          <w:lang w:val="en-GB"/>
        </w:rPr>
        <w:footnoteReference w:id="27"/>
      </w:r>
      <w:r w:rsidRPr="000D3441">
        <w:rPr>
          <w:sz w:val="22"/>
          <w:szCs w:val="22"/>
          <w:lang w:val="en-GB"/>
        </w:rPr>
        <w:t>. As a</w:t>
      </w:r>
      <w:r w:rsidRPr="00FD5F88">
        <w:rPr>
          <w:sz w:val="22"/>
          <w:szCs w:val="22"/>
          <w:lang w:val="en-GB"/>
        </w:rPr>
        <w:t xml:space="preserve"> result the ratio in 2006 of 1 to 22 between the lowest (Moldova) and highest (Greece) GDP per capita figures, dropped to 1 to 11 in 2012 for nominal GDP, </w:t>
      </w:r>
      <w:r w:rsidR="00F259B6">
        <w:rPr>
          <w:sz w:val="22"/>
          <w:szCs w:val="22"/>
          <w:lang w:val="en-GB"/>
        </w:rPr>
        <w:t xml:space="preserve">and 1 to 7 for PPP (see figure 8 </w:t>
      </w:r>
      <w:r>
        <w:rPr>
          <w:sz w:val="22"/>
          <w:szCs w:val="22"/>
          <w:lang w:val="en-GB"/>
        </w:rPr>
        <w:t>above</w:t>
      </w:r>
      <w:r w:rsidRPr="00FD5F88">
        <w:rPr>
          <w:sz w:val="22"/>
          <w:szCs w:val="22"/>
          <w:lang w:val="en-GB"/>
        </w:rPr>
        <w:t>).</w:t>
      </w:r>
    </w:p>
    <w:p w14:paraId="49BDC0C2"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The economic structure in the Black Sea Basin eligible area still shows overall a larger share of agricultural and industrial sectors than the EU average. In terms of economic structure, the countries have in common a long-term decline of the agricultural sector, the rapid growth of the services sector, and the fact that on the expenditure side the private sector accounts for most of the incremental economic growth, led notably by consumer demand</w:t>
      </w:r>
      <w:r w:rsidRPr="004D189B">
        <w:rPr>
          <w:rStyle w:val="EndnoteReference"/>
          <w:sz w:val="22"/>
          <w:szCs w:val="22"/>
        </w:rPr>
        <w:endnoteReference w:id="37"/>
      </w:r>
      <w:r w:rsidRPr="004B58D3">
        <w:rPr>
          <w:sz w:val="22"/>
          <w:szCs w:val="22"/>
          <w:lang w:val="en-GB"/>
        </w:rPr>
        <w:t xml:space="preserve">. </w:t>
      </w:r>
    </w:p>
    <w:p w14:paraId="0F98A952" w14:textId="77777777" w:rsidR="005072B1" w:rsidRDefault="005072B1" w:rsidP="005072B1">
      <w:pPr>
        <w:spacing w:before="120" w:after="0" w:line="252" w:lineRule="auto"/>
        <w:jc w:val="both"/>
        <w:rPr>
          <w:sz w:val="22"/>
          <w:szCs w:val="22"/>
          <w:lang w:val="en-GB"/>
        </w:rPr>
      </w:pPr>
      <w:r w:rsidRPr="004B58D3">
        <w:rPr>
          <w:sz w:val="22"/>
          <w:szCs w:val="22"/>
          <w:lang w:val="en-GB"/>
        </w:rPr>
        <w:t>However the economies of the Black Sea region are very diverse in their structure, e.g. Armenia and Moldova rely on their agricultural sectors, while e.g. Ukraine is still dependent on low value added ‘heavy’ industry. Most countries are energy importers, but there are also two energy exporters (Russia and Azerbaijan), who rely on these exports to fuel their growth and face the challenge of diversifying their economies. Even service sector growth tends to take different forms. In some cases retail is more significant, though to varying degrees financial services, tourism, and transport and shipping also play important roles</w:t>
      </w:r>
      <w:r w:rsidRPr="004D189B">
        <w:rPr>
          <w:rStyle w:val="EndnoteReference"/>
          <w:sz w:val="22"/>
          <w:szCs w:val="22"/>
        </w:rPr>
        <w:endnoteReference w:id="38"/>
      </w:r>
      <w:r w:rsidRPr="004B58D3">
        <w:rPr>
          <w:sz w:val="22"/>
          <w:szCs w:val="22"/>
          <w:lang w:val="en-GB"/>
        </w:rPr>
        <w:t>. This may generate complementarities within which regional cooperation may develop.</w:t>
      </w:r>
    </w:p>
    <w:p w14:paraId="6EA47645" w14:textId="77777777" w:rsidR="005072B1" w:rsidRPr="00002063" w:rsidRDefault="005072B1" w:rsidP="001024F6">
      <w:pPr>
        <w:spacing w:before="240" w:after="120" w:line="264" w:lineRule="auto"/>
        <w:rPr>
          <w:b/>
          <w:bCs/>
          <w:lang w:val="en-GB"/>
        </w:rPr>
      </w:pPr>
      <w:bookmarkStart w:id="26" w:name="_Toc246127424"/>
      <w:r w:rsidRPr="00002063">
        <w:rPr>
          <w:b/>
          <w:bCs/>
          <w:lang w:val="en-GB"/>
        </w:rPr>
        <w:t>Small and Medium Enterprises</w:t>
      </w:r>
      <w:bookmarkEnd w:id="26"/>
    </w:p>
    <w:p w14:paraId="365A19D9" w14:textId="77777777" w:rsidR="005072B1" w:rsidRDefault="005072B1" w:rsidP="005072B1">
      <w:pPr>
        <w:spacing w:before="120" w:after="0" w:line="252" w:lineRule="auto"/>
        <w:jc w:val="both"/>
        <w:rPr>
          <w:sz w:val="22"/>
          <w:szCs w:val="22"/>
          <w:lang w:val="en-GB"/>
        </w:rPr>
      </w:pPr>
      <w:r w:rsidRPr="004B58D3">
        <w:rPr>
          <w:sz w:val="22"/>
          <w:szCs w:val="22"/>
          <w:lang w:val="en-GB"/>
        </w:rPr>
        <w:t>Small and medium enterprises (SMEs)</w:t>
      </w:r>
      <w:r w:rsidRPr="004B58D3">
        <w:rPr>
          <w:rStyle w:val="FootnoteReference"/>
          <w:rFonts w:eastAsia="Times New Roman" w:cs="Times New Roman"/>
          <w:sz w:val="22"/>
          <w:szCs w:val="22"/>
          <w:lang w:val="en-GB"/>
        </w:rPr>
        <w:t xml:space="preserve"> </w:t>
      </w:r>
      <w:r w:rsidRPr="004D189B">
        <w:rPr>
          <w:rStyle w:val="FootnoteReference"/>
          <w:rFonts w:eastAsia="Times New Roman" w:cs="Times New Roman"/>
          <w:sz w:val="22"/>
          <w:szCs w:val="22"/>
        </w:rPr>
        <w:footnoteReference w:id="28"/>
      </w:r>
      <w:r w:rsidRPr="004B58D3">
        <w:rPr>
          <w:rFonts w:eastAsia="Times New Roman" w:cs="Times New Roman"/>
          <w:sz w:val="22"/>
          <w:szCs w:val="22"/>
          <w:lang w:val="en-GB"/>
        </w:rPr>
        <w:t xml:space="preserve"> </w:t>
      </w:r>
      <w:r w:rsidRPr="004B58D3">
        <w:rPr>
          <w:sz w:val="22"/>
          <w:szCs w:val="22"/>
          <w:lang w:val="en-GB"/>
        </w:rPr>
        <w:t>in the ENI CBC Black Sea Basin eligible area</w:t>
      </w:r>
      <w:r w:rsidRPr="004D189B">
        <w:rPr>
          <w:rStyle w:val="FootnoteReference"/>
          <w:sz w:val="22"/>
          <w:szCs w:val="22"/>
        </w:rPr>
        <w:footnoteReference w:id="29"/>
      </w:r>
      <w:r w:rsidRPr="004B58D3">
        <w:rPr>
          <w:sz w:val="22"/>
          <w:szCs w:val="22"/>
          <w:lang w:val="en-GB"/>
        </w:rPr>
        <w:t xml:space="preserve"> represent 99% of all enterprises, which is similar to the EU overall. SMEs play an important role as key engines for economic </w:t>
      </w:r>
      <w:proofErr w:type="gramStart"/>
      <w:r w:rsidRPr="004B58D3">
        <w:rPr>
          <w:sz w:val="22"/>
          <w:szCs w:val="22"/>
          <w:lang w:val="en-GB"/>
        </w:rPr>
        <w:t>growth,</w:t>
      </w:r>
      <w:proofErr w:type="gramEnd"/>
      <w:r w:rsidRPr="004B58D3">
        <w:rPr>
          <w:sz w:val="22"/>
          <w:szCs w:val="22"/>
          <w:lang w:val="en-GB"/>
        </w:rPr>
        <w:t xml:space="preserve"> provide more than half of all employment and more than a third of gross value added</w:t>
      </w:r>
      <w:r w:rsidRPr="004D189B">
        <w:rPr>
          <w:rStyle w:val="FootnoteReference"/>
          <w:sz w:val="22"/>
          <w:szCs w:val="22"/>
        </w:rPr>
        <w:footnoteReference w:id="30"/>
      </w:r>
      <w:r w:rsidRPr="004B58D3">
        <w:rPr>
          <w:sz w:val="22"/>
          <w:szCs w:val="22"/>
          <w:lang w:val="en-GB"/>
        </w:rPr>
        <w:t>. There is still potential for growth, in particular in the Eastern part of the Basin, considering these overall figures are below EU and OECD averages, where SMEs account for two-third of the employment and more than half the value added</w:t>
      </w:r>
      <w:r w:rsidRPr="004D189B">
        <w:rPr>
          <w:rStyle w:val="EndnoteReference"/>
          <w:sz w:val="22"/>
          <w:szCs w:val="22"/>
        </w:rPr>
        <w:endnoteReference w:id="39"/>
      </w:r>
      <w:r w:rsidRPr="004B58D3">
        <w:rPr>
          <w:sz w:val="22"/>
          <w:szCs w:val="22"/>
          <w:lang w:val="en-GB"/>
        </w:rPr>
        <w:t xml:space="preserve">. </w:t>
      </w:r>
    </w:p>
    <w:p w14:paraId="399E5926" w14:textId="77777777" w:rsidR="005072B1" w:rsidRPr="004B58D3" w:rsidRDefault="005072B1" w:rsidP="005072B1">
      <w:pPr>
        <w:spacing w:before="120" w:after="0" w:line="252" w:lineRule="auto"/>
        <w:jc w:val="both"/>
        <w:rPr>
          <w:rFonts w:eastAsia="Times New Roman" w:cs="Times New Roman"/>
          <w:sz w:val="22"/>
          <w:szCs w:val="22"/>
          <w:lang w:val="en-GB"/>
        </w:rPr>
      </w:pPr>
      <w:r w:rsidRPr="004B58D3">
        <w:rPr>
          <w:rFonts w:eastAsia="Times New Roman" w:cs="Times New Roman"/>
          <w:sz w:val="22"/>
          <w:szCs w:val="22"/>
          <w:lang w:val="en-GB"/>
        </w:rPr>
        <w:lastRenderedPageBreak/>
        <w:t>Access to financing continues to be one of the most significant challenges for the creation, survival and growth of SMEs, especially innovative ones, a problem that has been strongly exacerbated by the financial crisis.</w:t>
      </w:r>
      <w:r w:rsidRPr="004B58D3">
        <w:rPr>
          <w:rFonts w:cs="Times New Roman"/>
          <w:sz w:val="22"/>
          <w:szCs w:val="22"/>
          <w:lang w:val="en-GB"/>
        </w:rPr>
        <w:t xml:space="preserve"> </w:t>
      </w:r>
      <w:r w:rsidRPr="004B58D3">
        <w:rPr>
          <w:sz w:val="22"/>
          <w:szCs w:val="22"/>
          <w:lang w:val="en-GB"/>
        </w:rPr>
        <w:t xml:space="preserve">Business incubators, clusters of innovative SMEs, science and technology parks and development agencies may play an important role in facilitating appropriate access to financing for SMEs at local and regional levels. Cities and regions may underpin and strengthen this function through partnerships with private financial institutions and universities. </w:t>
      </w:r>
    </w:p>
    <w:p w14:paraId="0ACECCF1" w14:textId="77777777" w:rsidR="005072B1" w:rsidRDefault="005072B1" w:rsidP="005072B1">
      <w:pPr>
        <w:spacing w:before="120" w:after="0" w:line="252" w:lineRule="auto"/>
        <w:jc w:val="both"/>
        <w:rPr>
          <w:rFonts w:eastAsia="Times New Roman" w:cs="Times New Roman"/>
          <w:sz w:val="22"/>
          <w:szCs w:val="22"/>
          <w:lang w:val="en-GB"/>
        </w:rPr>
      </w:pPr>
      <w:r w:rsidRPr="004B58D3">
        <w:rPr>
          <w:rFonts w:eastAsia="Times New Roman" w:cs="Times New Roman"/>
          <w:sz w:val="22"/>
          <w:szCs w:val="22"/>
          <w:lang w:val="en-GB"/>
        </w:rPr>
        <w:t>Other challenges to further development for SMEs in the Black Sea Basin include easing the administrative burden on small businesses, supporting entrepreneurship development and skills upgrading, supporting technology diffusion and SME access to international markets. This could provide opportunities in particular for the development of important regional sectors such as agribusiness, information and communication technologies (ICT), tourism and construction</w:t>
      </w:r>
      <w:r w:rsidRPr="004D189B">
        <w:rPr>
          <w:rStyle w:val="EndnoteReference"/>
          <w:rFonts w:eastAsia="Times New Roman" w:cs="Times New Roman"/>
          <w:sz w:val="22"/>
          <w:szCs w:val="22"/>
        </w:rPr>
        <w:endnoteReference w:id="40"/>
      </w:r>
      <w:r w:rsidRPr="004B58D3">
        <w:rPr>
          <w:rFonts w:eastAsia="Times New Roman" w:cs="Times New Roman"/>
          <w:sz w:val="22"/>
          <w:szCs w:val="22"/>
          <w:lang w:val="en-GB"/>
        </w:rPr>
        <w:t>.</w:t>
      </w:r>
    </w:p>
    <w:p w14:paraId="3A98EDA0" w14:textId="0C21D35B" w:rsidR="005072B1" w:rsidRDefault="005072B1" w:rsidP="005072B1">
      <w:pPr>
        <w:spacing w:before="120" w:after="0" w:line="252" w:lineRule="auto"/>
        <w:jc w:val="both"/>
        <w:rPr>
          <w:rFonts w:eastAsia="Times New Roman" w:cs="Times New Roman"/>
          <w:sz w:val="22"/>
          <w:szCs w:val="22"/>
          <w:lang w:val="en-GB"/>
        </w:rPr>
      </w:pPr>
      <w:r w:rsidRPr="000D3441">
        <w:rPr>
          <w:rFonts w:eastAsia="Times New Roman" w:cs="Times New Roman"/>
          <w:sz w:val="22"/>
          <w:szCs w:val="22"/>
          <w:lang w:val="en-GB"/>
        </w:rPr>
        <w:t xml:space="preserve">A comparison of business regulations for small and medium-size enterprises in Black Sea Basin countries reveals great discrepancies, an uneven path of reforms as well as a large potential for exchange of good practices among countries </w:t>
      </w:r>
      <w:r>
        <w:rPr>
          <w:rFonts w:eastAsia="Times New Roman" w:cs="Times New Roman"/>
          <w:sz w:val="22"/>
          <w:szCs w:val="22"/>
          <w:lang w:val="en-GB"/>
        </w:rPr>
        <w:t>(see Table 3</w:t>
      </w:r>
      <w:r w:rsidRPr="000D3441">
        <w:rPr>
          <w:rFonts w:eastAsia="Times New Roman" w:cs="Times New Roman"/>
          <w:sz w:val="22"/>
          <w:szCs w:val="22"/>
          <w:lang w:val="en-GB"/>
        </w:rPr>
        <w:t xml:space="preserve"> below). Some countries have achieved considerable success in improving the regulations that enhance business activity and now rank among the most business-friendly </w:t>
      </w:r>
      <w:r w:rsidR="00DB08B2">
        <w:rPr>
          <w:rFonts w:eastAsia="Times New Roman" w:cs="Times New Roman"/>
          <w:sz w:val="22"/>
          <w:szCs w:val="22"/>
          <w:lang w:val="en-GB"/>
        </w:rPr>
        <w:t>environments worldwide</w:t>
      </w:r>
      <w:r w:rsidRPr="000D3441">
        <w:rPr>
          <w:rFonts w:eastAsia="Times New Roman" w:cs="Times New Roman"/>
          <w:sz w:val="22"/>
          <w:szCs w:val="22"/>
          <w:lang w:val="en-GB"/>
        </w:rPr>
        <w:t>. Georgia stands out as a top improver since 2005, both regionally and worldwide, focusing first on reducing the complexity and cost of regulatory processes (in such areas as business start-up, construction permits, property registration) then strengthening legal institutions relevant to bu</w:t>
      </w:r>
      <w:r w:rsidR="004D6B28">
        <w:rPr>
          <w:rFonts w:eastAsia="Times New Roman" w:cs="Times New Roman"/>
          <w:sz w:val="22"/>
          <w:szCs w:val="22"/>
          <w:lang w:val="en-GB"/>
        </w:rPr>
        <w:t>siness regulation (in such area</w:t>
      </w:r>
      <w:r w:rsidRPr="000D3441">
        <w:rPr>
          <w:rFonts w:eastAsia="Times New Roman" w:cs="Times New Roman"/>
          <w:sz w:val="22"/>
          <w:szCs w:val="22"/>
          <w:lang w:val="en-GB"/>
        </w:rPr>
        <w:t xml:space="preserve"> as getting credit)</w:t>
      </w:r>
      <w:r w:rsidRPr="000D3441">
        <w:rPr>
          <w:rStyle w:val="EndnoteReference"/>
          <w:rFonts w:eastAsia="Times New Roman" w:cs="Times New Roman"/>
          <w:sz w:val="22"/>
          <w:szCs w:val="22"/>
          <w:lang w:val="en-GB"/>
        </w:rPr>
        <w:endnoteReference w:id="41"/>
      </w:r>
      <w:r w:rsidRPr="000D3441">
        <w:rPr>
          <w:rFonts w:eastAsia="Times New Roman" w:cs="Times New Roman"/>
          <w:sz w:val="22"/>
          <w:szCs w:val="22"/>
          <w:lang w:val="en-GB"/>
        </w:rPr>
        <w:t>. Aiming for economic recovery, Greece has recently considerably imp</w:t>
      </w:r>
      <w:r w:rsidR="00DB08B2">
        <w:rPr>
          <w:rFonts w:eastAsia="Times New Roman" w:cs="Times New Roman"/>
          <w:sz w:val="22"/>
          <w:szCs w:val="22"/>
          <w:lang w:val="en-GB"/>
        </w:rPr>
        <w:t>roved its regulatory framework</w:t>
      </w:r>
      <w:r w:rsidRPr="000D3441">
        <w:rPr>
          <w:rFonts w:eastAsia="Times New Roman" w:cs="Times New Roman"/>
          <w:sz w:val="22"/>
          <w:szCs w:val="22"/>
          <w:lang w:val="en-GB"/>
        </w:rPr>
        <w:t>.</w:t>
      </w:r>
    </w:p>
    <w:p w14:paraId="17E0F62F" w14:textId="77777777" w:rsidR="005072B1" w:rsidRPr="006916CA" w:rsidRDefault="005072B1" w:rsidP="005072B1">
      <w:pPr>
        <w:spacing w:before="120" w:after="0" w:line="252" w:lineRule="auto"/>
        <w:jc w:val="both"/>
        <w:rPr>
          <w:rFonts w:eastAsia="Times New Roman" w:cs="Times New Roman"/>
          <w:sz w:val="22"/>
          <w:szCs w:val="22"/>
          <w:lang w:val="en-GB"/>
        </w:rPr>
      </w:pPr>
    </w:p>
    <w:tbl>
      <w:tblPr>
        <w:tblStyle w:val="LightGrid-Accent4"/>
        <w:tblpPr w:leftFromText="141" w:rightFromText="141" w:horzAnchor="page" w:tblpX="588"/>
        <w:tblW w:w="11165" w:type="dxa"/>
        <w:tblLayout w:type="fixed"/>
        <w:tblLook w:val="04A0" w:firstRow="1" w:lastRow="0" w:firstColumn="1" w:lastColumn="0" w:noHBand="0" w:noVBand="1"/>
      </w:tblPr>
      <w:tblGrid>
        <w:gridCol w:w="1013"/>
        <w:gridCol w:w="655"/>
        <w:gridCol w:w="708"/>
        <w:gridCol w:w="709"/>
        <w:gridCol w:w="851"/>
        <w:gridCol w:w="850"/>
        <w:gridCol w:w="709"/>
        <w:gridCol w:w="851"/>
        <w:gridCol w:w="18"/>
        <w:gridCol w:w="691"/>
        <w:gridCol w:w="18"/>
        <w:gridCol w:w="833"/>
        <w:gridCol w:w="18"/>
        <w:gridCol w:w="690"/>
        <w:gridCol w:w="18"/>
        <w:gridCol w:w="771"/>
        <w:gridCol w:w="18"/>
        <w:gridCol w:w="893"/>
        <w:gridCol w:w="851"/>
      </w:tblGrid>
      <w:tr w:rsidR="00744256" w:rsidRPr="003160E7" w14:paraId="28A8ED03" w14:textId="77777777" w:rsidTr="00744256">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13" w:type="dxa"/>
            <w:hideMark/>
          </w:tcPr>
          <w:p w14:paraId="2C51217F" w14:textId="77777777" w:rsidR="00A04630" w:rsidRPr="00BC768C" w:rsidRDefault="00A04630" w:rsidP="005072B1">
            <w:pPr>
              <w:jc w:val="center"/>
              <w:rPr>
                <w:rFonts w:ascii="Calibri" w:eastAsia="Times New Roman" w:hAnsi="Calibri" w:cs="Times New Roman"/>
                <w:bCs w:val="0"/>
                <w:color w:val="000000"/>
                <w:sz w:val="18"/>
                <w:szCs w:val="18"/>
              </w:rPr>
            </w:pPr>
            <w:proofErr w:type="spellStart"/>
            <w:r w:rsidRPr="00BC768C">
              <w:rPr>
                <w:rFonts w:ascii="Calibri" w:eastAsia="Times New Roman" w:hAnsi="Calibri" w:cs="Times New Roman"/>
                <w:bCs w:val="0"/>
                <w:color w:val="000000"/>
                <w:sz w:val="18"/>
                <w:szCs w:val="18"/>
              </w:rPr>
              <w:t>Economy</w:t>
            </w:r>
            <w:proofErr w:type="spellEnd"/>
          </w:p>
        </w:tc>
        <w:tc>
          <w:tcPr>
            <w:tcW w:w="655" w:type="dxa"/>
            <w:hideMark/>
          </w:tcPr>
          <w:p w14:paraId="3F7ED65C" w14:textId="77777777" w:rsidR="00A04630" w:rsidRPr="00BC768C" w:rsidRDefault="00A04630"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EDB Rank 2007</w:t>
            </w:r>
          </w:p>
        </w:tc>
        <w:tc>
          <w:tcPr>
            <w:tcW w:w="708" w:type="dxa"/>
            <w:hideMark/>
          </w:tcPr>
          <w:p w14:paraId="7FF25D5C" w14:textId="2A2E5286" w:rsidR="00A04630" w:rsidRDefault="00A04630" w:rsidP="00200D0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 xml:space="preserve">EDB Rank </w:t>
            </w:r>
          </w:p>
          <w:p w14:paraId="0FF49FBD" w14:textId="4E20B393" w:rsidR="00A04630" w:rsidRPr="00110AEC" w:rsidRDefault="00A04630" w:rsidP="00200D0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lang w:val="bg-BG"/>
              </w:rPr>
            </w:pPr>
            <w:r>
              <w:rPr>
                <w:rFonts w:ascii="Calibri" w:eastAsia="Times New Roman" w:hAnsi="Calibri" w:cs="Times New Roman"/>
                <w:bCs w:val="0"/>
                <w:color w:val="000000"/>
                <w:sz w:val="18"/>
                <w:szCs w:val="18"/>
              </w:rPr>
              <w:t>201</w:t>
            </w:r>
            <w:r w:rsidR="007E3559">
              <w:rPr>
                <w:rFonts w:ascii="Calibri" w:eastAsia="Times New Roman" w:hAnsi="Calibri" w:cs="Times New Roman"/>
                <w:bCs w:val="0"/>
                <w:color w:val="000000"/>
                <w:sz w:val="18"/>
                <w:szCs w:val="18"/>
              </w:rPr>
              <w:t>2</w:t>
            </w:r>
          </w:p>
        </w:tc>
        <w:tc>
          <w:tcPr>
            <w:tcW w:w="709" w:type="dxa"/>
          </w:tcPr>
          <w:p w14:paraId="786D233E" w14:textId="6B2033D8" w:rsidR="00A04630" w:rsidRPr="00AA16CB" w:rsidRDefault="00A04630" w:rsidP="005072B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sz w:val="18"/>
                <w:szCs w:val="18"/>
              </w:rPr>
            </w:pPr>
            <w:r w:rsidRPr="00AA16CB">
              <w:rPr>
                <w:rFonts w:ascii="Calibri" w:eastAsia="Times New Roman" w:hAnsi="Calibri" w:cs="Times New Roman"/>
                <w:bCs w:val="0"/>
                <w:color w:val="000000"/>
                <w:sz w:val="18"/>
                <w:szCs w:val="18"/>
              </w:rPr>
              <w:t>EDB Rank 2014</w:t>
            </w:r>
          </w:p>
        </w:tc>
        <w:tc>
          <w:tcPr>
            <w:tcW w:w="851" w:type="dxa"/>
            <w:hideMark/>
          </w:tcPr>
          <w:p w14:paraId="36A0DF51" w14:textId="7692CA70"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Starting</w:t>
            </w:r>
            <w:proofErr w:type="spellEnd"/>
            <w:r w:rsidRPr="001F1F99">
              <w:rPr>
                <w:rFonts w:ascii="Abadi MT Condensed Light" w:eastAsia="Times New Roman" w:hAnsi="Abadi MT Condensed Light" w:cs="Times New Roman"/>
                <w:b w:val="0"/>
                <w:bCs w:val="0"/>
                <w:color w:val="000000"/>
                <w:sz w:val="19"/>
                <w:szCs w:val="19"/>
              </w:rPr>
              <w:t xml:space="preserve"> a Business</w:t>
            </w:r>
          </w:p>
        </w:tc>
        <w:tc>
          <w:tcPr>
            <w:tcW w:w="850" w:type="dxa"/>
            <w:hideMark/>
          </w:tcPr>
          <w:p w14:paraId="54A3EF1B" w14:textId="25E50917" w:rsidR="00A04630" w:rsidRPr="00F04553" w:rsidRDefault="00744256" w:rsidP="001F1F99">
            <w:pPr>
              <w:tabs>
                <w:tab w:val="left" w:pos="5670"/>
              </w:tabs>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lang w:val="en-GB"/>
              </w:rPr>
            </w:pPr>
            <w:r w:rsidRPr="00F04553">
              <w:rPr>
                <w:rFonts w:ascii="Abadi MT Condensed Light" w:eastAsia="Times New Roman" w:hAnsi="Abadi MT Condensed Light" w:cs="Times New Roman"/>
                <w:b w:val="0"/>
                <w:color w:val="000000"/>
                <w:sz w:val="19"/>
                <w:szCs w:val="19"/>
                <w:lang w:val="en-GB"/>
              </w:rPr>
              <w:t xml:space="preserve">Dealing with </w:t>
            </w:r>
            <w:proofErr w:type="spellStart"/>
            <w:r w:rsidRPr="00F04553">
              <w:rPr>
                <w:rFonts w:ascii="Abadi MT Condensed Light" w:eastAsia="Times New Roman" w:hAnsi="Abadi MT Condensed Light" w:cs="Times New Roman"/>
                <w:b w:val="0"/>
                <w:color w:val="000000"/>
                <w:sz w:val="19"/>
                <w:szCs w:val="19"/>
                <w:lang w:val="en-GB"/>
              </w:rPr>
              <w:t>Constru</w:t>
            </w:r>
            <w:r w:rsidR="00A04630" w:rsidRPr="00F04553">
              <w:rPr>
                <w:rFonts w:ascii="Abadi MT Condensed Light" w:eastAsia="Times New Roman" w:hAnsi="Abadi MT Condensed Light" w:cs="Times New Roman"/>
                <w:b w:val="0"/>
                <w:color w:val="000000"/>
                <w:sz w:val="19"/>
                <w:szCs w:val="19"/>
                <w:lang w:val="en-GB"/>
              </w:rPr>
              <w:t>c</w:t>
            </w:r>
            <w:proofErr w:type="spellEnd"/>
            <w:r w:rsidRPr="00F04553">
              <w:rPr>
                <w:rFonts w:ascii="Abadi MT Condensed Light" w:eastAsia="Times New Roman" w:hAnsi="Abadi MT Condensed Light" w:cs="Times New Roman"/>
                <w:b w:val="0"/>
                <w:color w:val="000000"/>
                <w:sz w:val="19"/>
                <w:szCs w:val="19"/>
                <w:lang w:val="en-GB"/>
              </w:rPr>
              <w:t xml:space="preserve">- </w:t>
            </w:r>
            <w:proofErr w:type="spellStart"/>
            <w:r w:rsidR="00A04630" w:rsidRPr="00F04553">
              <w:rPr>
                <w:rFonts w:ascii="Abadi MT Condensed Light" w:eastAsia="Times New Roman" w:hAnsi="Abadi MT Condensed Light" w:cs="Times New Roman"/>
                <w:b w:val="0"/>
                <w:color w:val="000000"/>
                <w:sz w:val="19"/>
                <w:szCs w:val="19"/>
                <w:lang w:val="en-GB"/>
              </w:rPr>
              <w:t>tion</w:t>
            </w:r>
            <w:proofErr w:type="spellEnd"/>
            <w:r w:rsidR="00A04630" w:rsidRPr="00F04553">
              <w:rPr>
                <w:rFonts w:ascii="Abadi MT Condensed Light" w:eastAsia="Times New Roman" w:hAnsi="Abadi MT Condensed Light" w:cs="Times New Roman"/>
                <w:b w:val="0"/>
                <w:color w:val="000000"/>
                <w:sz w:val="19"/>
                <w:szCs w:val="19"/>
                <w:lang w:val="en-GB"/>
              </w:rPr>
              <w:t xml:space="preserve"> Permits</w:t>
            </w:r>
          </w:p>
        </w:tc>
        <w:tc>
          <w:tcPr>
            <w:tcW w:w="709" w:type="dxa"/>
            <w:hideMark/>
          </w:tcPr>
          <w:p w14:paraId="3018BFFE" w14:textId="6D639E42" w:rsidR="00A04630" w:rsidRPr="001F1F99" w:rsidRDefault="00F8049A"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Pr>
                <w:rFonts w:ascii="Abadi MT Condensed Light" w:eastAsia="Times New Roman" w:hAnsi="Abadi MT Condensed Light" w:cs="Times New Roman"/>
                <w:b w:val="0"/>
                <w:bCs w:val="0"/>
                <w:color w:val="000000"/>
                <w:sz w:val="19"/>
                <w:szCs w:val="19"/>
              </w:rPr>
              <w:t>Getting</w:t>
            </w:r>
            <w:proofErr w:type="spellEnd"/>
            <w:r>
              <w:rPr>
                <w:rFonts w:ascii="Abadi MT Condensed Light" w:eastAsia="Times New Roman" w:hAnsi="Abadi MT Condensed Light" w:cs="Times New Roman"/>
                <w:b w:val="0"/>
                <w:bCs w:val="0"/>
                <w:color w:val="000000"/>
                <w:sz w:val="19"/>
                <w:szCs w:val="19"/>
              </w:rPr>
              <w:t xml:space="preserve"> </w:t>
            </w:r>
            <w:proofErr w:type="spellStart"/>
            <w:r>
              <w:rPr>
                <w:rFonts w:ascii="Abadi MT Condensed Light" w:eastAsia="Times New Roman" w:hAnsi="Abadi MT Condensed Light" w:cs="Times New Roman"/>
                <w:b w:val="0"/>
                <w:bCs w:val="0"/>
                <w:color w:val="000000"/>
                <w:sz w:val="19"/>
                <w:szCs w:val="19"/>
              </w:rPr>
              <w:t>Electri</w:t>
            </w:r>
            <w:proofErr w:type="spellEnd"/>
            <w:r>
              <w:rPr>
                <w:rFonts w:ascii="Abadi MT Condensed Light" w:eastAsia="Times New Roman" w:hAnsi="Abadi MT Condensed Light" w:cs="Times New Roman"/>
                <w:b w:val="0"/>
                <w:bCs w:val="0"/>
                <w:color w:val="000000"/>
                <w:sz w:val="19"/>
                <w:szCs w:val="19"/>
              </w:rPr>
              <w:t>-city</w:t>
            </w:r>
          </w:p>
        </w:tc>
        <w:tc>
          <w:tcPr>
            <w:tcW w:w="851" w:type="dxa"/>
            <w:hideMark/>
          </w:tcPr>
          <w:p w14:paraId="408A3D4E" w14:textId="29ED9B4A"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Registe</w:t>
            </w:r>
            <w:proofErr w:type="spellEnd"/>
            <w:r w:rsidR="00744256">
              <w:rPr>
                <w:rFonts w:ascii="Abadi MT Condensed Light" w:eastAsia="Times New Roman" w:hAnsi="Abadi MT Condensed Light" w:cs="Times New Roman"/>
                <w:b w:val="0"/>
                <w:bCs w:val="0"/>
                <w:color w:val="000000"/>
                <w:sz w:val="19"/>
                <w:szCs w:val="19"/>
              </w:rPr>
              <w:t xml:space="preserve">- </w:t>
            </w:r>
            <w:r w:rsidRPr="001F1F99">
              <w:rPr>
                <w:rFonts w:ascii="Abadi MT Condensed Light" w:eastAsia="Times New Roman" w:hAnsi="Abadi MT Condensed Light" w:cs="Times New Roman"/>
                <w:b w:val="0"/>
                <w:bCs w:val="0"/>
                <w:color w:val="000000"/>
                <w:sz w:val="19"/>
                <w:szCs w:val="19"/>
              </w:rPr>
              <w:t xml:space="preserve">ring </w:t>
            </w:r>
            <w:proofErr w:type="spellStart"/>
            <w:r w:rsidRPr="001F1F99">
              <w:rPr>
                <w:rFonts w:ascii="Abadi MT Condensed Light" w:eastAsia="Times New Roman" w:hAnsi="Abadi MT Condensed Light" w:cs="Times New Roman"/>
                <w:b w:val="0"/>
                <w:bCs w:val="0"/>
                <w:color w:val="000000"/>
                <w:sz w:val="19"/>
                <w:szCs w:val="19"/>
              </w:rPr>
              <w:t>Property</w:t>
            </w:r>
            <w:proofErr w:type="spellEnd"/>
          </w:p>
        </w:tc>
        <w:tc>
          <w:tcPr>
            <w:tcW w:w="709" w:type="dxa"/>
            <w:gridSpan w:val="2"/>
            <w:hideMark/>
          </w:tcPr>
          <w:p w14:paraId="125E9E7F" w14:textId="77777777"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Getting</w:t>
            </w:r>
            <w:proofErr w:type="spellEnd"/>
            <w:r w:rsidRPr="001F1F99">
              <w:rPr>
                <w:rFonts w:ascii="Abadi MT Condensed Light" w:eastAsia="Times New Roman" w:hAnsi="Abadi MT Condensed Light" w:cs="Times New Roman"/>
                <w:b w:val="0"/>
                <w:bCs w:val="0"/>
                <w:color w:val="000000"/>
                <w:sz w:val="19"/>
                <w:szCs w:val="19"/>
              </w:rPr>
              <w:t xml:space="preserve"> </w:t>
            </w:r>
            <w:proofErr w:type="spellStart"/>
            <w:r w:rsidRPr="001F1F99">
              <w:rPr>
                <w:rFonts w:ascii="Abadi MT Condensed Light" w:eastAsia="Times New Roman" w:hAnsi="Abadi MT Condensed Light" w:cs="Times New Roman"/>
                <w:b w:val="0"/>
                <w:bCs w:val="0"/>
                <w:color w:val="000000"/>
                <w:sz w:val="19"/>
                <w:szCs w:val="19"/>
              </w:rPr>
              <w:t>Credit</w:t>
            </w:r>
            <w:proofErr w:type="spellEnd"/>
          </w:p>
        </w:tc>
        <w:tc>
          <w:tcPr>
            <w:tcW w:w="851" w:type="dxa"/>
            <w:gridSpan w:val="2"/>
            <w:hideMark/>
          </w:tcPr>
          <w:p w14:paraId="52F33AB6" w14:textId="1B6B3682"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Protec</w:t>
            </w:r>
            <w:r w:rsidR="00744256">
              <w:rPr>
                <w:rFonts w:ascii="Abadi MT Condensed Light" w:eastAsia="Times New Roman" w:hAnsi="Abadi MT Condensed Light" w:cs="Times New Roman"/>
                <w:b w:val="0"/>
                <w:bCs w:val="0"/>
                <w:color w:val="000000"/>
                <w:sz w:val="19"/>
                <w:szCs w:val="19"/>
              </w:rPr>
              <w:t>-</w:t>
            </w:r>
            <w:r w:rsidRPr="001F1F99">
              <w:rPr>
                <w:rFonts w:ascii="Abadi MT Condensed Light" w:eastAsia="Times New Roman" w:hAnsi="Abadi MT Condensed Light" w:cs="Times New Roman"/>
                <w:b w:val="0"/>
                <w:bCs w:val="0"/>
                <w:color w:val="000000"/>
                <w:sz w:val="19"/>
                <w:szCs w:val="19"/>
              </w:rPr>
              <w:t>ting</w:t>
            </w:r>
            <w:proofErr w:type="spellEnd"/>
            <w:r w:rsidRPr="001F1F99">
              <w:rPr>
                <w:rFonts w:ascii="Abadi MT Condensed Light" w:eastAsia="Times New Roman" w:hAnsi="Abadi MT Condensed Light" w:cs="Times New Roman"/>
                <w:b w:val="0"/>
                <w:bCs w:val="0"/>
                <w:color w:val="000000"/>
                <w:sz w:val="19"/>
                <w:szCs w:val="19"/>
              </w:rPr>
              <w:t xml:space="preserve"> </w:t>
            </w:r>
            <w:proofErr w:type="spellStart"/>
            <w:r w:rsidRPr="001F1F99">
              <w:rPr>
                <w:rFonts w:ascii="Abadi MT Condensed Light" w:eastAsia="Times New Roman" w:hAnsi="Abadi MT Condensed Light" w:cs="Times New Roman"/>
                <w:b w:val="0"/>
                <w:bCs w:val="0"/>
                <w:color w:val="000000"/>
                <w:sz w:val="19"/>
                <w:szCs w:val="19"/>
              </w:rPr>
              <w:t>Investors</w:t>
            </w:r>
            <w:proofErr w:type="spellEnd"/>
          </w:p>
        </w:tc>
        <w:tc>
          <w:tcPr>
            <w:tcW w:w="708" w:type="dxa"/>
            <w:gridSpan w:val="2"/>
            <w:hideMark/>
          </w:tcPr>
          <w:p w14:paraId="58204A62" w14:textId="77777777"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Paying</w:t>
            </w:r>
            <w:proofErr w:type="spellEnd"/>
            <w:r w:rsidRPr="001F1F99">
              <w:rPr>
                <w:rFonts w:ascii="Abadi MT Condensed Light" w:eastAsia="Times New Roman" w:hAnsi="Abadi MT Condensed Light" w:cs="Times New Roman"/>
                <w:b w:val="0"/>
                <w:bCs w:val="0"/>
                <w:color w:val="000000"/>
                <w:sz w:val="19"/>
                <w:szCs w:val="19"/>
              </w:rPr>
              <w:t xml:space="preserve"> Taxes</w:t>
            </w:r>
          </w:p>
        </w:tc>
        <w:tc>
          <w:tcPr>
            <w:tcW w:w="789" w:type="dxa"/>
            <w:gridSpan w:val="2"/>
            <w:hideMark/>
          </w:tcPr>
          <w:p w14:paraId="69D26B83" w14:textId="77777777"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r w:rsidRPr="001F1F99">
              <w:rPr>
                <w:rFonts w:ascii="Abadi MT Condensed Light" w:eastAsia="Times New Roman" w:hAnsi="Abadi MT Condensed Light" w:cs="Times New Roman"/>
                <w:b w:val="0"/>
                <w:bCs w:val="0"/>
                <w:color w:val="000000"/>
                <w:sz w:val="19"/>
                <w:szCs w:val="19"/>
              </w:rPr>
              <w:t xml:space="preserve">Trading </w:t>
            </w:r>
            <w:proofErr w:type="spellStart"/>
            <w:r w:rsidRPr="001F1F99">
              <w:rPr>
                <w:rFonts w:ascii="Abadi MT Condensed Light" w:eastAsia="Times New Roman" w:hAnsi="Abadi MT Condensed Light" w:cs="Times New Roman"/>
                <w:b w:val="0"/>
                <w:bCs w:val="0"/>
                <w:color w:val="000000"/>
                <w:sz w:val="19"/>
                <w:szCs w:val="19"/>
              </w:rPr>
              <w:t>Across</w:t>
            </w:r>
            <w:proofErr w:type="spellEnd"/>
            <w:r w:rsidRPr="001F1F99">
              <w:rPr>
                <w:rFonts w:ascii="Abadi MT Condensed Light" w:eastAsia="Times New Roman" w:hAnsi="Abadi MT Condensed Light" w:cs="Times New Roman"/>
                <w:b w:val="0"/>
                <w:bCs w:val="0"/>
                <w:color w:val="000000"/>
                <w:sz w:val="19"/>
                <w:szCs w:val="19"/>
              </w:rPr>
              <w:t xml:space="preserve"> </w:t>
            </w:r>
            <w:proofErr w:type="spellStart"/>
            <w:r w:rsidRPr="001F1F99">
              <w:rPr>
                <w:rFonts w:ascii="Abadi MT Condensed Light" w:eastAsia="Times New Roman" w:hAnsi="Abadi MT Condensed Light" w:cs="Times New Roman"/>
                <w:b w:val="0"/>
                <w:bCs w:val="0"/>
                <w:color w:val="000000"/>
                <w:sz w:val="19"/>
                <w:szCs w:val="19"/>
              </w:rPr>
              <w:t>Borders</w:t>
            </w:r>
            <w:proofErr w:type="spellEnd"/>
          </w:p>
        </w:tc>
        <w:tc>
          <w:tcPr>
            <w:tcW w:w="911" w:type="dxa"/>
            <w:gridSpan w:val="2"/>
            <w:hideMark/>
          </w:tcPr>
          <w:p w14:paraId="48737F98" w14:textId="77777777"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Enforcing</w:t>
            </w:r>
            <w:proofErr w:type="spellEnd"/>
            <w:r w:rsidRPr="001F1F99">
              <w:rPr>
                <w:rFonts w:ascii="Abadi MT Condensed Light" w:eastAsia="Times New Roman" w:hAnsi="Abadi MT Condensed Light" w:cs="Times New Roman"/>
                <w:b w:val="0"/>
                <w:bCs w:val="0"/>
                <w:color w:val="000000"/>
                <w:sz w:val="19"/>
                <w:szCs w:val="19"/>
              </w:rPr>
              <w:t xml:space="preserve"> </w:t>
            </w:r>
            <w:proofErr w:type="spellStart"/>
            <w:r w:rsidRPr="001F1F99">
              <w:rPr>
                <w:rFonts w:ascii="Abadi MT Condensed Light" w:eastAsia="Times New Roman" w:hAnsi="Abadi MT Condensed Light" w:cs="Times New Roman"/>
                <w:b w:val="0"/>
                <w:bCs w:val="0"/>
                <w:color w:val="000000"/>
                <w:sz w:val="19"/>
                <w:szCs w:val="19"/>
              </w:rPr>
              <w:t>Contracts</w:t>
            </w:r>
            <w:proofErr w:type="spellEnd"/>
          </w:p>
        </w:tc>
        <w:tc>
          <w:tcPr>
            <w:tcW w:w="851" w:type="dxa"/>
            <w:hideMark/>
          </w:tcPr>
          <w:p w14:paraId="11F2BF7E" w14:textId="67CFDEB8" w:rsidR="00A04630" w:rsidRPr="001F1F99" w:rsidRDefault="00A04630" w:rsidP="001F1F99">
            <w:pPr>
              <w:tabs>
                <w:tab w:val="left" w:pos="5670"/>
              </w:tabs>
              <w:jc w:val="center"/>
              <w:cnfStyle w:val="100000000000" w:firstRow="1" w:lastRow="0" w:firstColumn="0" w:lastColumn="0" w:oddVBand="0" w:evenVBand="0" w:oddHBand="0" w:evenHBand="0" w:firstRowFirstColumn="0" w:firstRowLastColumn="0" w:lastRowFirstColumn="0" w:lastRowLastColumn="0"/>
              <w:rPr>
                <w:rFonts w:ascii="Abadi MT Condensed Light" w:eastAsia="Times New Roman" w:hAnsi="Abadi MT Condensed Light" w:cs="Times New Roman"/>
                <w:b w:val="0"/>
                <w:bCs w:val="0"/>
                <w:color w:val="000000"/>
                <w:sz w:val="19"/>
                <w:szCs w:val="19"/>
              </w:rPr>
            </w:pPr>
            <w:proofErr w:type="spellStart"/>
            <w:r w:rsidRPr="001F1F99">
              <w:rPr>
                <w:rFonts w:ascii="Abadi MT Condensed Light" w:eastAsia="Times New Roman" w:hAnsi="Abadi MT Condensed Light" w:cs="Times New Roman"/>
                <w:b w:val="0"/>
                <w:bCs w:val="0"/>
                <w:color w:val="000000"/>
                <w:sz w:val="19"/>
                <w:szCs w:val="19"/>
              </w:rPr>
              <w:t>Resol</w:t>
            </w:r>
            <w:r w:rsidR="00744256">
              <w:rPr>
                <w:rFonts w:ascii="Abadi MT Condensed Light" w:eastAsia="Times New Roman" w:hAnsi="Abadi MT Condensed Light" w:cs="Times New Roman"/>
                <w:b w:val="0"/>
                <w:bCs w:val="0"/>
                <w:color w:val="000000"/>
                <w:sz w:val="19"/>
                <w:szCs w:val="19"/>
              </w:rPr>
              <w:t>-</w:t>
            </w:r>
            <w:r w:rsidRPr="001F1F99">
              <w:rPr>
                <w:rFonts w:ascii="Abadi MT Condensed Light" w:eastAsia="Times New Roman" w:hAnsi="Abadi MT Condensed Light" w:cs="Times New Roman"/>
                <w:b w:val="0"/>
                <w:bCs w:val="0"/>
                <w:color w:val="000000"/>
                <w:sz w:val="19"/>
                <w:szCs w:val="19"/>
              </w:rPr>
              <w:t>ving</w:t>
            </w:r>
            <w:proofErr w:type="spellEnd"/>
            <w:r w:rsidRPr="001F1F99">
              <w:rPr>
                <w:rFonts w:ascii="Abadi MT Condensed Light" w:eastAsia="Times New Roman" w:hAnsi="Abadi MT Condensed Light" w:cs="Times New Roman"/>
                <w:b w:val="0"/>
                <w:bCs w:val="0"/>
                <w:color w:val="000000"/>
                <w:sz w:val="19"/>
                <w:szCs w:val="19"/>
              </w:rPr>
              <w:t xml:space="preserve"> </w:t>
            </w:r>
            <w:proofErr w:type="spellStart"/>
            <w:r w:rsidRPr="001F1F99">
              <w:rPr>
                <w:rFonts w:ascii="Abadi MT Condensed Light" w:eastAsia="Times New Roman" w:hAnsi="Abadi MT Condensed Light" w:cs="Times New Roman"/>
                <w:b w:val="0"/>
                <w:bCs w:val="0"/>
                <w:color w:val="000000"/>
                <w:sz w:val="19"/>
                <w:szCs w:val="19"/>
              </w:rPr>
              <w:t>Insolven</w:t>
            </w:r>
            <w:r w:rsidR="00744256">
              <w:rPr>
                <w:rFonts w:ascii="Abadi MT Condensed Light" w:eastAsia="Times New Roman" w:hAnsi="Abadi MT Condensed Light" w:cs="Times New Roman"/>
                <w:b w:val="0"/>
                <w:bCs w:val="0"/>
                <w:color w:val="000000"/>
                <w:sz w:val="19"/>
                <w:szCs w:val="19"/>
              </w:rPr>
              <w:t>-</w:t>
            </w:r>
            <w:r w:rsidRPr="001F1F99">
              <w:rPr>
                <w:rFonts w:ascii="Abadi MT Condensed Light" w:eastAsia="Times New Roman" w:hAnsi="Abadi MT Condensed Light" w:cs="Times New Roman"/>
                <w:b w:val="0"/>
                <w:bCs w:val="0"/>
                <w:color w:val="000000"/>
                <w:sz w:val="19"/>
                <w:szCs w:val="19"/>
              </w:rPr>
              <w:t>cy</w:t>
            </w:r>
            <w:proofErr w:type="spellEnd"/>
          </w:p>
        </w:tc>
      </w:tr>
      <w:tr w:rsidR="00912E29" w:rsidRPr="003160E7" w14:paraId="10E474A6" w14:textId="77777777" w:rsidTr="00744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hideMark/>
          </w:tcPr>
          <w:p w14:paraId="73995451" w14:textId="77777777" w:rsidR="00541EF1" w:rsidRPr="00BC768C" w:rsidRDefault="00541EF1" w:rsidP="005072B1">
            <w:pPr>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Georgia</w:t>
            </w:r>
          </w:p>
        </w:tc>
        <w:tc>
          <w:tcPr>
            <w:tcW w:w="655" w:type="dxa"/>
            <w:hideMark/>
          </w:tcPr>
          <w:p w14:paraId="5C44AB86" w14:textId="77777777" w:rsidR="00541EF1" w:rsidRPr="00675437"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37</w:t>
            </w:r>
          </w:p>
        </w:tc>
        <w:tc>
          <w:tcPr>
            <w:tcW w:w="708" w:type="dxa"/>
            <w:hideMark/>
          </w:tcPr>
          <w:p w14:paraId="51751682" w14:textId="77777777" w:rsidR="00541EF1" w:rsidRPr="00AA16CB"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9</w:t>
            </w:r>
          </w:p>
        </w:tc>
        <w:tc>
          <w:tcPr>
            <w:tcW w:w="709" w:type="dxa"/>
          </w:tcPr>
          <w:p w14:paraId="00463CFE" w14:textId="4224C8D1" w:rsidR="00541EF1" w:rsidRPr="00DA607C"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18"/>
                <w:szCs w:val="18"/>
              </w:rPr>
            </w:pPr>
            <w:r w:rsidRPr="00DA607C">
              <w:rPr>
                <w:rFonts w:ascii="Calibri" w:hAnsi="Calibri"/>
                <w:b/>
                <w:sz w:val="18"/>
                <w:szCs w:val="18"/>
              </w:rPr>
              <w:t>15</w:t>
            </w:r>
          </w:p>
        </w:tc>
        <w:tc>
          <w:tcPr>
            <w:tcW w:w="851" w:type="dxa"/>
            <w:hideMark/>
          </w:tcPr>
          <w:p w14:paraId="13ED6979" w14:textId="5795E086" w:rsidR="00541EF1" w:rsidRPr="00DA607C"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18"/>
                <w:szCs w:val="18"/>
              </w:rPr>
            </w:pPr>
            <w:r w:rsidRPr="00DA607C">
              <w:rPr>
                <w:rFonts w:ascii="Calibri" w:hAnsi="Calibri"/>
                <w:sz w:val="18"/>
                <w:szCs w:val="18"/>
              </w:rPr>
              <w:t>5</w:t>
            </w:r>
          </w:p>
        </w:tc>
        <w:tc>
          <w:tcPr>
            <w:tcW w:w="850" w:type="dxa"/>
            <w:hideMark/>
          </w:tcPr>
          <w:p w14:paraId="15F3FE2F" w14:textId="2BD35184"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w:t>
            </w:r>
          </w:p>
        </w:tc>
        <w:tc>
          <w:tcPr>
            <w:tcW w:w="709" w:type="dxa"/>
            <w:hideMark/>
          </w:tcPr>
          <w:p w14:paraId="4C6AFF88" w14:textId="64EB10D0"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37</w:t>
            </w:r>
          </w:p>
        </w:tc>
        <w:tc>
          <w:tcPr>
            <w:tcW w:w="869" w:type="dxa"/>
            <w:gridSpan w:val="2"/>
            <w:hideMark/>
          </w:tcPr>
          <w:p w14:paraId="3FD9CF8F" w14:textId="28F0EFEE" w:rsidR="00541EF1" w:rsidRPr="00DA607C"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w:t>
            </w:r>
          </w:p>
        </w:tc>
        <w:tc>
          <w:tcPr>
            <w:tcW w:w="709" w:type="dxa"/>
            <w:gridSpan w:val="2"/>
            <w:hideMark/>
          </w:tcPr>
          <w:p w14:paraId="21FC81E9" w14:textId="3E31344F" w:rsidR="00541EF1" w:rsidRPr="00DA607C" w:rsidRDefault="00541EF1" w:rsidP="005072B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w:t>
            </w:r>
          </w:p>
        </w:tc>
        <w:tc>
          <w:tcPr>
            <w:tcW w:w="851" w:type="dxa"/>
            <w:gridSpan w:val="2"/>
            <w:hideMark/>
          </w:tcPr>
          <w:p w14:paraId="6F107CC4" w14:textId="00B0930B"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43</w:t>
            </w:r>
          </w:p>
        </w:tc>
        <w:tc>
          <w:tcPr>
            <w:tcW w:w="708" w:type="dxa"/>
            <w:gridSpan w:val="2"/>
            <w:hideMark/>
          </w:tcPr>
          <w:p w14:paraId="668F6316" w14:textId="1105C665"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38</w:t>
            </w:r>
          </w:p>
        </w:tc>
        <w:tc>
          <w:tcPr>
            <w:tcW w:w="789" w:type="dxa"/>
            <w:gridSpan w:val="2"/>
            <w:hideMark/>
          </w:tcPr>
          <w:p w14:paraId="25D934CF" w14:textId="2598C96A"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33</w:t>
            </w:r>
          </w:p>
        </w:tc>
        <w:tc>
          <w:tcPr>
            <w:tcW w:w="893" w:type="dxa"/>
            <w:hideMark/>
          </w:tcPr>
          <w:p w14:paraId="18CBBFAB" w14:textId="7173B9BD"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23</w:t>
            </w:r>
          </w:p>
        </w:tc>
        <w:tc>
          <w:tcPr>
            <w:tcW w:w="851" w:type="dxa"/>
            <w:hideMark/>
          </w:tcPr>
          <w:p w14:paraId="5B84CE1F" w14:textId="4719C5EB" w:rsidR="00541EF1" w:rsidRPr="00DA607C" w:rsidRDefault="00541EF1" w:rsidP="004B75A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122</w:t>
            </w:r>
          </w:p>
        </w:tc>
      </w:tr>
      <w:tr w:rsidR="00744256" w:rsidRPr="003160E7" w14:paraId="47CAB6B7" w14:textId="77777777" w:rsidTr="007442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275BC1AC" w14:textId="7FA98220" w:rsidR="00541EF1" w:rsidRPr="00BC768C" w:rsidRDefault="00541EF1" w:rsidP="008424E7">
            <w:pPr>
              <w:rPr>
                <w:rFonts w:ascii="Calibri" w:eastAsia="Times New Roman" w:hAnsi="Calibri" w:cs="Times New Roman"/>
                <w:bCs w:val="0"/>
                <w:color w:val="000000"/>
                <w:sz w:val="18"/>
                <w:szCs w:val="18"/>
              </w:rPr>
            </w:pPr>
            <w:proofErr w:type="spellStart"/>
            <w:r w:rsidRPr="00BC768C">
              <w:rPr>
                <w:rFonts w:ascii="Calibri" w:eastAsia="Times New Roman" w:hAnsi="Calibri" w:cs="Times New Roman"/>
                <w:bCs w:val="0"/>
                <w:color w:val="000000"/>
                <w:sz w:val="18"/>
                <w:szCs w:val="18"/>
              </w:rPr>
              <w:t>Bulgaria</w:t>
            </w:r>
            <w:proofErr w:type="spellEnd"/>
          </w:p>
        </w:tc>
        <w:tc>
          <w:tcPr>
            <w:tcW w:w="655" w:type="dxa"/>
          </w:tcPr>
          <w:p w14:paraId="0621B443" w14:textId="24F214F7" w:rsidR="00541EF1" w:rsidRPr="00675437"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54</w:t>
            </w:r>
          </w:p>
        </w:tc>
        <w:tc>
          <w:tcPr>
            <w:tcW w:w="708" w:type="dxa"/>
          </w:tcPr>
          <w:p w14:paraId="560D1A79" w14:textId="761B0DA3" w:rsidR="00541EF1" w:rsidRPr="00AA16CB"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66</w:t>
            </w:r>
          </w:p>
        </w:tc>
        <w:tc>
          <w:tcPr>
            <w:tcW w:w="709" w:type="dxa"/>
          </w:tcPr>
          <w:p w14:paraId="59B2F94B" w14:textId="1838E11B"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38</w:t>
            </w:r>
          </w:p>
        </w:tc>
        <w:tc>
          <w:tcPr>
            <w:tcW w:w="851" w:type="dxa"/>
            <w:hideMark/>
          </w:tcPr>
          <w:p w14:paraId="4FBD6D45" w14:textId="06E7121E"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49</w:t>
            </w:r>
          </w:p>
        </w:tc>
        <w:tc>
          <w:tcPr>
            <w:tcW w:w="850" w:type="dxa"/>
            <w:hideMark/>
          </w:tcPr>
          <w:p w14:paraId="3115DDB0" w14:textId="69AEAB97"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101</w:t>
            </w:r>
          </w:p>
        </w:tc>
        <w:tc>
          <w:tcPr>
            <w:tcW w:w="709" w:type="dxa"/>
            <w:hideMark/>
          </w:tcPr>
          <w:p w14:paraId="2EE678D0" w14:textId="6CF99D83"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125</w:t>
            </w:r>
          </w:p>
        </w:tc>
        <w:tc>
          <w:tcPr>
            <w:tcW w:w="869" w:type="dxa"/>
            <w:gridSpan w:val="2"/>
            <w:hideMark/>
          </w:tcPr>
          <w:p w14:paraId="5AB58F2A" w14:textId="3F1CACBE"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57</w:t>
            </w:r>
          </w:p>
        </w:tc>
        <w:tc>
          <w:tcPr>
            <w:tcW w:w="709" w:type="dxa"/>
            <w:gridSpan w:val="2"/>
            <w:hideMark/>
          </w:tcPr>
          <w:p w14:paraId="024222AA" w14:textId="4A1BBC21"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23</w:t>
            </w:r>
          </w:p>
        </w:tc>
        <w:tc>
          <w:tcPr>
            <w:tcW w:w="851" w:type="dxa"/>
            <w:gridSpan w:val="2"/>
            <w:hideMark/>
          </w:tcPr>
          <w:p w14:paraId="3E389685" w14:textId="250D264A"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14</w:t>
            </w:r>
          </w:p>
        </w:tc>
        <w:tc>
          <w:tcPr>
            <w:tcW w:w="708" w:type="dxa"/>
            <w:gridSpan w:val="2"/>
            <w:hideMark/>
          </w:tcPr>
          <w:p w14:paraId="1BF34017" w14:textId="0482B8BB"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89</w:t>
            </w:r>
          </w:p>
        </w:tc>
        <w:tc>
          <w:tcPr>
            <w:tcW w:w="789" w:type="dxa"/>
            <w:gridSpan w:val="2"/>
            <w:hideMark/>
          </w:tcPr>
          <w:p w14:paraId="5DEE7FAE" w14:textId="25F59B3A"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57</w:t>
            </w:r>
          </w:p>
        </w:tc>
        <w:tc>
          <w:tcPr>
            <w:tcW w:w="893" w:type="dxa"/>
            <w:hideMark/>
          </w:tcPr>
          <w:p w14:paraId="21A5216F" w14:textId="5A50C9E0"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75</w:t>
            </w:r>
          </w:p>
        </w:tc>
        <w:tc>
          <w:tcPr>
            <w:tcW w:w="851" w:type="dxa"/>
            <w:hideMark/>
          </w:tcPr>
          <w:p w14:paraId="57007664" w14:textId="42CAA86E" w:rsidR="00541EF1" w:rsidRPr="00DA607C" w:rsidRDefault="00541EF1" w:rsidP="008424E7">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38</w:t>
            </w:r>
          </w:p>
        </w:tc>
      </w:tr>
      <w:tr w:rsidR="00744256" w:rsidRPr="003160E7" w14:paraId="513A21FF" w14:textId="77777777" w:rsidTr="00744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383DD82C" w14:textId="61CD7A21" w:rsidR="00541EF1" w:rsidRPr="00BC768C" w:rsidRDefault="00541EF1" w:rsidP="008424E7">
            <w:pPr>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Armenia</w:t>
            </w:r>
          </w:p>
        </w:tc>
        <w:tc>
          <w:tcPr>
            <w:tcW w:w="655" w:type="dxa"/>
          </w:tcPr>
          <w:p w14:paraId="379ACF73" w14:textId="22D32792" w:rsidR="00541EF1" w:rsidRPr="00675437"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34</w:t>
            </w:r>
          </w:p>
        </w:tc>
        <w:tc>
          <w:tcPr>
            <w:tcW w:w="708" w:type="dxa"/>
          </w:tcPr>
          <w:p w14:paraId="491542D9" w14:textId="19A1CEE1" w:rsidR="00541EF1" w:rsidRPr="00AA16CB"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32</w:t>
            </w:r>
          </w:p>
        </w:tc>
        <w:tc>
          <w:tcPr>
            <w:tcW w:w="709" w:type="dxa"/>
          </w:tcPr>
          <w:p w14:paraId="4FB25107" w14:textId="2D18A46D"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DA607C">
              <w:rPr>
                <w:rFonts w:ascii="Calibri" w:hAnsi="Calibri"/>
                <w:b/>
                <w:sz w:val="18"/>
                <w:szCs w:val="18"/>
              </w:rPr>
              <w:t>45</w:t>
            </w:r>
          </w:p>
        </w:tc>
        <w:tc>
          <w:tcPr>
            <w:tcW w:w="851" w:type="dxa"/>
          </w:tcPr>
          <w:p w14:paraId="06DB5D5A" w14:textId="2568C40A"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4</w:t>
            </w:r>
          </w:p>
        </w:tc>
        <w:tc>
          <w:tcPr>
            <w:tcW w:w="850" w:type="dxa"/>
          </w:tcPr>
          <w:p w14:paraId="2898F713" w14:textId="3F357053"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81</w:t>
            </w:r>
          </w:p>
        </w:tc>
        <w:tc>
          <w:tcPr>
            <w:tcW w:w="709" w:type="dxa"/>
          </w:tcPr>
          <w:p w14:paraId="0F4B6248" w14:textId="0022FEF1"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131</w:t>
            </w:r>
          </w:p>
        </w:tc>
        <w:tc>
          <w:tcPr>
            <w:tcW w:w="869" w:type="dxa"/>
            <w:gridSpan w:val="2"/>
          </w:tcPr>
          <w:p w14:paraId="5A06177B" w14:textId="599B0E69"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7</w:t>
            </w:r>
          </w:p>
        </w:tc>
        <w:tc>
          <w:tcPr>
            <w:tcW w:w="709" w:type="dxa"/>
            <w:gridSpan w:val="2"/>
          </w:tcPr>
          <w:p w14:paraId="36BFB3C8" w14:textId="2C84A817"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36</w:t>
            </w:r>
          </w:p>
        </w:tc>
        <w:tc>
          <w:tcPr>
            <w:tcW w:w="851" w:type="dxa"/>
            <w:gridSpan w:val="2"/>
          </w:tcPr>
          <w:p w14:paraId="7360E149" w14:textId="78314954"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49</w:t>
            </w:r>
          </w:p>
        </w:tc>
        <w:tc>
          <w:tcPr>
            <w:tcW w:w="708" w:type="dxa"/>
            <w:gridSpan w:val="2"/>
          </w:tcPr>
          <w:p w14:paraId="66AFA15B" w14:textId="15D70697"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41</w:t>
            </w:r>
          </w:p>
        </w:tc>
        <w:tc>
          <w:tcPr>
            <w:tcW w:w="789" w:type="dxa"/>
            <w:gridSpan w:val="2"/>
          </w:tcPr>
          <w:p w14:paraId="7ACE195D" w14:textId="7524980F"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DA607C">
              <w:rPr>
                <w:rFonts w:ascii="Calibri" w:hAnsi="Calibri"/>
                <w:sz w:val="18"/>
                <w:szCs w:val="18"/>
              </w:rPr>
              <w:t>110</w:t>
            </w:r>
          </w:p>
        </w:tc>
        <w:tc>
          <w:tcPr>
            <w:tcW w:w="893" w:type="dxa"/>
          </w:tcPr>
          <w:p w14:paraId="4FB007E9" w14:textId="15E696E8"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51</w:t>
            </w:r>
          </w:p>
        </w:tc>
        <w:tc>
          <w:tcPr>
            <w:tcW w:w="851" w:type="dxa"/>
          </w:tcPr>
          <w:p w14:paraId="2F2C4AB1" w14:textId="606BB1D1" w:rsidR="00541EF1" w:rsidRPr="00DA607C" w:rsidRDefault="00541EF1" w:rsidP="008424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69</w:t>
            </w:r>
          </w:p>
        </w:tc>
      </w:tr>
      <w:tr w:rsidR="00744256" w:rsidRPr="003160E7" w14:paraId="105796CA" w14:textId="77777777" w:rsidTr="007442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46D062E5" w14:textId="242EA8B0" w:rsidR="00541EF1" w:rsidRPr="00BC768C" w:rsidRDefault="00541EF1" w:rsidP="00541EF1">
            <w:pPr>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Romania</w:t>
            </w:r>
          </w:p>
        </w:tc>
        <w:tc>
          <w:tcPr>
            <w:tcW w:w="655" w:type="dxa"/>
          </w:tcPr>
          <w:p w14:paraId="436ED1EB" w14:textId="2D0A3C62" w:rsidR="00541EF1" w:rsidRPr="00675437"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49</w:t>
            </w:r>
          </w:p>
        </w:tc>
        <w:tc>
          <w:tcPr>
            <w:tcW w:w="708" w:type="dxa"/>
          </w:tcPr>
          <w:p w14:paraId="0D77FF56" w14:textId="7CBB4A46" w:rsidR="00541EF1" w:rsidRPr="00AA16CB"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72</w:t>
            </w:r>
          </w:p>
        </w:tc>
        <w:tc>
          <w:tcPr>
            <w:tcW w:w="709" w:type="dxa"/>
          </w:tcPr>
          <w:p w14:paraId="60B3EA33" w14:textId="0D2C17E6"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48</w:t>
            </w:r>
          </w:p>
        </w:tc>
        <w:tc>
          <w:tcPr>
            <w:tcW w:w="851" w:type="dxa"/>
          </w:tcPr>
          <w:p w14:paraId="4F8B4D59" w14:textId="099BCD8A"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38</w:t>
            </w:r>
          </w:p>
        </w:tc>
        <w:tc>
          <w:tcPr>
            <w:tcW w:w="850" w:type="dxa"/>
          </w:tcPr>
          <w:p w14:paraId="2E2337A2" w14:textId="6E323188"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lang w:val="bg-BG"/>
              </w:rPr>
            </w:pPr>
            <w:r w:rsidRPr="00DA607C">
              <w:rPr>
                <w:rFonts w:ascii="Calibri" w:hAnsi="Calibri"/>
                <w:sz w:val="18"/>
                <w:szCs w:val="18"/>
              </w:rPr>
              <w:t>140</w:t>
            </w:r>
          </w:p>
        </w:tc>
        <w:tc>
          <w:tcPr>
            <w:tcW w:w="709" w:type="dxa"/>
          </w:tcPr>
          <w:p w14:paraId="181A15B3" w14:textId="0CEF6C0B"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lang w:val="bg-BG"/>
              </w:rPr>
            </w:pPr>
            <w:r w:rsidRPr="00DA607C">
              <w:rPr>
                <w:rFonts w:ascii="Calibri" w:hAnsi="Calibri"/>
                <w:sz w:val="18"/>
                <w:szCs w:val="18"/>
              </w:rPr>
              <w:t>171</w:t>
            </w:r>
          </w:p>
        </w:tc>
        <w:tc>
          <w:tcPr>
            <w:tcW w:w="869" w:type="dxa"/>
            <w:gridSpan w:val="2"/>
          </w:tcPr>
          <w:p w14:paraId="3BBF3152" w14:textId="1048A8DD"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lang w:val="bg-BG"/>
              </w:rPr>
            </w:pPr>
            <w:r w:rsidRPr="00DA607C">
              <w:rPr>
                <w:rFonts w:ascii="Calibri" w:hAnsi="Calibri"/>
                <w:sz w:val="18"/>
                <w:szCs w:val="18"/>
              </w:rPr>
              <w:t>63</w:t>
            </w:r>
          </w:p>
        </w:tc>
        <w:tc>
          <w:tcPr>
            <w:tcW w:w="709" w:type="dxa"/>
            <w:gridSpan w:val="2"/>
          </w:tcPr>
          <w:p w14:paraId="30D3E098" w14:textId="0E22316B"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w:t>
            </w:r>
          </w:p>
        </w:tc>
        <w:tc>
          <w:tcPr>
            <w:tcW w:w="851" w:type="dxa"/>
            <w:gridSpan w:val="2"/>
          </w:tcPr>
          <w:p w14:paraId="4B5BFDD6" w14:textId="2012FA83"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40</w:t>
            </w:r>
          </w:p>
        </w:tc>
        <w:tc>
          <w:tcPr>
            <w:tcW w:w="708" w:type="dxa"/>
            <w:gridSpan w:val="2"/>
          </w:tcPr>
          <w:p w14:paraId="2325D3AF" w14:textId="7D7F3F55"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52</w:t>
            </w:r>
          </w:p>
        </w:tc>
        <w:tc>
          <w:tcPr>
            <w:tcW w:w="789" w:type="dxa"/>
            <w:gridSpan w:val="2"/>
          </w:tcPr>
          <w:p w14:paraId="7D36AB59" w14:textId="3E0BD82C"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65</w:t>
            </w:r>
          </w:p>
        </w:tc>
        <w:tc>
          <w:tcPr>
            <w:tcW w:w="893" w:type="dxa"/>
          </w:tcPr>
          <w:p w14:paraId="3558802D" w14:textId="6F12547D"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51</w:t>
            </w:r>
          </w:p>
        </w:tc>
        <w:tc>
          <w:tcPr>
            <w:tcW w:w="851" w:type="dxa"/>
            <w:hideMark/>
          </w:tcPr>
          <w:p w14:paraId="1F3A0828" w14:textId="142023DC" w:rsidR="00541EF1" w:rsidRPr="00DA607C" w:rsidRDefault="00541EF1" w:rsidP="00541EF1">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46</w:t>
            </w:r>
          </w:p>
        </w:tc>
      </w:tr>
      <w:tr w:rsidR="00744256" w:rsidRPr="003160E7" w14:paraId="11613F00" w14:textId="77777777" w:rsidTr="00744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0B4075F7" w14:textId="7804EC93" w:rsidR="00541EF1" w:rsidRPr="00BC768C" w:rsidRDefault="00541EF1" w:rsidP="00541EF1">
            <w:pPr>
              <w:rPr>
                <w:rFonts w:ascii="Calibri" w:eastAsia="Times New Roman" w:hAnsi="Calibri" w:cs="Times New Roman"/>
                <w:bCs w:val="0"/>
                <w:color w:val="000000"/>
                <w:sz w:val="18"/>
                <w:szCs w:val="18"/>
              </w:rPr>
            </w:pPr>
            <w:proofErr w:type="spellStart"/>
            <w:r w:rsidRPr="00BC768C">
              <w:rPr>
                <w:rFonts w:ascii="Calibri" w:eastAsia="Times New Roman" w:hAnsi="Calibri" w:cs="Times New Roman"/>
                <w:bCs w:val="0"/>
                <w:color w:val="000000"/>
                <w:sz w:val="18"/>
                <w:szCs w:val="18"/>
              </w:rPr>
              <w:t>Turkey</w:t>
            </w:r>
            <w:proofErr w:type="spellEnd"/>
          </w:p>
        </w:tc>
        <w:tc>
          <w:tcPr>
            <w:tcW w:w="655" w:type="dxa"/>
          </w:tcPr>
          <w:p w14:paraId="42FA2925" w14:textId="6FF4B298" w:rsidR="00541EF1" w:rsidRPr="00675437"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91</w:t>
            </w:r>
          </w:p>
        </w:tc>
        <w:tc>
          <w:tcPr>
            <w:tcW w:w="708" w:type="dxa"/>
          </w:tcPr>
          <w:p w14:paraId="120954EC" w14:textId="19746057" w:rsidR="00541EF1" w:rsidRPr="00AA16CB"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71</w:t>
            </w:r>
          </w:p>
        </w:tc>
        <w:tc>
          <w:tcPr>
            <w:tcW w:w="709" w:type="dxa"/>
          </w:tcPr>
          <w:p w14:paraId="56842272" w14:textId="19D762DF"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55</w:t>
            </w:r>
          </w:p>
        </w:tc>
        <w:tc>
          <w:tcPr>
            <w:tcW w:w="851" w:type="dxa"/>
          </w:tcPr>
          <w:p w14:paraId="0B0BAB78" w14:textId="76F8D256"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79</w:t>
            </w:r>
          </w:p>
        </w:tc>
        <w:tc>
          <w:tcPr>
            <w:tcW w:w="850" w:type="dxa"/>
          </w:tcPr>
          <w:p w14:paraId="59BDC3E1" w14:textId="42AA1877"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136</w:t>
            </w:r>
          </w:p>
        </w:tc>
        <w:tc>
          <w:tcPr>
            <w:tcW w:w="709" w:type="dxa"/>
          </w:tcPr>
          <w:p w14:paraId="60106BCC" w14:textId="12796460"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34</w:t>
            </w:r>
          </w:p>
        </w:tc>
        <w:tc>
          <w:tcPr>
            <w:tcW w:w="869" w:type="dxa"/>
            <w:gridSpan w:val="2"/>
          </w:tcPr>
          <w:p w14:paraId="710461E0" w14:textId="560C73DE"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54</w:t>
            </w:r>
          </w:p>
        </w:tc>
        <w:tc>
          <w:tcPr>
            <w:tcW w:w="709" w:type="dxa"/>
            <w:gridSpan w:val="2"/>
          </w:tcPr>
          <w:p w14:paraId="502BB660" w14:textId="36C5DFF2"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89</w:t>
            </w:r>
          </w:p>
        </w:tc>
        <w:tc>
          <w:tcPr>
            <w:tcW w:w="851" w:type="dxa"/>
            <w:gridSpan w:val="2"/>
          </w:tcPr>
          <w:p w14:paraId="38005F36" w14:textId="602D07A7"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13</w:t>
            </w:r>
          </w:p>
        </w:tc>
        <w:tc>
          <w:tcPr>
            <w:tcW w:w="708" w:type="dxa"/>
            <w:gridSpan w:val="2"/>
          </w:tcPr>
          <w:p w14:paraId="01516866" w14:textId="3A8B691C"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56</w:t>
            </w:r>
          </w:p>
        </w:tc>
        <w:tc>
          <w:tcPr>
            <w:tcW w:w="789" w:type="dxa"/>
            <w:gridSpan w:val="2"/>
          </w:tcPr>
          <w:p w14:paraId="2B1EB300" w14:textId="114C300A"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90</w:t>
            </w:r>
          </w:p>
        </w:tc>
        <w:tc>
          <w:tcPr>
            <w:tcW w:w="893" w:type="dxa"/>
          </w:tcPr>
          <w:p w14:paraId="53C5C557" w14:textId="32DBB372"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38</w:t>
            </w:r>
          </w:p>
        </w:tc>
        <w:tc>
          <w:tcPr>
            <w:tcW w:w="851" w:type="dxa"/>
          </w:tcPr>
          <w:p w14:paraId="653084BD" w14:textId="317FDEA7" w:rsidR="00541EF1" w:rsidRPr="00DA607C" w:rsidRDefault="00541EF1" w:rsidP="00541EF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109</w:t>
            </w:r>
          </w:p>
        </w:tc>
      </w:tr>
      <w:tr w:rsidR="00744256" w:rsidRPr="003160E7" w14:paraId="005AE401" w14:textId="77777777" w:rsidTr="007442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5ABA8B89" w14:textId="7748B3AD" w:rsidR="00955F90" w:rsidRPr="00BC768C" w:rsidRDefault="00955F90" w:rsidP="00696B60">
            <w:pPr>
              <w:rPr>
                <w:rFonts w:ascii="Calibri" w:eastAsia="Times New Roman" w:hAnsi="Calibri" w:cs="Times New Roman"/>
                <w:bCs w:val="0"/>
                <w:color w:val="000000"/>
                <w:sz w:val="18"/>
                <w:szCs w:val="18"/>
              </w:rPr>
            </w:pPr>
            <w:proofErr w:type="spellStart"/>
            <w:r w:rsidRPr="00BC768C">
              <w:rPr>
                <w:rFonts w:ascii="Calibri" w:eastAsia="Times New Roman" w:hAnsi="Calibri" w:cs="Times New Roman"/>
                <w:bCs w:val="0"/>
                <w:color w:val="000000"/>
                <w:sz w:val="18"/>
                <w:szCs w:val="18"/>
              </w:rPr>
              <w:t>Greece</w:t>
            </w:r>
            <w:proofErr w:type="spellEnd"/>
          </w:p>
        </w:tc>
        <w:tc>
          <w:tcPr>
            <w:tcW w:w="655" w:type="dxa"/>
          </w:tcPr>
          <w:p w14:paraId="4187EAE0" w14:textId="3B21E8F6" w:rsidR="00955F90" w:rsidRPr="00675437"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109</w:t>
            </w:r>
          </w:p>
        </w:tc>
        <w:tc>
          <w:tcPr>
            <w:tcW w:w="708" w:type="dxa"/>
          </w:tcPr>
          <w:p w14:paraId="164A60A1" w14:textId="1EF2FB9D" w:rsidR="00955F90" w:rsidRPr="00AA16CB"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78</w:t>
            </w:r>
          </w:p>
        </w:tc>
        <w:tc>
          <w:tcPr>
            <w:tcW w:w="709" w:type="dxa"/>
          </w:tcPr>
          <w:p w14:paraId="3EF897E8" w14:textId="23BF56E6"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61</w:t>
            </w:r>
          </w:p>
        </w:tc>
        <w:tc>
          <w:tcPr>
            <w:tcW w:w="851" w:type="dxa"/>
            <w:hideMark/>
          </w:tcPr>
          <w:p w14:paraId="3E69BE61" w14:textId="7DAC3723"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52</w:t>
            </w:r>
          </w:p>
        </w:tc>
        <w:tc>
          <w:tcPr>
            <w:tcW w:w="850" w:type="dxa"/>
            <w:hideMark/>
          </w:tcPr>
          <w:p w14:paraId="79B96A6C" w14:textId="0060B7EA"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88</w:t>
            </w:r>
          </w:p>
        </w:tc>
        <w:tc>
          <w:tcPr>
            <w:tcW w:w="709" w:type="dxa"/>
            <w:hideMark/>
          </w:tcPr>
          <w:p w14:paraId="5934B39C" w14:textId="4EB068D0"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80</w:t>
            </w:r>
          </w:p>
        </w:tc>
        <w:tc>
          <w:tcPr>
            <w:tcW w:w="869" w:type="dxa"/>
            <w:gridSpan w:val="2"/>
            <w:hideMark/>
          </w:tcPr>
          <w:p w14:paraId="55DB439C" w14:textId="23A4B9AA"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116</w:t>
            </w:r>
          </w:p>
        </w:tc>
        <w:tc>
          <w:tcPr>
            <w:tcW w:w="709" w:type="dxa"/>
            <w:gridSpan w:val="2"/>
            <w:hideMark/>
          </w:tcPr>
          <w:p w14:paraId="57BD8CA4" w14:textId="45104C80"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71</w:t>
            </w:r>
          </w:p>
        </w:tc>
        <w:tc>
          <w:tcPr>
            <w:tcW w:w="851" w:type="dxa"/>
            <w:gridSpan w:val="2"/>
            <w:hideMark/>
          </w:tcPr>
          <w:p w14:paraId="1DC948AC" w14:textId="2C673FA8"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62</w:t>
            </w:r>
          </w:p>
        </w:tc>
        <w:tc>
          <w:tcPr>
            <w:tcW w:w="708" w:type="dxa"/>
            <w:gridSpan w:val="2"/>
            <w:hideMark/>
          </w:tcPr>
          <w:p w14:paraId="4DF5A0D6" w14:textId="33A9CADE"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59</w:t>
            </w:r>
          </w:p>
        </w:tc>
        <w:tc>
          <w:tcPr>
            <w:tcW w:w="789" w:type="dxa"/>
            <w:gridSpan w:val="2"/>
            <w:hideMark/>
          </w:tcPr>
          <w:p w14:paraId="63280DFA" w14:textId="718FC68E"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48</w:t>
            </w:r>
          </w:p>
        </w:tc>
        <w:tc>
          <w:tcPr>
            <w:tcW w:w="893" w:type="dxa"/>
            <w:hideMark/>
          </w:tcPr>
          <w:p w14:paraId="12AD20AA" w14:textId="1716AE19"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155</w:t>
            </w:r>
          </w:p>
        </w:tc>
        <w:tc>
          <w:tcPr>
            <w:tcW w:w="851" w:type="dxa"/>
            <w:hideMark/>
          </w:tcPr>
          <w:p w14:paraId="16CAE25E" w14:textId="166B3829" w:rsidR="00955F90" w:rsidRPr="00DA607C" w:rsidRDefault="00955F90" w:rsidP="00696B6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52</w:t>
            </w:r>
          </w:p>
        </w:tc>
      </w:tr>
      <w:tr w:rsidR="00912E29" w:rsidRPr="003160E7" w14:paraId="66A49047" w14:textId="77777777" w:rsidTr="00744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39E9A227" w14:textId="59CDF7D1" w:rsidR="00955F90" w:rsidRPr="00BC768C" w:rsidRDefault="00955F90" w:rsidP="00955F90">
            <w:pPr>
              <w:rPr>
                <w:rFonts w:ascii="Calibri" w:eastAsia="Times New Roman" w:hAnsi="Calibri" w:cs="Times New Roman"/>
                <w:bCs w:val="0"/>
                <w:color w:val="000000"/>
                <w:sz w:val="18"/>
                <w:szCs w:val="18"/>
              </w:rPr>
            </w:pPr>
            <w:proofErr w:type="spellStart"/>
            <w:r>
              <w:rPr>
                <w:rFonts w:ascii="Calibri" w:eastAsia="Times New Roman" w:hAnsi="Calibri" w:cs="Times New Roman"/>
                <w:bCs w:val="0"/>
                <w:color w:val="000000"/>
                <w:sz w:val="18"/>
                <w:szCs w:val="18"/>
              </w:rPr>
              <w:t>Russian</w:t>
            </w:r>
            <w:proofErr w:type="spellEnd"/>
            <w:r>
              <w:rPr>
                <w:rFonts w:ascii="Calibri" w:eastAsia="Times New Roman" w:hAnsi="Calibri" w:cs="Times New Roman"/>
                <w:bCs w:val="0"/>
                <w:color w:val="000000"/>
                <w:sz w:val="18"/>
                <w:szCs w:val="18"/>
              </w:rPr>
              <w:t xml:space="preserve"> </w:t>
            </w:r>
            <w:proofErr w:type="spellStart"/>
            <w:r>
              <w:rPr>
                <w:rFonts w:ascii="Calibri" w:eastAsia="Times New Roman" w:hAnsi="Calibri" w:cs="Times New Roman"/>
                <w:bCs w:val="0"/>
                <w:color w:val="000000"/>
                <w:sz w:val="18"/>
                <w:szCs w:val="18"/>
              </w:rPr>
              <w:t>Federat</w:t>
            </w:r>
            <w:proofErr w:type="spellEnd"/>
            <w:r>
              <w:rPr>
                <w:rFonts w:ascii="Calibri" w:eastAsia="Times New Roman" w:hAnsi="Calibri" w:cs="Times New Roman"/>
                <w:bCs w:val="0"/>
                <w:color w:val="000000"/>
                <w:sz w:val="18"/>
                <w:szCs w:val="18"/>
              </w:rPr>
              <w:t>.</w:t>
            </w:r>
          </w:p>
        </w:tc>
        <w:tc>
          <w:tcPr>
            <w:tcW w:w="655" w:type="dxa"/>
          </w:tcPr>
          <w:p w14:paraId="52FE76F4" w14:textId="4DA8E63D" w:rsidR="00955F90" w:rsidRPr="00675437"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96</w:t>
            </w:r>
          </w:p>
        </w:tc>
        <w:tc>
          <w:tcPr>
            <w:tcW w:w="708" w:type="dxa"/>
          </w:tcPr>
          <w:p w14:paraId="07264D21" w14:textId="63959FC7" w:rsidR="00955F90" w:rsidRPr="00AA16CB"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112</w:t>
            </w:r>
          </w:p>
        </w:tc>
        <w:tc>
          <w:tcPr>
            <w:tcW w:w="709" w:type="dxa"/>
          </w:tcPr>
          <w:p w14:paraId="2E75AC32" w14:textId="3EE9D030"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62</w:t>
            </w:r>
          </w:p>
        </w:tc>
        <w:tc>
          <w:tcPr>
            <w:tcW w:w="851" w:type="dxa"/>
            <w:hideMark/>
          </w:tcPr>
          <w:p w14:paraId="6369A056" w14:textId="2017399B"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34</w:t>
            </w:r>
          </w:p>
        </w:tc>
        <w:tc>
          <w:tcPr>
            <w:tcW w:w="850" w:type="dxa"/>
            <w:hideMark/>
          </w:tcPr>
          <w:p w14:paraId="6638E9AB" w14:textId="2A830D05"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156</w:t>
            </w:r>
          </w:p>
        </w:tc>
        <w:tc>
          <w:tcPr>
            <w:tcW w:w="709" w:type="dxa"/>
            <w:hideMark/>
          </w:tcPr>
          <w:p w14:paraId="30692A93" w14:textId="47D7CDE0"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143</w:t>
            </w:r>
          </w:p>
        </w:tc>
        <w:tc>
          <w:tcPr>
            <w:tcW w:w="869" w:type="dxa"/>
            <w:gridSpan w:val="2"/>
            <w:hideMark/>
          </w:tcPr>
          <w:p w14:paraId="4D9320FE" w14:textId="0E409C3D"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12</w:t>
            </w:r>
          </w:p>
        </w:tc>
        <w:tc>
          <w:tcPr>
            <w:tcW w:w="709" w:type="dxa"/>
            <w:gridSpan w:val="2"/>
            <w:hideMark/>
          </w:tcPr>
          <w:p w14:paraId="20659714" w14:textId="7871AF8C"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61</w:t>
            </w:r>
          </w:p>
        </w:tc>
        <w:tc>
          <w:tcPr>
            <w:tcW w:w="851" w:type="dxa"/>
            <w:gridSpan w:val="2"/>
            <w:hideMark/>
          </w:tcPr>
          <w:p w14:paraId="746195D5" w14:textId="10897FDF"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100</w:t>
            </w:r>
          </w:p>
        </w:tc>
        <w:tc>
          <w:tcPr>
            <w:tcW w:w="708" w:type="dxa"/>
            <w:gridSpan w:val="2"/>
            <w:hideMark/>
          </w:tcPr>
          <w:p w14:paraId="5EBDF5BA" w14:textId="15E9291B"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49</w:t>
            </w:r>
          </w:p>
        </w:tc>
        <w:tc>
          <w:tcPr>
            <w:tcW w:w="789" w:type="dxa"/>
            <w:gridSpan w:val="2"/>
            <w:hideMark/>
          </w:tcPr>
          <w:p w14:paraId="3888C965" w14:textId="5E4A0EBF"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155</w:t>
            </w:r>
          </w:p>
        </w:tc>
        <w:tc>
          <w:tcPr>
            <w:tcW w:w="893" w:type="dxa"/>
            <w:hideMark/>
          </w:tcPr>
          <w:p w14:paraId="72A305F3" w14:textId="48E206DF"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14</w:t>
            </w:r>
          </w:p>
        </w:tc>
        <w:tc>
          <w:tcPr>
            <w:tcW w:w="851" w:type="dxa"/>
            <w:hideMark/>
          </w:tcPr>
          <w:p w14:paraId="73282872" w14:textId="68DF5F0D" w:rsidR="00955F90" w:rsidRPr="00DA607C" w:rsidRDefault="00955F90" w:rsidP="00955F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65</w:t>
            </w:r>
          </w:p>
        </w:tc>
      </w:tr>
      <w:tr w:rsidR="00744256" w:rsidRPr="003160E7" w14:paraId="027252CE" w14:textId="77777777" w:rsidTr="0074425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523FDF2A" w14:textId="7405B4D2" w:rsidR="00CE1C60" w:rsidRPr="00BC768C" w:rsidRDefault="00CE1C60" w:rsidP="00955F90">
            <w:pPr>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Moldova</w:t>
            </w:r>
          </w:p>
        </w:tc>
        <w:tc>
          <w:tcPr>
            <w:tcW w:w="655" w:type="dxa"/>
          </w:tcPr>
          <w:p w14:paraId="77613342" w14:textId="19F6C84C" w:rsidR="00CE1C60" w:rsidRPr="00675437"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103</w:t>
            </w:r>
          </w:p>
        </w:tc>
        <w:tc>
          <w:tcPr>
            <w:tcW w:w="708" w:type="dxa"/>
          </w:tcPr>
          <w:p w14:paraId="66F8657B" w14:textId="2B6EC455" w:rsidR="00CE1C60" w:rsidRPr="00AA16CB"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83</w:t>
            </w:r>
          </w:p>
        </w:tc>
        <w:tc>
          <w:tcPr>
            <w:tcW w:w="709" w:type="dxa"/>
          </w:tcPr>
          <w:p w14:paraId="204C30CD" w14:textId="33110702"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63</w:t>
            </w:r>
          </w:p>
        </w:tc>
        <w:tc>
          <w:tcPr>
            <w:tcW w:w="851" w:type="dxa"/>
            <w:hideMark/>
          </w:tcPr>
          <w:p w14:paraId="625A1F49" w14:textId="428BF226"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35</w:t>
            </w:r>
          </w:p>
        </w:tc>
        <w:tc>
          <w:tcPr>
            <w:tcW w:w="850" w:type="dxa"/>
            <w:hideMark/>
          </w:tcPr>
          <w:p w14:paraId="366F1A2C" w14:textId="533E236C"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175</w:t>
            </w:r>
          </w:p>
        </w:tc>
        <w:tc>
          <w:tcPr>
            <w:tcW w:w="709" w:type="dxa"/>
            <w:hideMark/>
          </w:tcPr>
          <w:p w14:paraId="5F4BDDFA" w14:textId="1C982A51"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149</w:t>
            </w:r>
          </w:p>
        </w:tc>
        <w:tc>
          <w:tcPr>
            <w:tcW w:w="869" w:type="dxa"/>
            <w:gridSpan w:val="2"/>
            <w:hideMark/>
          </w:tcPr>
          <w:p w14:paraId="7C8FB169" w14:textId="47E67460"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22</w:t>
            </w:r>
          </w:p>
        </w:tc>
        <w:tc>
          <w:tcPr>
            <w:tcW w:w="709" w:type="dxa"/>
            <w:gridSpan w:val="2"/>
            <w:hideMark/>
          </w:tcPr>
          <w:p w14:paraId="2F95F112" w14:textId="251F4069"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23</w:t>
            </w:r>
          </w:p>
        </w:tc>
        <w:tc>
          <w:tcPr>
            <w:tcW w:w="851" w:type="dxa"/>
            <w:gridSpan w:val="2"/>
            <w:hideMark/>
          </w:tcPr>
          <w:p w14:paraId="264E16FB" w14:textId="265A25D0"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56</w:t>
            </w:r>
          </w:p>
        </w:tc>
        <w:tc>
          <w:tcPr>
            <w:tcW w:w="708" w:type="dxa"/>
            <w:gridSpan w:val="2"/>
            <w:hideMark/>
          </w:tcPr>
          <w:p w14:paraId="1CD4740D" w14:textId="452CFEE7"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70</w:t>
            </w:r>
          </w:p>
        </w:tc>
        <w:tc>
          <w:tcPr>
            <w:tcW w:w="789" w:type="dxa"/>
            <w:gridSpan w:val="2"/>
            <w:hideMark/>
          </w:tcPr>
          <w:p w14:paraId="1D74DA89" w14:textId="134CF1BC"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152</w:t>
            </w:r>
          </w:p>
        </w:tc>
        <w:tc>
          <w:tcPr>
            <w:tcW w:w="893" w:type="dxa"/>
            <w:hideMark/>
          </w:tcPr>
          <w:p w14:paraId="26F07C02" w14:textId="4FAFEB60"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42</w:t>
            </w:r>
          </w:p>
        </w:tc>
        <w:tc>
          <w:tcPr>
            <w:tcW w:w="851" w:type="dxa"/>
            <w:hideMark/>
          </w:tcPr>
          <w:p w14:paraId="72D22214" w14:textId="469081C6" w:rsidR="00CE1C60" w:rsidRPr="00DA607C" w:rsidRDefault="00CE1C60"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58</w:t>
            </w:r>
          </w:p>
        </w:tc>
      </w:tr>
      <w:tr w:rsidR="00912E29" w:rsidRPr="003160E7" w14:paraId="2F8EF042" w14:textId="77777777" w:rsidTr="007442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3" w:type="dxa"/>
          </w:tcPr>
          <w:p w14:paraId="76DF4DEC" w14:textId="471917EA" w:rsidR="00CE1C60" w:rsidRPr="00BC768C" w:rsidRDefault="00CE1C60" w:rsidP="00CE1C60">
            <w:pPr>
              <w:rPr>
                <w:rFonts w:ascii="Calibri" w:eastAsia="Times New Roman" w:hAnsi="Calibri" w:cs="Times New Roman"/>
                <w:bCs w:val="0"/>
                <w:color w:val="000000"/>
                <w:sz w:val="18"/>
                <w:szCs w:val="18"/>
              </w:rPr>
            </w:pPr>
            <w:proofErr w:type="spellStart"/>
            <w:r w:rsidRPr="00BC768C">
              <w:rPr>
                <w:rFonts w:ascii="Calibri" w:eastAsia="Times New Roman" w:hAnsi="Calibri" w:cs="Times New Roman"/>
                <w:bCs w:val="0"/>
                <w:color w:val="000000"/>
                <w:sz w:val="18"/>
                <w:szCs w:val="18"/>
              </w:rPr>
              <w:t>Azerbaijan</w:t>
            </w:r>
            <w:proofErr w:type="spellEnd"/>
          </w:p>
        </w:tc>
        <w:tc>
          <w:tcPr>
            <w:tcW w:w="655" w:type="dxa"/>
          </w:tcPr>
          <w:p w14:paraId="6FBD5391" w14:textId="28B73FDB" w:rsidR="00CE1C60" w:rsidRPr="00675437"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99</w:t>
            </w:r>
          </w:p>
        </w:tc>
        <w:tc>
          <w:tcPr>
            <w:tcW w:w="708" w:type="dxa"/>
          </w:tcPr>
          <w:p w14:paraId="4D3BC3C2" w14:textId="191971DA" w:rsidR="00CE1C60" w:rsidRPr="00AA16CB"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67</w:t>
            </w:r>
          </w:p>
        </w:tc>
        <w:tc>
          <w:tcPr>
            <w:tcW w:w="709" w:type="dxa"/>
          </w:tcPr>
          <w:p w14:paraId="5BD214A2" w14:textId="42E58B78"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80</w:t>
            </w:r>
          </w:p>
        </w:tc>
        <w:tc>
          <w:tcPr>
            <w:tcW w:w="851" w:type="dxa"/>
            <w:hideMark/>
          </w:tcPr>
          <w:p w14:paraId="08D1BA7A" w14:textId="3D65E560"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12</w:t>
            </w:r>
          </w:p>
        </w:tc>
        <w:tc>
          <w:tcPr>
            <w:tcW w:w="850" w:type="dxa"/>
            <w:hideMark/>
          </w:tcPr>
          <w:p w14:paraId="70EB9B5B" w14:textId="464976B5"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150</w:t>
            </w:r>
          </w:p>
        </w:tc>
        <w:tc>
          <w:tcPr>
            <w:tcW w:w="709" w:type="dxa"/>
            <w:hideMark/>
          </w:tcPr>
          <w:p w14:paraId="19B3E560" w14:textId="5E8FE6B3"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159</w:t>
            </w:r>
          </w:p>
        </w:tc>
        <w:tc>
          <w:tcPr>
            <w:tcW w:w="869" w:type="dxa"/>
            <w:gridSpan w:val="2"/>
            <w:hideMark/>
          </w:tcPr>
          <w:p w14:paraId="25735C55" w14:textId="72172640"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w:t>
            </w:r>
          </w:p>
        </w:tc>
        <w:tc>
          <w:tcPr>
            <w:tcW w:w="709" w:type="dxa"/>
            <w:gridSpan w:val="2"/>
            <w:hideMark/>
          </w:tcPr>
          <w:p w14:paraId="55A9F528" w14:textId="4DC4D541"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104</w:t>
            </w:r>
          </w:p>
        </w:tc>
        <w:tc>
          <w:tcPr>
            <w:tcW w:w="851" w:type="dxa"/>
            <w:gridSpan w:val="2"/>
            <w:hideMark/>
          </w:tcPr>
          <w:p w14:paraId="742ED5EC" w14:textId="1A88F4CC"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51</w:t>
            </w:r>
          </w:p>
        </w:tc>
        <w:tc>
          <w:tcPr>
            <w:tcW w:w="708" w:type="dxa"/>
            <w:gridSpan w:val="2"/>
            <w:hideMark/>
          </w:tcPr>
          <w:p w14:paraId="43D1A922" w14:textId="630179F5"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33</w:t>
            </w:r>
          </w:p>
        </w:tc>
        <w:tc>
          <w:tcPr>
            <w:tcW w:w="789" w:type="dxa"/>
            <w:gridSpan w:val="2"/>
            <w:hideMark/>
          </w:tcPr>
          <w:p w14:paraId="5D52547E" w14:textId="72BAADBD"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166</w:t>
            </w:r>
          </w:p>
        </w:tc>
        <w:tc>
          <w:tcPr>
            <w:tcW w:w="893" w:type="dxa"/>
            <w:hideMark/>
          </w:tcPr>
          <w:p w14:paraId="3A804921" w14:textId="13EF9750"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31</w:t>
            </w:r>
          </w:p>
        </w:tc>
        <w:tc>
          <w:tcPr>
            <w:tcW w:w="851" w:type="dxa"/>
            <w:hideMark/>
          </w:tcPr>
          <w:p w14:paraId="66824B48" w14:textId="5016FBB3" w:rsidR="00CE1C60" w:rsidRPr="00DA607C" w:rsidRDefault="00CE1C60" w:rsidP="00CE1C6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94</w:t>
            </w:r>
          </w:p>
        </w:tc>
      </w:tr>
      <w:tr w:rsidR="00744256" w:rsidRPr="003160E7" w14:paraId="4E761E93" w14:textId="77777777" w:rsidTr="00744256">
        <w:trPr>
          <w:cnfStyle w:val="000000010000" w:firstRow="0" w:lastRow="0" w:firstColumn="0" w:lastColumn="0" w:oddVBand="0" w:evenVBand="0" w:oddHBand="0" w:evenHBand="1"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013" w:type="dxa"/>
          </w:tcPr>
          <w:p w14:paraId="19A3EB6C" w14:textId="4EF19D7C" w:rsidR="00933845" w:rsidRPr="00BC768C" w:rsidRDefault="00933845" w:rsidP="00955F90">
            <w:pPr>
              <w:rPr>
                <w:rFonts w:ascii="Calibri" w:eastAsia="Times New Roman" w:hAnsi="Calibri" w:cs="Times New Roman"/>
                <w:bCs w:val="0"/>
                <w:color w:val="000000"/>
                <w:sz w:val="18"/>
                <w:szCs w:val="18"/>
              </w:rPr>
            </w:pPr>
            <w:r w:rsidRPr="00BC768C">
              <w:rPr>
                <w:rFonts w:ascii="Calibri" w:eastAsia="Times New Roman" w:hAnsi="Calibri" w:cs="Times New Roman"/>
                <w:bCs w:val="0"/>
                <w:color w:val="000000"/>
                <w:sz w:val="18"/>
                <w:szCs w:val="18"/>
              </w:rPr>
              <w:t>Ukraine</w:t>
            </w:r>
          </w:p>
        </w:tc>
        <w:tc>
          <w:tcPr>
            <w:tcW w:w="655" w:type="dxa"/>
          </w:tcPr>
          <w:p w14:paraId="408B40BD" w14:textId="26337723" w:rsidR="00933845" w:rsidRPr="00675437"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675437">
              <w:rPr>
                <w:rFonts w:ascii="Calibri" w:eastAsia="Times New Roman" w:hAnsi="Calibri" w:cs="Times New Roman"/>
                <w:i/>
                <w:color w:val="000000"/>
                <w:sz w:val="18"/>
                <w:szCs w:val="18"/>
              </w:rPr>
              <w:t>128</w:t>
            </w:r>
          </w:p>
        </w:tc>
        <w:tc>
          <w:tcPr>
            <w:tcW w:w="708" w:type="dxa"/>
          </w:tcPr>
          <w:p w14:paraId="393F5679" w14:textId="1F6E526F" w:rsidR="00933845" w:rsidRPr="00AA16CB"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i/>
                <w:color w:val="000000"/>
                <w:sz w:val="18"/>
                <w:szCs w:val="18"/>
              </w:rPr>
            </w:pPr>
            <w:r w:rsidRPr="00AA16CB">
              <w:rPr>
                <w:rFonts w:ascii="Calibri" w:eastAsia="Times New Roman" w:hAnsi="Calibri" w:cs="Times New Roman"/>
                <w:i/>
                <w:color w:val="000000"/>
                <w:sz w:val="18"/>
                <w:szCs w:val="18"/>
              </w:rPr>
              <w:t>137</w:t>
            </w:r>
          </w:p>
        </w:tc>
        <w:tc>
          <w:tcPr>
            <w:tcW w:w="709" w:type="dxa"/>
          </w:tcPr>
          <w:p w14:paraId="165BF483" w14:textId="1DF5C902"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0000"/>
                <w:sz w:val="18"/>
                <w:szCs w:val="18"/>
              </w:rPr>
            </w:pPr>
            <w:r w:rsidRPr="00DA607C">
              <w:rPr>
                <w:rFonts w:ascii="Calibri" w:hAnsi="Calibri"/>
                <w:b/>
                <w:sz w:val="18"/>
                <w:szCs w:val="18"/>
              </w:rPr>
              <w:t>96</w:t>
            </w:r>
          </w:p>
        </w:tc>
        <w:tc>
          <w:tcPr>
            <w:tcW w:w="851" w:type="dxa"/>
            <w:hideMark/>
          </w:tcPr>
          <w:p w14:paraId="4DE52231" w14:textId="52580917"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76</w:t>
            </w:r>
          </w:p>
        </w:tc>
        <w:tc>
          <w:tcPr>
            <w:tcW w:w="850" w:type="dxa"/>
            <w:hideMark/>
          </w:tcPr>
          <w:p w14:paraId="6A5DA184" w14:textId="3C0B4ECC"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70</w:t>
            </w:r>
          </w:p>
        </w:tc>
        <w:tc>
          <w:tcPr>
            <w:tcW w:w="709" w:type="dxa"/>
            <w:hideMark/>
          </w:tcPr>
          <w:p w14:paraId="250A3E7D" w14:textId="19D9A9C4"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185</w:t>
            </w:r>
          </w:p>
        </w:tc>
        <w:tc>
          <w:tcPr>
            <w:tcW w:w="869" w:type="dxa"/>
            <w:gridSpan w:val="2"/>
            <w:hideMark/>
          </w:tcPr>
          <w:p w14:paraId="150C0CB7" w14:textId="4C8122FC"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59</w:t>
            </w:r>
          </w:p>
        </w:tc>
        <w:tc>
          <w:tcPr>
            <w:tcW w:w="709" w:type="dxa"/>
            <w:gridSpan w:val="2"/>
            <w:hideMark/>
          </w:tcPr>
          <w:p w14:paraId="0A509104" w14:textId="488BFD22"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17</w:t>
            </w:r>
          </w:p>
        </w:tc>
        <w:tc>
          <w:tcPr>
            <w:tcW w:w="851" w:type="dxa"/>
            <w:gridSpan w:val="2"/>
            <w:hideMark/>
          </w:tcPr>
          <w:p w14:paraId="4FD7F356" w14:textId="2C464356"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109</w:t>
            </w:r>
          </w:p>
        </w:tc>
        <w:tc>
          <w:tcPr>
            <w:tcW w:w="708" w:type="dxa"/>
            <w:gridSpan w:val="2"/>
            <w:hideMark/>
          </w:tcPr>
          <w:p w14:paraId="2A9EFC84" w14:textId="652A7A86"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108</w:t>
            </w:r>
          </w:p>
        </w:tc>
        <w:tc>
          <w:tcPr>
            <w:tcW w:w="789" w:type="dxa"/>
            <w:gridSpan w:val="2"/>
            <w:hideMark/>
          </w:tcPr>
          <w:p w14:paraId="304A185D" w14:textId="2BD0E93A"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154</w:t>
            </w:r>
          </w:p>
        </w:tc>
        <w:tc>
          <w:tcPr>
            <w:tcW w:w="893" w:type="dxa"/>
            <w:hideMark/>
          </w:tcPr>
          <w:p w14:paraId="25957B68" w14:textId="1F0389E3"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43</w:t>
            </w:r>
          </w:p>
        </w:tc>
        <w:tc>
          <w:tcPr>
            <w:tcW w:w="851" w:type="dxa"/>
            <w:hideMark/>
          </w:tcPr>
          <w:p w14:paraId="72AC1387" w14:textId="19FC5BAB" w:rsidR="00933845" w:rsidRPr="00DA607C" w:rsidRDefault="00933845" w:rsidP="00955F90">
            <w:pPr>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sz w:val="18"/>
                <w:szCs w:val="18"/>
              </w:rPr>
            </w:pPr>
            <w:r w:rsidRPr="00DA607C">
              <w:rPr>
                <w:rFonts w:ascii="Calibri" w:hAnsi="Calibri"/>
                <w:sz w:val="18"/>
                <w:szCs w:val="18"/>
              </w:rPr>
              <w:t>142</w:t>
            </w:r>
          </w:p>
        </w:tc>
      </w:tr>
    </w:tbl>
    <w:p w14:paraId="76E35CF5" w14:textId="7CCD785A" w:rsidR="00620154" w:rsidRDefault="005072B1" w:rsidP="007160C2">
      <w:pPr>
        <w:pStyle w:val="Caption"/>
        <w:spacing w:before="120" w:after="0"/>
        <w:jc w:val="both"/>
        <w:rPr>
          <w:sz w:val="22"/>
          <w:szCs w:val="22"/>
          <w:lang w:val="en-GB"/>
        </w:rPr>
      </w:pPr>
      <w:proofErr w:type="gramStart"/>
      <w:r w:rsidRPr="000D3441">
        <w:rPr>
          <w:sz w:val="22"/>
          <w:szCs w:val="22"/>
          <w:lang w:val="en-GB"/>
        </w:rPr>
        <w:lastRenderedPageBreak/>
        <w:t>Table 3.</w:t>
      </w:r>
      <w:proofErr w:type="gramEnd"/>
      <w:r w:rsidRPr="000D3441">
        <w:rPr>
          <w:sz w:val="22"/>
          <w:szCs w:val="22"/>
          <w:lang w:val="en-GB"/>
        </w:rPr>
        <w:t xml:space="preserve"> Ease of Doing Business (EDB) overall ranking 2007 (ranking out of 175 countries)</w:t>
      </w:r>
      <w:r w:rsidR="007E3559">
        <w:rPr>
          <w:sz w:val="22"/>
          <w:szCs w:val="22"/>
          <w:lang w:val="en-GB"/>
        </w:rPr>
        <w:t>, 2012</w:t>
      </w:r>
      <w:r w:rsidRPr="000D3441">
        <w:rPr>
          <w:sz w:val="22"/>
          <w:szCs w:val="22"/>
          <w:lang w:val="en-GB"/>
        </w:rPr>
        <w:t xml:space="preserve"> and 201</w:t>
      </w:r>
      <w:r w:rsidR="00BE14EB">
        <w:rPr>
          <w:rFonts w:ascii="Times New Roman" w:hAnsi="Times New Roman"/>
          <w:sz w:val="22"/>
          <w:szCs w:val="22"/>
          <w:lang w:val="bg-BG"/>
        </w:rPr>
        <w:t>4</w:t>
      </w:r>
      <w:r w:rsidRPr="000D3441">
        <w:rPr>
          <w:sz w:val="22"/>
          <w:szCs w:val="22"/>
          <w:lang w:val="en-GB"/>
        </w:rPr>
        <w:t xml:space="preserve"> (out of 18</w:t>
      </w:r>
      <w:r w:rsidR="00E02DE9">
        <w:rPr>
          <w:rFonts w:ascii="Times New Roman" w:hAnsi="Times New Roman"/>
          <w:sz w:val="22"/>
          <w:szCs w:val="22"/>
          <w:lang w:val="bg-BG"/>
        </w:rPr>
        <w:t>9</w:t>
      </w:r>
      <w:r w:rsidRPr="000D3441">
        <w:rPr>
          <w:sz w:val="22"/>
          <w:szCs w:val="22"/>
          <w:lang w:val="en-GB"/>
        </w:rPr>
        <w:t xml:space="preserve"> countries) and key indicator ranking for 201</w:t>
      </w:r>
      <w:r w:rsidR="00BE14EB">
        <w:rPr>
          <w:rFonts w:ascii="Times New Roman" w:hAnsi="Times New Roman"/>
          <w:sz w:val="22"/>
          <w:szCs w:val="22"/>
          <w:lang w:val="bg-BG"/>
        </w:rPr>
        <w:t>4</w:t>
      </w:r>
      <w:r w:rsidRPr="000D3441">
        <w:rPr>
          <w:vertAlign w:val="superscript"/>
        </w:rPr>
        <w:endnoteReference w:id="42"/>
      </w:r>
      <w:r w:rsidRPr="000D3441">
        <w:rPr>
          <w:sz w:val="22"/>
          <w:szCs w:val="22"/>
          <w:lang w:val="en-GB"/>
        </w:rPr>
        <w:t>.</w:t>
      </w:r>
      <w:r>
        <w:rPr>
          <w:sz w:val="22"/>
          <w:szCs w:val="22"/>
          <w:lang w:val="en-GB"/>
        </w:rPr>
        <w:t xml:space="preserve"> A good</w:t>
      </w:r>
      <w:r w:rsidRPr="000D3441">
        <w:rPr>
          <w:sz w:val="22"/>
          <w:szCs w:val="22"/>
          <w:lang w:val="en-GB"/>
        </w:rPr>
        <w:t xml:space="preserve"> ranking on the EDB index means the regulatory environment is more conducive to starting and operating a local firm. </w:t>
      </w:r>
      <w:r>
        <w:rPr>
          <w:sz w:val="22"/>
          <w:szCs w:val="22"/>
          <w:lang w:val="en-GB"/>
        </w:rPr>
        <w:t xml:space="preserve">  </w:t>
      </w:r>
      <w:bookmarkStart w:id="27" w:name="_Toc246127425"/>
    </w:p>
    <w:p w14:paraId="0B722323" w14:textId="77777777" w:rsidR="003B5454" w:rsidRDefault="005072B1" w:rsidP="003B5454">
      <w:pPr>
        <w:spacing w:before="240" w:after="120" w:line="264" w:lineRule="auto"/>
        <w:rPr>
          <w:b/>
          <w:bCs/>
          <w:lang w:val="en-GB"/>
        </w:rPr>
      </w:pPr>
      <w:r w:rsidRPr="00002063">
        <w:rPr>
          <w:b/>
          <w:bCs/>
          <w:lang w:val="en-GB"/>
        </w:rPr>
        <w:t>International trade</w:t>
      </w:r>
      <w:bookmarkEnd w:id="27"/>
      <w:r w:rsidRPr="00002063">
        <w:rPr>
          <w:b/>
          <w:bCs/>
          <w:lang w:val="en-GB"/>
        </w:rPr>
        <w:t xml:space="preserve"> </w:t>
      </w:r>
    </w:p>
    <w:p w14:paraId="34BA9A35" w14:textId="77777777" w:rsidR="005072B1" w:rsidRPr="003B5454" w:rsidRDefault="005072B1" w:rsidP="00422207">
      <w:pPr>
        <w:spacing w:before="240" w:after="120" w:line="264" w:lineRule="auto"/>
        <w:jc w:val="both"/>
        <w:rPr>
          <w:b/>
          <w:bCs/>
          <w:lang w:val="en-GB"/>
        </w:rPr>
      </w:pPr>
      <w:r w:rsidRPr="004B58D3">
        <w:rPr>
          <w:sz w:val="22"/>
          <w:szCs w:val="22"/>
          <w:lang w:val="en-GB"/>
        </w:rPr>
        <w:t>With average exports representing 39% of GDP and imports 46% of GDP, the Black Sea countries show overall in 2012 a trade openness</w:t>
      </w:r>
      <w:r w:rsidRPr="004D189B">
        <w:rPr>
          <w:rStyle w:val="FootnoteReference"/>
          <w:sz w:val="22"/>
          <w:szCs w:val="22"/>
        </w:rPr>
        <w:footnoteReference w:id="31"/>
      </w:r>
      <w:r w:rsidRPr="004B58D3">
        <w:rPr>
          <w:sz w:val="22"/>
          <w:szCs w:val="22"/>
          <w:lang w:val="en-GB"/>
        </w:rPr>
        <w:t xml:space="preserve"> similar to that of the EU (with respectively 43% for exports and 41% for imports). These averages nonetheless mask great national </w:t>
      </w:r>
      <w:proofErr w:type="spellStart"/>
      <w:r w:rsidRPr="004B58D3">
        <w:rPr>
          <w:sz w:val="22"/>
          <w:szCs w:val="22"/>
          <w:lang w:val="en-GB"/>
        </w:rPr>
        <w:t>discrepencies</w:t>
      </w:r>
      <w:proofErr w:type="spellEnd"/>
      <w:r w:rsidRPr="004B58D3">
        <w:rPr>
          <w:sz w:val="22"/>
          <w:szCs w:val="22"/>
          <w:lang w:val="en-GB"/>
        </w:rPr>
        <w:t xml:space="preserve"> both in terms of the integration of these countries into international trade – with Bulgaria, Moldova and Ukraine being the most integrated an</w:t>
      </w:r>
      <w:r>
        <w:rPr>
          <w:sz w:val="22"/>
          <w:szCs w:val="22"/>
          <w:lang w:val="en-GB"/>
        </w:rPr>
        <w:t>d Romania and Russia the least</w:t>
      </w:r>
      <w:r w:rsidRPr="004B58D3">
        <w:rPr>
          <w:sz w:val="22"/>
          <w:szCs w:val="22"/>
          <w:lang w:val="en-GB"/>
        </w:rPr>
        <w:t xml:space="preserve"> – and in terms of trade balance, with the two oil-exporting </w:t>
      </w:r>
      <w:proofErr w:type="spellStart"/>
      <w:r w:rsidRPr="004B58D3">
        <w:rPr>
          <w:sz w:val="22"/>
          <w:szCs w:val="22"/>
          <w:lang w:val="en-GB"/>
        </w:rPr>
        <w:t>contries</w:t>
      </w:r>
      <w:proofErr w:type="spellEnd"/>
      <w:r w:rsidRPr="004B58D3">
        <w:rPr>
          <w:sz w:val="22"/>
          <w:szCs w:val="22"/>
          <w:lang w:val="en-GB"/>
        </w:rPr>
        <w:t xml:space="preserve"> achieving considerable trade surplus, while several others struggle with la</w:t>
      </w:r>
      <w:r>
        <w:rPr>
          <w:sz w:val="22"/>
          <w:szCs w:val="22"/>
          <w:lang w:val="en-GB"/>
        </w:rPr>
        <w:t>r</w:t>
      </w:r>
      <w:r w:rsidR="00F7145D">
        <w:rPr>
          <w:sz w:val="22"/>
          <w:szCs w:val="22"/>
          <w:lang w:val="en-GB"/>
        </w:rPr>
        <w:t>ge trade deficits (see figure 9</w:t>
      </w:r>
      <w:r>
        <w:rPr>
          <w:sz w:val="22"/>
          <w:szCs w:val="22"/>
          <w:lang w:val="en-GB"/>
        </w:rPr>
        <w:t xml:space="preserve"> below</w:t>
      </w:r>
      <w:r w:rsidRPr="004B58D3">
        <w:rPr>
          <w:sz w:val="22"/>
          <w:szCs w:val="22"/>
          <w:lang w:val="en-GB"/>
        </w:rPr>
        <w:t>).</w:t>
      </w:r>
    </w:p>
    <w:p w14:paraId="75BAA856" w14:textId="77777777" w:rsidR="005072B1" w:rsidRDefault="005072B1" w:rsidP="005072B1">
      <w:pPr>
        <w:keepNext/>
        <w:widowControl w:val="0"/>
        <w:autoSpaceDE w:val="0"/>
        <w:autoSpaceDN w:val="0"/>
        <w:adjustRightInd w:val="0"/>
        <w:spacing w:before="120" w:after="0" w:line="252" w:lineRule="auto"/>
      </w:pPr>
      <w:r>
        <w:rPr>
          <w:rFonts w:ascii="Times New Roman" w:hAnsi="Times New Roman" w:cs="Times New Roman"/>
          <w:noProof/>
          <w:sz w:val="22"/>
          <w:szCs w:val="22"/>
          <w:lang w:val="en-GB" w:eastAsia="en-GB"/>
        </w:rPr>
        <w:drawing>
          <wp:inline distT="0" distB="0" distL="0" distR="0" wp14:anchorId="5C6AEA34" wp14:editId="0CA7BC3D">
            <wp:extent cx="6697345" cy="2335699"/>
            <wp:effectExtent l="0" t="0" r="8255"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97345" cy="2335699"/>
                    </a:xfrm>
                    <a:prstGeom prst="rect">
                      <a:avLst/>
                    </a:prstGeom>
                    <a:noFill/>
                    <a:ln>
                      <a:noFill/>
                    </a:ln>
                  </pic:spPr>
                </pic:pic>
              </a:graphicData>
            </a:graphic>
          </wp:inline>
        </w:drawing>
      </w:r>
    </w:p>
    <w:p w14:paraId="14D8D738" w14:textId="77777777" w:rsidR="005072B1" w:rsidRPr="004B58D3" w:rsidRDefault="005072B1" w:rsidP="005A12B9">
      <w:pPr>
        <w:pStyle w:val="Caption"/>
        <w:spacing w:after="0" w:line="252" w:lineRule="auto"/>
        <w:jc w:val="left"/>
        <w:rPr>
          <w:rFonts w:ascii="Times New Roman" w:hAnsi="Times New Roman" w:cs="Times New Roman"/>
          <w:sz w:val="22"/>
          <w:szCs w:val="22"/>
          <w:lang w:val="en-GB"/>
        </w:rPr>
      </w:pPr>
      <w:proofErr w:type="gramStart"/>
      <w:r w:rsidRPr="004B58D3">
        <w:rPr>
          <w:sz w:val="22"/>
          <w:szCs w:val="22"/>
          <w:lang w:val="en-GB"/>
        </w:rPr>
        <w:t xml:space="preserve">Figure </w:t>
      </w:r>
      <w:r w:rsidR="00957F9B">
        <w:rPr>
          <w:sz w:val="22"/>
          <w:szCs w:val="22"/>
          <w:lang w:val="en-GB"/>
        </w:rPr>
        <w:t>9</w:t>
      </w:r>
      <w:r w:rsidRPr="004B58D3">
        <w:rPr>
          <w:sz w:val="22"/>
          <w:szCs w:val="22"/>
          <w:lang w:val="en-GB"/>
        </w:rPr>
        <w:t>.</w:t>
      </w:r>
      <w:proofErr w:type="gramEnd"/>
      <w:r w:rsidRPr="004B58D3">
        <w:rPr>
          <w:sz w:val="22"/>
          <w:szCs w:val="22"/>
          <w:lang w:val="en-GB"/>
        </w:rPr>
        <w:t xml:space="preserve"> Exports and Imports of goods and services, as a % of GDP, 2012</w:t>
      </w:r>
      <w:r>
        <w:rPr>
          <w:rStyle w:val="EndnoteReference"/>
          <w:sz w:val="22"/>
          <w:szCs w:val="22"/>
        </w:rPr>
        <w:endnoteReference w:id="43"/>
      </w:r>
    </w:p>
    <w:p w14:paraId="5186AC74" w14:textId="77777777" w:rsidR="007F36FD" w:rsidRDefault="007F36FD" w:rsidP="005072B1">
      <w:pPr>
        <w:spacing w:before="120" w:after="0" w:line="252" w:lineRule="auto"/>
        <w:jc w:val="both"/>
        <w:rPr>
          <w:sz w:val="22"/>
          <w:szCs w:val="22"/>
          <w:lang w:val="en-GB"/>
        </w:rPr>
      </w:pPr>
    </w:p>
    <w:p w14:paraId="5DC52914"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Since 2004, the EU has become the main trading partner for each country in the Black Sea region. In 2009, trade with the EU amounted to 30% of overall trade for Armenia, 43 % for Azerbaijan and 29% for Georgia</w:t>
      </w:r>
      <w:r w:rsidRPr="004D189B">
        <w:rPr>
          <w:rStyle w:val="EndnoteReference"/>
          <w:rFonts w:cs="Times New Roman"/>
          <w:sz w:val="22"/>
          <w:szCs w:val="22"/>
        </w:rPr>
        <w:endnoteReference w:id="44"/>
      </w:r>
      <w:r w:rsidRPr="004B58D3">
        <w:rPr>
          <w:sz w:val="22"/>
          <w:szCs w:val="22"/>
          <w:lang w:val="en-GB"/>
        </w:rPr>
        <w:t>. Trade figures also reveal that intra-regional trade within the Black Sea region expanded more quickly than overall external trade, both in the growth years, from 2000–2008, and in the recovery year of 2010</w:t>
      </w:r>
      <w:r w:rsidRPr="004D189B">
        <w:rPr>
          <w:rStyle w:val="EndnoteReference"/>
          <w:sz w:val="22"/>
          <w:szCs w:val="22"/>
        </w:rPr>
        <w:endnoteReference w:id="45"/>
      </w:r>
      <w:r w:rsidRPr="004B58D3">
        <w:rPr>
          <w:sz w:val="22"/>
          <w:szCs w:val="22"/>
          <w:lang w:val="en-GB"/>
        </w:rPr>
        <w:t>.</w:t>
      </w:r>
    </w:p>
    <w:p w14:paraId="6FC5C4C5"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The breakdown of key exports for each country is presented in the figure below and shows the great disparities among Black Sea export profiles, with notably Moldova relying mostly on food products, Romania and Turkey on manufactured goods and Azerbaijan and Russia on fuel</w:t>
      </w:r>
      <w:r w:rsidR="00205392">
        <w:rPr>
          <w:sz w:val="22"/>
          <w:szCs w:val="22"/>
          <w:lang w:val="en-GB"/>
        </w:rPr>
        <w:t xml:space="preserve"> (see figure 10</w:t>
      </w:r>
      <w:r>
        <w:rPr>
          <w:sz w:val="22"/>
          <w:szCs w:val="22"/>
          <w:lang w:val="en-GB"/>
        </w:rPr>
        <w:t xml:space="preserve"> below</w:t>
      </w:r>
      <w:r w:rsidRPr="004B58D3">
        <w:rPr>
          <w:sz w:val="22"/>
          <w:szCs w:val="22"/>
          <w:lang w:val="en-GB"/>
        </w:rPr>
        <w:t>).</w:t>
      </w:r>
    </w:p>
    <w:p w14:paraId="111AB7F9" w14:textId="77777777" w:rsidR="005072B1" w:rsidRDefault="005072B1" w:rsidP="005072B1">
      <w:pPr>
        <w:keepNext/>
        <w:spacing w:before="120" w:after="0" w:line="252" w:lineRule="auto"/>
        <w:jc w:val="both"/>
      </w:pPr>
      <w:r>
        <w:rPr>
          <w:noProof/>
          <w:lang w:val="en-GB" w:eastAsia="en-GB"/>
        </w:rPr>
        <w:lastRenderedPageBreak/>
        <w:drawing>
          <wp:inline distT="0" distB="0" distL="0" distR="0" wp14:anchorId="19ED207E" wp14:editId="78F98ECA">
            <wp:extent cx="6914045" cy="2445843"/>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14846" cy="2446126"/>
                    </a:xfrm>
                    <a:prstGeom prst="rect">
                      <a:avLst/>
                    </a:prstGeom>
                    <a:noFill/>
                    <a:ln>
                      <a:noFill/>
                    </a:ln>
                  </pic:spPr>
                </pic:pic>
              </a:graphicData>
            </a:graphic>
          </wp:inline>
        </w:drawing>
      </w:r>
    </w:p>
    <w:p w14:paraId="49108F6B" w14:textId="77777777" w:rsidR="005072B1" w:rsidRPr="004B58D3" w:rsidRDefault="005072B1" w:rsidP="005A12B9">
      <w:pPr>
        <w:pStyle w:val="Caption"/>
        <w:spacing w:after="0" w:line="252" w:lineRule="auto"/>
        <w:jc w:val="both"/>
        <w:rPr>
          <w:sz w:val="22"/>
          <w:szCs w:val="22"/>
          <w:lang w:val="en-GB"/>
        </w:rPr>
      </w:pPr>
      <w:proofErr w:type="gramStart"/>
      <w:r w:rsidRPr="004B58D3">
        <w:rPr>
          <w:sz w:val="22"/>
          <w:szCs w:val="22"/>
          <w:lang w:val="en-GB"/>
        </w:rPr>
        <w:t xml:space="preserve">Figure </w:t>
      </w:r>
      <w:r w:rsidR="00957F9B">
        <w:rPr>
          <w:sz w:val="22"/>
          <w:szCs w:val="22"/>
          <w:lang w:val="en-GB"/>
        </w:rPr>
        <w:t>10</w:t>
      </w:r>
      <w:r w:rsidRPr="004B58D3">
        <w:rPr>
          <w:sz w:val="22"/>
          <w:szCs w:val="22"/>
          <w:lang w:val="en-GB"/>
        </w:rPr>
        <w:t>.</w:t>
      </w:r>
      <w:proofErr w:type="gramEnd"/>
      <w:r w:rsidRPr="004B58D3">
        <w:rPr>
          <w:sz w:val="22"/>
          <w:szCs w:val="22"/>
          <w:lang w:val="en-GB"/>
        </w:rPr>
        <w:t xml:space="preserve"> Main type of exports per country, 2011</w:t>
      </w:r>
      <w:r w:rsidRPr="00844F5F">
        <w:rPr>
          <w:rStyle w:val="EndnoteReference"/>
          <w:sz w:val="22"/>
          <w:szCs w:val="22"/>
        </w:rPr>
        <w:endnoteReference w:id="46"/>
      </w:r>
    </w:p>
    <w:p w14:paraId="1B5ACC0C"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High technology exports remain limited overall, ranging from 1.3% (Azerbaijan) to 10.2% (Romania) of manufactured goods exported in 2011 against 16% on average for the EU, with an uneven tendency over t</w:t>
      </w:r>
      <w:r w:rsidR="00B67D2F">
        <w:rPr>
          <w:sz w:val="22"/>
          <w:szCs w:val="22"/>
          <w:lang w:val="en-GB"/>
        </w:rPr>
        <w:t>he last few years (see figure 11</w:t>
      </w:r>
      <w:r w:rsidRPr="004B58D3">
        <w:rPr>
          <w:sz w:val="22"/>
          <w:szCs w:val="22"/>
          <w:lang w:val="en-GB"/>
        </w:rPr>
        <w:t xml:space="preserve"> below). These figures show that the stimulation of innovation and research in the Black Sea Basin area remains a challenge.</w:t>
      </w:r>
    </w:p>
    <w:p w14:paraId="0552A97A" w14:textId="77777777" w:rsidR="005072B1" w:rsidRDefault="005072B1" w:rsidP="005072B1">
      <w:pPr>
        <w:keepNext/>
        <w:spacing w:before="120" w:after="0" w:line="252" w:lineRule="auto"/>
      </w:pPr>
      <w:r>
        <w:rPr>
          <w:rFonts w:ascii="Times New Roman" w:hAnsi="Times New Roman" w:cs="Times New Roman"/>
          <w:noProof/>
          <w:sz w:val="22"/>
          <w:szCs w:val="22"/>
          <w:lang w:val="en-GB" w:eastAsia="en-GB"/>
        </w:rPr>
        <w:drawing>
          <wp:inline distT="0" distB="0" distL="0" distR="0" wp14:anchorId="72647F72" wp14:editId="147A1D45">
            <wp:extent cx="6697345" cy="2271223"/>
            <wp:effectExtent l="0" t="0" r="825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97345" cy="2271223"/>
                    </a:xfrm>
                    <a:prstGeom prst="rect">
                      <a:avLst/>
                    </a:prstGeom>
                    <a:noFill/>
                    <a:ln>
                      <a:noFill/>
                    </a:ln>
                  </pic:spPr>
                </pic:pic>
              </a:graphicData>
            </a:graphic>
          </wp:inline>
        </w:drawing>
      </w:r>
    </w:p>
    <w:p w14:paraId="4F3C5AE0" w14:textId="77777777" w:rsidR="005072B1" w:rsidRPr="004B58D3" w:rsidRDefault="005072B1"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957F9B">
        <w:rPr>
          <w:sz w:val="22"/>
          <w:szCs w:val="22"/>
          <w:lang w:val="en-GB"/>
        </w:rPr>
        <w:t>11</w:t>
      </w:r>
      <w:r w:rsidRPr="004B58D3">
        <w:rPr>
          <w:sz w:val="22"/>
          <w:szCs w:val="22"/>
          <w:lang w:val="en-GB"/>
        </w:rPr>
        <w:t>.</w:t>
      </w:r>
      <w:proofErr w:type="gramEnd"/>
      <w:r w:rsidRPr="004B58D3">
        <w:rPr>
          <w:sz w:val="22"/>
          <w:szCs w:val="22"/>
          <w:lang w:val="en-GB"/>
        </w:rPr>
        <w:t xml:space="preserve"> High technology exports (% of manufactured exports), 2006-2011</w:t>
      </w:r>
      <w:r>
        <w:rPr>
          <w:rStyle w:val="EndnoteReference"/>
          <w:sz w:val="22"/>
          <w:szCs w:val="22"/>
        </w:rPr>
        <w:endnoteReference w:id="47"/>
      </w:r>
    </w:p>
    <w:p w14:paraId="59772DFF" w14:textId="77777777" w:rsidR="005072B1" w:rsidRPr="00002063" w:rsidRDefault="005072B1" w:rsidP="00002063">
      <w:pPr>
        <w:spacing w:before="180" w:after="180" w:line="264" w:lineRule="auto"/>
        <w:rPr>
          <w:b/>
          <w:bCs/>
          <w:lang w:val="en-GB"/>
        </w:rPr>
      </w:pPr>
      <w:bookmarkStart w:id="28" w:name="_Toc246127426"/>
      <w:r w:rsidRPr="00002063">
        <w:rPr>
          <w:b/>
          <w:bCs/>
          <w:lang w:val="en-GB"/>
        </w:rPr>
        <w:t>Tourism</w:t>
      </w:r>
      <w:bookmarkEnd w:id="28"/>
    </w:p>
    <w:p w14:paraId="4C2C7BAF" w14:textId="177ABFE0" w:rsidR="005072B1" w:rsidRPr="004B58D3" w:rsidRDefault="005072B1" w:rsidP="005072B1">
      <w:pPr>
        <w:spacing w:before="120" w:after="0" w:line="252" w:lineRule="auto"/>
        <w:jc w:val="both"/>
        <w:rPr>
          <w:sz w:val="22"/>
          <w:szCs w:val="22"/>
          <w:lang w:val="en-GB"/>
        </w:rPr>
      </w:pPr>
      <w:r w:rsidRPr="004B58D3">
        <w:rPr>
          <w:sz w:val="22"/>
          <w:szCs w:val="22"/>
          <w:lang w:val="en-GB"/>
        </w:rPr>
        <w:t xml:space="preserve">The Black Sea Basin favourable climate and outstanding natural features - including mineral springs and beautiful beaches – have made the region an important destination for recreational and health tourism with the Crimea being the most important. Seaside resorts in Bulgaria, Romania, Ukraine, Russia and Georgia are very active but </w:t>
      </w:r>
      <w:r>
        <w:rPr>
          <w:sz w:val="22"/>
          <w:szCs w:val="22"/>
          <w:lang w:val="en-GB"/>
        </w:rPr>
        <w:t xml:space="preserve">are </w:t>
      </w:r>
      <w:r w:rsidRPr="004B58D3">
        <w:rPr>
          <w:sz w:val="22"/>
          <w:szCs w:val="22"/>
          <w:lang w:val="en-GB"/>
        </w:rPr>
        <w:t>less developed on Turkey's coasts (where</w:t>
      </w:r>
      <w:r w:rsidR="00715DFD">
        <w:rPr>
          <w:sz w:val="22"/>
          <w:szCs w:val="22"/>
          <w:lang w:val="en-GB"/>
        </w:rPr>
        <w:t xml:space="preserve"> seaside</w:t>
      </w:r>
      <w:r w:rsidRPr="004B58D3">
        <w:rPr>
          <w:sz w:val="22"/>
          <w:szCs w:val="22"/>
          <w:lang w:val="en-GB"/>
        </w:rPr>
        <w:t xml:space="preserve"> tourism is focused mainly on the Mediterranean</w:t>
      </w:r>
      <w:r w:rsidR="00493E1C">
        <w:rPr>
          <w:sz w:val="22"/>
          <w:szCs w:val="22"/>
          <w:lang w:val="en-GB"/>
        </w:rPr>
        <w:t xml:space="preserve">, </w:t>
      </w:r>
      <w:r w:rsidR="00715DFD">
        <w:rPr>
          <w:sz w:val="22"/>
          <w:szCs w:val="22"/>
          <w:lang w:val="en-GB"/>
        </w:rPr>
        <w:t>while</w:t>
      </w:r>
      <w:r w:rsidR="00493E1C">
        <w:rPr>
          <w:sz w:val="22"/>
          <w:szCs w:val="22"/>
          <w:lang w:val="en-GB"/>
        </w:rPr>
        <w:t xml:space="preserve"> the Black Sea region is most</w:t>
      </w:r>
      <w:r w:rsidR="00A25BAB">
        <w:rPr>
          <w:sz w:val="22"/>
          <w:szCs w:val="22"/>
          <w:lang w:val="en-GB"/>
        </w:rPr>
        <w:t>ly preferred for nature tourism</w:t>
      </w:r>
      <w:r w:rsidRPr="004B58D3">
        <w:rPr>
          <w:sz w:val="22"/>
          <w:szCs w:val="22"/>
          <w:lang w:val="en-GB"/>
        </w:rPr>
        <w:t>)</w:t>
      </w:r>
      <w:r w:rsidR="00804737" w:rsidRPr="00804737">
        <w:rPr>
          <w:sz w:val="22"/>
          <w:szCs w:val="22"/>
          <w:lang w:val="en-GB"/>
        </w:rPr>
        <w:t>.</w:t>
      </w:r>
      <w:r w:rsidR="00804737">
        <w:rPr>
          <w:sz w:val="22"/>
          <w:szCs w:val="22"/>
          <w:lang w:val="en-GB"/>
        </w:rPr>
        <w:t xml:space="preserve"> </w:t>
      </w:r>
      <w:r w:rsidRPr="004B58D3">
        <w:rPr>
          <w:sz w:val="22"/>
          <w:szCs w:val="22"/>
          <w:lang w:val="en-GB"/>
        </w:rPr>
        <w:t xml:space="preserve">Tourism potential in the Black Sea Basin area is rich and diversified, including </w:t>
      </w:r>
      <w:r>
        <w:rPr>
          <w:sz w:val="22"/>
          <w:szCs w:val="22"/>
          <w:lang w:val="en-GB"/>
        </w:rPr>
        <w:t xml:space="preserve">in addition </w:t>
      </w:r>
      <w:r w:rsidRPr="004B58D3">
        <w:rPr>
          <w:sz w:val="22"/>
          <w:szCs w:val="22"/>
          <w:lang w:val="en-GB"/>
        </w:rPr>
        <w:t xml:space="preserve">for spa and medical tourism, culture, nature, eco and agro-tourism, </w:t>
      </w:r>
      <w:r w:rsidR="00715DFD">
        <w:rPr>
          <w:sz w:val="22"/>
          <w:szCs w:val="22"/>
          <w:lang w:val="en-GB"/>
        </w:rPr>
        <w:t xml:space="preserve">golf tourism and sea cruises, </w:t>
      </w:r>
      <w:r w:rsidRPr="004B58D3">
        <w:rPr>
          <w:sz w:val="22"/>
          <w:szCs w:val="22"/>
          <w:lang w:val="en-GB"/>
        </w:rPr>
        <w:t>adventure, cave and mountain tourism, and tourism related to cuisine, rivers, hunting and diving as well as winter tourism (skiing)</w:t>
      </w:r>
      <w:r w:rsidRPr="004D189B">
        <w:rPr>
          <w:rStyle w:val="EndnoteReference"/>
          <w:sz w:val="22"/>
          <w:szCs w:val="22"/>
        </w:rPr>
        <w:endnoteReference w:id="48"/>
      </w:r>
      <w:r w:rsidRPr="004B58D3">
        <w:rPr>
          <w:sz w:val="22"/>
          <w:szCs w:val="22"/>
          <w:lang w:val="en-GB"/>
        </w:rPr>
        <w:t>.</w:t>
      </w:r>
      <w:r w:rsidR="00E12AD5" w:rsidRPr="006E2C3C">
        <w:rPr>
          <w:lang w:val="en-GB"/>
        </w:rPr>
        <w:t xml:space="preserve"> </w:t>
      </w:r>
    </w:p>
    <w:p w14:paraId="6191BF90" w14:textId="5B1FC320" w:rsidR="005072B1" w:rsidRPr="004B58D3" w:rsidRDefault="005072B1" w:rsidP="005072B1">
      <w:pPr>
        <w:spacing w:before="120" w:after="0" w:line="252" w:lineRule="auto"/>
        <w:jc w:val="both"/>
        <w:rPr>
          <w:sz w:val="22"/>
          <w:szCs w:val="22"/>
          <w:lang w:val="en-GB"/>
        </w:rPr>
      </w:pPr>
      <w:r w:rsidRPr="004B58D3">
        <w:rPr>
          <w:sz w:val="22"/>
          <w:szCs w:val="22"/>
          <w:lang w:val="en-GB"/>
        </w:rPr>
        <w:t xml:space="preserve">Even though the lack of comprehensive regional data limits the possibility to draw a full regional picture, it appears clearly that the number of international visitors to the Black Sea Basin eligible area has expanded </w:t>
      </w:r>
      <w:r w:rsidRPr="004B58D3">
        <w:rPr>
          <w:sz w:val="22"/>
          <w:szCs w:val="22"/>
          <w:lang w:val="en-GB"/>
        </w:rPr>
        <w:lastRenderedPageBreak/>
        <w:t>rapidly since 2004</w:t>
      </w:r>
      <w:r w:rsidRPr="004D189B">
        <w:rPr>
          <w:rStyle w:val="EndnoteReference"/>
          <w:sz w:val="22"/>
          <w:szCs w:val="22"/>
        </w:rPr>
        <w:endnoteReference w:id="49"/>
      </w:r>
      <w:r w:rsidRPr="004B58D3">
        <w:rPr>
          <w:sz w:val="22"/>
          <w:szCs w:val="22"/>
          <w:lang w:val="en-GB"/>
        </w:rPr>
        <w:t xml:space="preserve"> thanks notably to enhanced tourist infrastructure. In 2012 only, Georgia registered 36% more international visitors than in 2011</w:t>
      </w:r>
      <w:r w:rsidR="00A25BAB">
        <w:rPr>
          <w:sz w:val="22"/>
          <w:szCs w:val="22"/>
          <w:lang w:val="en-GB"/>
        </w:rPr>
        <w:t>,</w:t>
      </w:r>
      <w:r w:rsidRPr="004B58D3">
        <w:rPr>
          <w:sz w:val="22"/>
          <w:szCs w:val="22"/>
          <w:lang w:val="en-GB"/>
        </w:rPr>
        <w:t xml:space="preserve"> reaching 4.4 million visitors (against 0.1 million in 2004)</w:t>
      </w:r>
      <w:r w:rsidRPr="004D189B">
        <w:rPr>
          <w:rStyle w:val="EndnoteReference"/>
          <w:sz w:val="22"/>
          <w:szCs w:val="22"/>
        </w:rPr>
        <w:endnoteReference w:id="50"/>
      </w:r>
      <w:r w:rsidRPr="004B58D3">
        <w:rPr>
          <w:sz w:val="22"/>
          <w:szCs w:val="22"/>
          <w:lang w:val="en-GB"/>
        </w:rPr>
        <w:t xml:space="preserve">. </w:t>
      </w:r>
      <w:r w:rsidR="00242CDE">
        <w:rPr>
          <w:sz w:val="22"/>
          <w:szCs w:val="22"/>
          <w:lang w:val="en-GB"/>
        </w:rPr>
        <w:t xml:space="preserve">The foreign </w:t>
      </w:r>
      <w:r w:rsidR="00644118" w:rsidRPr="00644118">
        <w:rPr>
          <w:sz w:val="22"/>
          <w:szCs w:val="22"/>
          <w:lang w:val="en-GB"/>
        </w:rPr>
        <w:t xml:space="preserve">visitors to the Bulgarian Black Sea coast have been steadily increasing by 5 to 6 % annually </w:t>
      </w:r>
      <w:r w:rsidR="00644118">
        <w:rPr>
          <w:sz w:val="22"/>
          <w:szCs w:val="22"/>
          <w:lang w:val="en-GB"/>
        </w:rPr>
        <w:t xml:space="preserve">during </w:t>
      </w:r>
      <w:r w:rsidR="00644118" w:rsidRPr="00644118">
        <w:rPr>
          <w:sz w:val="22"/>
          <w:szCs w:val="22"/>
          <w:lang w:val="en-GB"/>
        </w:rPr>
        <w:t>the period 2009 – 2014</w:t>
      </w:r>
      <w:r w:rsidR="00715DFD">
        <w:rPr>
          <w:rStyle w:val="EndnoteReference"/>
          <w:sz w:val="22"/>
          <w:szCs w:val="22"/>
          <w:lang w:val="en-GB"/>
        </w:rPr>
        <w:endnoteReference w:id="51"/>
      </w:r>
      <w:r w:rsidR="00644118" w:rsidRPr="00644118">
        <w:rPr>
          <w:sz w:val="22"/>
          <w:szCs w:val="22"/>
          <w:lang w:val="en-GB"/>
        </w:rPr>
        <w:t xml:space="preserve">. </w:t>
      </w:r>
      <w:r w:rsidRPr="004B58D3">
        <w:rPr>
          <w:sz w:val="22"/>
          <w:szCs w:val="22"/>
          <w:lang w:val="en-GB"/>
        </w:rPr>
        <w:t>Tourism within the Black Sea region constitutes a substantial component, visitors from Black Sea Basin countries account for three quarters of total international arrivals to Azerbaijan, about half in Moldova and more than a third in Romania</w:t>
      </w:r>
      <w:r w:rsidR="00644118">
        <w:rPr>
          <w:sz w:val="22"/>
          <w:szCs w:val="22"/>
          <w:lang w:val="en-GB"/>
        </w:rPr>
        <w:t>,</w:t>
      </w:r>
      <w:r w:rsidRPr="004B58D3">
        <w:rPr>
          <w:sz w:val="22"/>
          <w:szCs w:val="22"/>
          <w:lang w:val="en-GB"/>
        </w:rPr>
        <w:t xml:space="preserve"> Georgia</w:t>
      </w:r>
      <w:r w:rsidR="00644118">
        <w:rPr>
          <w:sz w:val="22"/>
          <w:szCs w:val="22"/>
          <w:lang w:val="en-GB"/>
        </w:rPr>
        <w:t xml:space="preserve"> and </w:t>
      </w:r>
      <w:r w:rsidR="00644118" w:rsidRPr="00644118">
        <w:rPr>
          <w:sz w:val="22"/>
          <w:szCs w:val="22"/>
          <w:lang w:val="en-GB"/>
        </w:rPr>
        <w:t>Bulgaria</w:t>
      </w:r>
      <w:r w:rsidR="00311B02" w:rsidRPr="006E2C3C">
        <w:rPr>
          <w:rStyle w:val="FootnoteReference"/>
          <w:sz w:val="22"/>
          <w:szCs w:val="22"/>
          <w:lang w:val="en-GB"/>
        </w:rPr>
        <w:t xml:space="preserve"> </w:t>
      </w:r>
      <w:r w:rsidR="00311B02" w:rsidRPr="004D189B">
        <w:rPr>
          <w:rStyle w:val="FootnoteReference"/>
          <w:sz w:val="22"/>
          <w:szCs w:val="22"/>
        </w:rPr>
        <w:footnoteReference w:id="32"/>
      </w:r>
      <w:r w:rsidRPr="004B58D3">
        <w:rPr>
          <w:sz w:val="22"/>
          <w:szCs w:val="22"/>
          <w:lang w:val="en-GB"/>
        </w:rPr>
        <w:t>.</w:t>
      </w:r>
      <w:r w:rsidR="00804737">
        <w:rPr>
          <w:sz w:val="22"/>
          <w:szCs w:val="22"/>
          <w:lang w:val="en-GB"/>
        </w:rPr>
        <w:t xml:space="preserve"> </w:t>
      </w:r>
      <w:r w:rsidRPr="004B58D3">
        <w:rPr>
          <w:sz w:val="22"/>
          <w:szCs w:val="22"/>
          <w:lang w:val="en-GB"/>
        </w:rPr>
        <w:t>The countries of origin common to several Black Sea Basin tourist destinations include Germany, the United States, the UK and Italy, providing opportunities for joint tourism products around the Black Sea.</w:t>
      </w:r>
    </w:p>
    <w:p w14:paraId="4E70BC41" w14:textId="3240CA67" w:rsidR="00620154" w:rsidRPr="007F36FD" w:rsidRDefault="005072B1" w:rsidP="007F36FD">
      <w:pPr>
        <w:spacing w:before="120" w:after="0" w:line="252" w:lineRule="auto"/>
        <w:jc w:val="both"/>
        <w:rPr>
          <w:sz w:val="22"/>
          <w:szCs w:val="22"/>
          <w:lang w:val="en-GB"/>
        </w:rPr>
      </w:pPr>
      <w:r w:rsidRPr="004B58D3">
        <w:rPr>
          <w:sz w:val="22"/>
          <w:szCs w:val="22"/>
          <w:lang w:val="en-GB"/>
        </w:rPr>
        <w:t>Continued expansion and diversification of tourism over the past six decades means it has become one of the largest and fastest-growing economic sectors in the world and it is still expected to increase considerably in the coming years</w:t>
      </w:r>
      <w:r w:rsidRPr="004D189B">
        <w:rPr>
          <w:rStyle w:val="EndnoteReference"/>
          <w:sz w:val="22"/>
          <w:szCs w:val="22"/>
        </w:rPr>
        <w:endnoteReference w:id="52"/>
      </w:r>
      <w:r w:rsidRPr="004B58D3">
        <w:rPr>
          <w:sz w:val="22"/>
          <w:szCs w:val="22"/>
          <w:lang w:val="en-GB"/>
        </w:rPr>
        <w:t>. These international trends therefore could be an opportunity for cooperation for further tourism development based on the Black Sea Basin’s rich potential. Tourism has very positive impact on employment and income, although it also creates environmental challenges</w:t>
      </w:r>
      <w:r w:rsidR="00E54A7E">
        <w:rPr>
          <w:sz w:val="22"/>
          <w:szCs w:val="22"/>
          <w:lang w:val="en-GB"/>
        </w:rPr>
        <w:t xml:space="preserve"> and distorted urbanisation</w:t>
      </w:r>
      <w:r w:rsidRPr="004B58D3">
        <w:rPr>
          <w:sz w:val="22"/>
          <w:szCs w:val="22"/>
          <w:lang w:val="en-GB"/>
        </w:rPr>
        <w:t xml:space="preserve"> notably in the coastal areas.</w:t>
      </w:r>
      <w:bookmarkStart w:id="29" w:name="_Toc246127427"/>
    </w:p>
    <w:p w14:paraId="55F2EFF7" w14:textId="77777777" w:rsidR="005072B1" w:rsidRPr="00002063" w:rsidRDefault="005072B1" w:rsidP="00002063">
      <w:pPr>
        <w:spacing w:before="180" w:after="180" w:line="264" w:lineRule="auto"/>
        <w:rPr>
          <w:b/>
          <w:bCs/>
          <w:lang w:val="en-GB"/>
        </w:rPr>
      </w:pPr>
      <w:r w:rsidRPr="00002063">
        <w:rPr>
          <w:b/>
          <w:bCs/>
          <w:lang w:val="en-GB"/>
        </w:rPr>
        <w:t>Agriculture</w:t>
      </w:r>
      <w:bookmarkEnd w:id="29"/>
      <w:r w:rsidRPr="00002063">
        <w:rPr>
          <w:b/>
          <w:bCs/>
          <w:lang w:val="en-GB"/>
        </w:rPr>
        <w:t xml:space="preserve"> </w:t>
      </w:r>
    </w:p>
    <w:p w14:paraId="63ECB537" w14:textId="77777777" w:rsidR="005072B1" w:rsidRPr="004B58D3" w:rsidRDefault="005072B1" w:rsidP="005072B1">
      <w:pPr>
        <w:spacing w:before="120" w:after="0" w:line="252" w:lineRule="auto"/>
        <w:jc w:val="both"/>
        <w:rPr>
          <w:sz w:val="22"/>
          <w:szCs w:val="22"/>
          <w:lang w:val="en-GB"/>
        </w:rPr>
      </w:pPr>
      <w:r w:rsidRPr="004B58D3">
        <w:rPr>
          <w:sz w:val="22"/>
          <w:szCs w:val="22"/>
          <w:lang w:val="en-GB"/>
        </w:rPr>
        <w:t>Though the agricultural sector has generally declined in the Black Sea Basin countries, it is still a substantial or major component of most of their economies, in particular in terms of employment, e.g. providing over 45% of employment in Ge</w:t>
      </w:r>
      <w:r w:rsidR="00A30E36">
        <w:rPr>
          <w:sz w:val="22"/>
          <w:szCs w:val="22"/>
          <w:lang w:val="en-GB"/>
        </w:rPr>
        <w:t>orgia and Armenia (see figure 13</w:t>
      </w:r>
      <w:r w:rsidRPr="004B58D3">
        <w:rPr>
          <w:sz w:val="22"/>
          <w:szCs w:val="22"/>
          <w:lang w:val="en-GB"/>
        </w:rPr>
        <w:t>, employment distribution) or in</w:t>
      </w:r>
      <w:r w:rsidR="00A30E36">
        <w:rPr>
          <w:sz w:val="22"/>
          <w:szCs w:val="22"/>
          <w:lang w:val="en-GB"/>
        </w:rPr>
        <w:t xml:space="preserve"> terms of exports (see figure 10</w:t>
      </w:r>
      <w:r w:rsidRPr="004B58D3">
        <w:rPr>
          <w:sz w:val="22"/>
          <w:szCs w:val="22"/>
          <w:lang w:val="en-GB"/>
        </w:rPr>
        <w:t xml:space="preserve"> above). Agricultural products such as fruits and nuts, vegetables, cereals, meat, dairy products, fish and alcohol are amongst the main goods traded between countries within the Black Sea Basin area</w:t>
      </w:r>
      <w:r w:rsidRPr="004D189B">
        <w:rPr>
          <w:rStyle w:val="EndnoteReference"/>
          <w:sz w:val="22"/>
          <w:szCs w:val="22"/>
        </w:rPr>
        <w:endnoteReference w:id="53"/>
      </w:r>
      <w:r w:rsidRPr="004B58D3">
        <w:rPr>
          <w:sz w:val="22"/>
          <w:szCs w:val="22"/>
          <w:lang w:val="en-GB"/>
        </w:rPr>
        <w:t xml:space="preserve"> and therefore there could be good potential complementarities.</w:t>
      </w:r>
    </w:p>
    <w:p w14:paraId="0AF0DAB2" w14:textId="507E8FA5" w:rsidR="005072B1" w:rsidRPr="000D3441" w:rsidRDefault="005072B1" w:rsidP="005072B1">
      <w:pPr>
        <w:spacing w:before="120" w:after="0" w:line="252" w:lineRule="auto"/>
        <w:jc w:val="both"/>
        <w:rPr>
          <w:sz w:val="22"/>
          <w:szCs w:val="22"/>
          <w:lang w:val="en-GB"/>
        </w:rPr>
      </w:pPr>
      <w:r w:rsidRPr="000D3441">
        <w:rPr>
          <w:sz w:val="22"/>
          <w:szCs w:val="22"/>
          <w:lang w:val="en-GB"/>
        </w:rPr>
        <w:t>Organic farming sti</w:t>
      </w:r>
      <w:r w:rsidR="00F157BC">
        <w:rPr>
          <w:sz w:val="22"/>
          <w:szCs w:val="22"/>
          <w:lang w:val="en-GB"/>
        </w:rPr>
        <w:t>ll appears to be little develop</w:t>
      </w:r>
      <w:r w:rsidRPr="000D3441">
        <w:rPr>
          <w:sz w:val="22"/>
          <w:szCs w:val="22"/>
          <w:lang w:val="en-GB"/>
        </w:rPr>
        <w:t>ed in the Black Sea Basin area</w:t>
      </w:r>
      <w:r w:rsidRPr="000D3441">
        <w:rPr>
          <w:rStyle w:val="EndnoteReference"/>
          <w:sz w:val="22"/>
          <w:szCs w:val="22"/>
        </w:rPr>
        <w:endnoteReference w:id="54"/>
      </w:r>
      <w:r w:rsidRPr="000D3441">
        <w:rPr>
          <w:sz w:val="22"/>
          <w:szCs w:val="22"/>
          <w:lang w:val="en-GB"/>
        </w:rPr>
        <w:t>, representing at best 1.6% of farmland in Romanian South-East region and 0.9% in T</w:t>
      </w:r>
      <w:r w:rsidR="00493E1C">
        <w:rPr>
          <w:sz w:val="22"/>
          <w:szCs w:val="22"/>
          <w:lang w:val="en-GB"/>
        </w:rPr>
        <w:t>R90</w:t>
      </w:r>
      <w:r w:rsidRPr="000D3441">
        <w:rPr>
          <w:sz w:val="22"/>
          <w:szCs w:val="22"/>
          <w:lang w:val="en-GB"/>
        </w:rPr>
        <w:t xml:space="preserve"> region (Turkey)</w:t>
      </w:r>
      <w:r w:rsidRPr="000D3441">
        <w:rPr>
          <w:rStyle w:val="FootnoteReference"/>
          <w:sz w:val="22"/>
          <w:szCs w:val="22"/>
        </w:rPr>
        <w:footnoteReference w:id="33"/>
      </w:r>
      <w:r w:rsidRPr="000D3441">
        <w:rPr>
          <w:sz w:val="22"/>
          <w:szCs w:val="22"/>
          <w:lang w:val="en-GB"/>
        </w:rPr>
        <w:t>, despite a world tendency for a strong growth in organic farmland. Organically managed farmland grew by 57% in the EU in the period 2005 to 2011, representing 5.4% of EU agricultural land in 2011</w:t>
      </w:r>
      <w:r w:rsidRPr="000D3441">
        <w:rPr>
          <w:rStyle w:val="EndnoteReference"/>
          <w:sz w:val="22"/>
          <w:szCs w:val="22"/>
        </w:rPr>
        <w:endnoteReference w:id="55"/>
      </w:r>
      <w:r w:rsidRPr="000D3441">
        <w:rPr>
          <w:sz w:val="22"/>
          <w:szCs w:val="22"/>
          <w:lang w:val="en-GB"/>
        </w:rPr>
        <w:t xml:space="preserve">. Considering these dynamics and the more </w:t>
      </w:r>
      <w:proofErr w:type="spellStart"/>
      <w:r w:rsidRPr="000D3441">
        <w:rPr>
          <w:sz w:val="22"/>
          <w:szCs w:val="22"/>
          <w:lang w:val="en-GB"/>
        </w:rPr>
        <w:t>lalour</w:t>
      </w:r>
      <w:proofErr w:type="spellEnd"/>
      <w:r w:rsidRPr="000D3441">
        <w:rPr>
          <w:sz w:val="22"/>
          <w:szCs w:val="22"/>
          <w:lang w:val="en-GB"/>
        </w:rPr>
        <w:t xml:space="preserve">-intensive nature of organic farming, it could present an opportunity for further development and cooperation in the Black Sea Basin.   </w:t>
      </w:r>
    </w:p>
    <w:p w14:paraId="55029EBA" w14:textId="77777777" w:rsidR="005072B1" w:rsidRDefault="005072B1" w:rsidP="00EC0F3B">
      <w:pPr>
        <w:spacing w:before="120" w:after="0" w:line="252" w:lineRule="auto"/>
        <w:jc w:val="both"/>
        <w:rPr>
          <w:sz w:val="22"/>
          <w:szCs w:val="22"/>
          <w:lang w:val="en-GB"/>
        </w:rPr>
      </w:pPr>
      <w:r w:rsidRPr="000D3441">
        <w:rPr>
          <w:sz w:val="22"/>
          <w:szCs w:val="22"/>
          <w:lang w:val="en-GB"/>
        </w:rPr>
        <w:t xml:space="preserve">The development of sustainable aquaculture in the Black Sea basin also seems to present good potential including in all the categories (fresh, brackish and marine water). The production from aquaculture has increased from 185,000 tons in 1999 to 320,000 tons in 2009 with an average annual growth rate of about 7.3 %. This increased production mainly came from freshwater </w:t>
      </w:r>
      <w:r>
        <w:rPr>
          <w:sz w:val="22"/>
          <w:szCs w:val="22"/>
          <w:lang w:val="en-GB"/>
        </w:rPr>
        <w:t>aquaculture (74</w:t>
      </w:r>
      <w:r w:rsidRPr="000D3441">
        <w:rPr>
          <w:sz w:val="22"/>
          <w:szCs w:val="22"/>
          <w:lang w:val="en-GB"/>
        </w:rPr>
        <w:t xml:space="preserve">%), represented largely by carps and other </w:t>
      </w:r>
      <w:proofErr w:type="spellStart"/>
      <w:r w:rsidRPr="000D3441">
        <w:rPr>
          <w:sz w:val="22"/>
          <w:szCs w:val="22"/>
          <w:lang w:val="en-GB"/>
        </w:rPr>
        <w:t>ciprinidae</w:t>
      </w:r>
      <w:proofErr w:type="spellEnd"/>
      <w:r w:rsidRPr="000D3441">
        <w:rPr>
          <w:sz w:val="22"/>
          <w:szCs w:val="22"/>
          <w:lang w:val="en-GB"/>
        </w:rPr>
        <w:t xml:space="preserve">, meanwhile </w:t>
      </w:r>
      <w:proofErr w:type="spellStart"/>
      <w:r w:rsidRPr="000D3441">
        <w:rPr>
          <w:sz w:val="22"/>
          <w:szCs w:val="22"/>
          <w:lang w:val="en-GB"/>
        </w:rPr>
        <w:t>mollusks</w:t>
      </w:r>
      <w:proofErr w:type="spellEnd"/>
      <w:r w:rsidRPr="000D3441">
        <w:rPr>
          <w:sz w:val="22"/>
          <w:szCs w:val="22"/>
          <w:lang w:val="en-GB"/>
        </w:rPr>
        <w:t xml:space="preserve"> and finfish (European sea bass, mussels, oysters, sea trout and turbot) characterise the production of brackish and marine aquaculture (26%)</w:t>
      </w:r>
      <w:r w:rsidRPr="000D3441">
        <w:rPr>
          <w:rStyle w:val="EndnoteReference"/>
          <w:sz w:val="22"/>
          <w:szCs w:val="22"/>
          <w:lang w:val="en-GB"/>
        </w:rPr>
        <w:endnoteReference w:id="56"/>
      </w:r>
      <w:r w:rsidRPr="000D3441">
        <w:rPr>
          <w:sz w:val="22"/>
          <w:szCs w:val="22"/>
          <w:lang w:val="en-GB"/>
        </w:rPr>
        <w:t>. The actual development of brackish and marine aquaculture in the region is not homogenous and shows different patterns according to the technology applied and species reared (e.g. focusing on mussels in Bulgaria and on sea bass and sea trout in Turkey). Technology development during the last years (including cages and new rearing systems) represents new opportunities for marine aquaculture development as well as for regional cooperation and sharing of good practices.</w:t>
      </w:r>
    </w:p>
    <w:p w14:paraId="60902B06" w14:textId="77777777" w:rsidR="00C51C92" w:rsidRPr="00EC0F3B" w:rsidRDefault="00A34868" w:rsidP="00A34868">
      <w:pPr>
        <w:rPr>
          <w:sz w:val="22"/>
          <w:szCs w:val="22"/>
          <w:lang w:val="en-GB"/>
        </w:rPr>
      </w:pPr>
      <w:r>
        <w:rPr>
          <w:sz w:val="22"/>
          <w:szCs w:val="22"/>
          <w:lang w:val="en-GB"/>
        </w:rPr>
        <w:br w:type="page"/>
      </w:r>
    </w:p>
    <w:tbl>
      <w:tblPr>
        <w:tblStyle w:val="ColorfulList"/>
        <w:tblpPr w:leftFromText="141" w:rightFromText="141" w:vertAnchor="text" w:tblpY="1"/>
        <w:tblOverlap w:val="never"/>
        <w:tblW w:w="0" w:type="auto"/>
        <w:tblLayout w:type="fixed"/>
        <w:tblLook w:val="04A0" w:firstRow="1" w:lastRow="0" w:firstColumn="1" w:lastColumn="0" w:noHBand="0" w:noVBand="1"/>
      </w:tblPr>
      <w:tblGrid>
        <w:gridCol w:w="5778"/>
        <w:gridCol w:w="5245"/>
      </w:tblGrid>
      <w:tr w:rsidR="00E26AF0" w:rsidRPr="009A312F" w14:paraId="4F26D85E" w14:textId="77777777" w:rsidTr="00C51C92">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tcBorders>
              <w:top w:val="single" w:sz="4" w:space="0" w:color="983620" w:themeColor="accent2"/>
              <w:left w:val="single" w:sz="4" w:space="0" w:color="983620" w:themeColor="accent2"/>
              <w:right w:val="single" w:sz="4" w:space="0" w:color="983620" w:themeColor="accent2"/>
            </w:tcBorders>
            <w:noWrap/>
            <w:hideMark/>
          </w:tcPr>
          <w:p w14:paraId="15CF5CC6" w14:textId="77777777" w:rsidR="00E26AF0" w:rsidRPr="009A312F" w:rsidRDefault="00E26AF0" w:rsidP="00C51C92">
            <w:pPr>
              <w:jc w:val="center"/>
            </w:pPr>
            <w:r w:rsidRPr="009A312F">
              <w:lastRenderedPageBreak/>
              <w:t>SWOT - ECONOMY</w:t>
            </w:r>
          </w:p>
        </w:tc>
      </w:tr>
      <w:tr w:rsidR="002F1780" w:rsidRPr="009A312F" w14:paraId="7222A7B5"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983620" w:themeColor="accent2"/>
              <w:right w:val="single" w:sz="4" w:space="0" w:color="983620" w:themeColor="accent2"/>
            </w:tcBorders>
            <w:shd w:val="clear" w:color="auto" w:fill="A6A6A6" w:themeFill="background1" w:themeFillShade="A6"/>
            <w:noWrap/>
            <w:hideMark/>
          </w:tcPr>
          <w:p w14:paraId="20477015" w14:textId="77777777" w:rsidR="00E26AF0" w:rsidRPr="009A312F" w:rsidRDefault="00E26AF0" w:rsidP="00C51C92">
            <w:pPr>
              <w:jc w:val="center"/>
            </w:pPr>
            <w:r w:rsidRPr="009A312F">
              <w:t>STRENGTHS</w:t>
            </w:r>
          </w:p>
        </w:tc>
        <w:tc>
          <w:tcPr>
            <w:tcW w:w="5245" w:type="dxa"/>
            <w:tcBorders>
              <w:left w:val="single" w:sz="4" w:space="0" w:color="983620" w:themeColor="accent2"/>
              <w:right w:val="single" w:sz="4" w:space="0" w:color="983620" w:themeColor="accent2"/>
            </w:tcBorders>
            <w:shd w:val="clear" w:color="auto" w:fill="A6A6A6" w:themeFill="background1" w:themeFillShade="A6"/>
            <w:hideMark/>
          </w:tcPr>
          <w:p w14:paraId="6FA3989D" w14:textId="77777777" w:rsidR="00E26AF0" w:rsidRPr="009A312F" w:rsidRDefault="00E26AF0" w:rsidP="00C51C92">
            <w:pPr>
              <w:jc w:val="center"/>
              <w:cnfStyle w:val="000000100000" w:firstRow="0" w:lastRow="0" w:firstColumn="0" w:lastColumn="0" w:oddVBand="0" w:evenVBand="0" w:oddHBand="1" w:evenHBand="0" w:firstRowFirstColumn="0" w:firstRowLastColumn="0" w:lastRowFirstColumn="0" w:lastRowLastColumn="0"/>
              <w:rPr>
                <w:b/>
              </w:rPr>
            </w:pPr>
            <w:r w:rsidRPr="009A312F">
              <w:rPr>
                <w:b/>
              </w:rPr>
              <w:t>WEAKNESSES</w:t>
            </w:r>
          </w:p>
        </w:tc>
      </w:tr>
      <w:tr w:rsidR="00781BD7" w:rsidRPr="00B71347" w14:paraId="69B9E14D" w14:textId="77777777" w:rsidTr="009D178D">
        <w:trPr>
          <w:trHeight w:val="8036"/>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983620" w:themeColor="accent2"/>
              <w:right w:val="single" w:sz="4" w:space="0" w:color="983620" w:themeColor="accent2"/>
            </w:tcBorders>
            <w:hideMark/>
          </w:tcPr>
          <w:tbl>
            <w:tblPr>
              <w:tblW w:w="5670" w:type="dxa"/>
              <w:tblLayout w:type="fixed"/>
              <w:tblCellMar>
                <w:left w:w="70" w:type="dxa"/>
                <w:right w:w="70" w:type="dxa"/>
              </w:tblCellMar>
              <w:tblLook w:val="04A0" w:firstRow="1" w:lastRow="0" w:firstColumn="1" w:lastColumn="0" w:noHBand="0" w:noVBand="1"/>
            </w:tblPr>
            <w:tblGrid>
              <w:gridCol w:w="5670"/>
            </w:tblGrid>
            <w:tr w:rsidR="008F2D2F" w:rsidRPr="00B71347" w14:paraId="09DC2790" w14:textId="77777777" w:rsidTr="00447875">
              <w:trPr>
                <w:trHeight w:val="731"/>
              </w:trPr>
              <w:tc>
                <w:tcPr>
                  <w:tcW w:w="5670" w:type="dxa"/>
                  <w:tcBorders>
                    <w:top w:val="nil"/>
                    <w:left w:val="nil"/>
                    <w:right w:val="nil"/>
                  </w:tcBorders>
                  <w:shd w:val="clear" w:color="auto" w:fill="auto"/>
                  <w:vAlign w:val="center"/>
                  <w:hideMark/>
                </w:tcPr>
                <w:p w14:paraId="3688C184"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 xml:space="preserve">Strong economic growth on average (2006-2012), especially Azerbaijan, Moldova, Georgia and Armenia </w:t>
                  </w:r>
                </w:p>
                <w:p w14:paraId="3774BB0C"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Most of BSB countries seem to be recovering from recession</w:t>
                  </w:r>
                </w:p>
                <w:p w14:paraId="143889E3"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Stable and sustainable single digit rates of inflation</w:t>
                  </w:r>
                </w:p>
                <w:p w14:paraId="580E8ABA"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Improved set of institutions, policies and factors determining the level of productivity have raised competitiveness of most BSB countries</w:t>
                  </w:r>
                </w:p>
                <w:p w14:paraId="40ECE36D"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Some countries (Georgia, Armenia) have achieved considerable success in improving the regulations that enhance business- friendly environments</w:t>
                  </w:r>
                </w:p>
                <w:p w14:paraId="5ADDAEFA"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Disparities among BSB countries incomes have reduced over the last few years</w:t>
                  </w:r>
                </w:p>
                <w:p w14:paraId="058E999F"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GDP per capita: there has been a convergence over the period (with EU overall)</w:t>
                  </w:r>
                </w:p>
                <w:p w14:paraId="4AA81259"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Economies of the BSB region are very diverse in their structure</w:t>
                  </w:r>
                </w:p>
                <w:p w14:paraId="2CD4B2E8"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Diverse and possibly complementary service sector growth (retail vs financial services vs logistics)</w:t>
                  </w:r>
                </w:p>
                <w:p w14:paraId="76E02833"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Intra-regional trade within the BSB region expanded more quickly than overall external trade</w:t>
                  </w:r>
                </w:p>
                <w:p w14:paraId="10731608"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Favourable climate for recreational tourism and outstanding natural features</w:t>
                  </w:r>
                </w:p>
                <w:p w14:paraId="2A20DACB"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Tourism potential in BSB area is rich and diversified</w:t>
                  </w:r>
                </w:p>
                <w:p w14:paraId="497665D4"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Agricultural products amongst the main goods traded between countries within the BSB area</w:t>
                  </w:r>
                </w:p>
                <w:p w14:paraId="5E2D45D0" w14:textId="77777777" w:rsidR="008F2D2F" w:rsidRPr="00682784" w:rsidRDefault="008F2D2F" w:rsidP="00051D67">
                  <w:pPr>
                    <w:pStyle w:val="ListParagraph"/>
                    <w:framePr w:hSpace="141" w:wrap="around" w:vAnchor="text" w:hAnchor="text" w:y="1"/>
                    <w:numPr>
                      <w:ilvl w:val="0"/>
                      <w:numId w:val="33"/>
                    </w:numPr>
                    <w:spacing w:after="120" w:line="20" w:lineRule="atLeast"/>
                    <w:ind w:left="714" w:hanging="357"/>
                    <w:suppressOverlap/>
                    <w:rPr>
                      <w:sz w:val="22"/>
                      <w:szCs w:val="22"/>
                      <w:lang w:val="en-GB"/>
                    </w:rPr>
                  </w:pPr>
                  <w:r w:rsidRPr="00682784">
                    <w:rPr>
                      <w:sz w:val="22"/>
                      <w:szCs w:val="22"/>
                      <w:lang w:val="en-GB"/>
                    </w:rPr>
                    <w:t xml:space="preserve">Potential for the development of sustainable aquaculture in BSB </w:t>
                  </w:r>
                </w:p>
              </w:tc>
            </w:tr>
          </w:tbl>
          <w:p w14:paraId="5DE68179" w14:textId="77777777" w:rsidR="00E26AF0" w:rsidRPr="00682784" w:rsidRDefault="00E26AF0" w:rsidP="00051D67">
            <w:pPr>
              <w:spacing w:line="20" w:lineRule="atLeast"/>
              <w:rPr>
                <w:b w:val="0"/>
                <w:sz w:val="2"/>
                <w:szCs w:val="2"/>
                <w:lang w:val="en-GB"/>
              </w:rPr>
            </w:pPr>
          </w:p>
        </w:tc>
        <w:tc>
          <w:tcPr>
            <w:tcW w:w="5245" w:type="dxa"/>
            <w:tcBorders>
              <w:left w:val="single" w:sz="4" w:space="0" w:color="983620" w:themeColor="accent2"/>
              <w:right w:val="single" w:sz="4" w:space="0" w:color="983620" w:themeColor="accent2"/>
            </w:tcBorders>
            <w:hideMark/>
          </w:tcPr>
          <w:tbl>
            <w:tblPr>
              <w:tblW w:w="5173" w:type="dxa"/>
              <w:tblLayout w:type="fixed"/>
              <w:tblCellMar>
                <w:left w:w="70" w:type="dxa"/>
                <w:right w:w="70" w:type="dxa"/>
              </w:tblCellMar>
              <w:tblLook w:val="04A0" w:firstRow="1" w:lastRow="0" w:firstColumn="1" w:lastColumn="0" w:noHBand="0" w:noVBand="1"/>
            </w:tblPr>
            <w:tblGrid>
              <w:gridCol w:w="5173"/>
            </w:tblGrid>
            <w:tr w:rsidR="00BF6580" w:rsidRPr="00B71347" w14:paraId="6002DDE7" w14:textId="77777777" w:rsidTr="00447875">
              <w:trPr>
                <w:trHeight w:val="1156"/>
              </w:trPr>
              <w:tc>
                <w:tcPr>
                  <w:tcW w:w="5173" w:type="dxa"/>
                  <w:tcBorders>
                    <w:top w:val="nil"/>
                    <w:left w:val="nil"/>
                    <w:right w:val="nil"/>
                  </w:tcBorders>
                  <w:shd w:val="clear" w:color="auto" w:fill="auto"/>
                  <w:vAlign w:val="center"/>
                  <w:hideMark/>
                </w:tcPr>
                <w:tbl>
                  <w:tblPr>
                    <w:tblW w:w="4925" w:type="dxa"/>
                    <w:tblLayout w:type="fixed"/>
                    <w:tblCellMar>
                      <w:left w:w="70" w:type="dxa"/>
                      <w:right w:w="70" w:type="dxa"/>
                    </w:tblCellMar>
                    <w:tblLook w:val="04A0" w:firstRow="1" w:lastRow="0" w:firstColumn="1" w:lastColumn="0" w:noHBand="0" w:noVBand="1"/>
                  </w:tblPr>
                  <w:tblGrid>
                    <w:gridCol w:w="4925"/>
                  </w:tblGrid>
                  <w:tr w:rsidR="00BF6580" w:rsidRPr="00B71347" w14:paraId="0B218F10" w14:textId="77777777" w:rsidTr="009D178D">
                    <w:trPr>
                      <w:trHeight w:val="8036"/>
                    </w:trPr>
                    <w:tc>
                      <w:tcPr>
                        <w:tcW w:w="4925" w:type="dxa"/>
                        <w:tcBorders>
                          <w:top w:val="nil"/>
                        </w:tcBorders>
                        <w:shd w:val="clear" w:color="auto" w:fill="auto"/>
                        <w:vAlign w:val="center"/>
                        <w:hideMark/>
                      </w:tcPr>
                      <w:p w14:paraId="6F01E7B4"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Growth rates considerable variation among countries (sub-national even greater disparities)</w:t>
                        </w:r>
                      </w:p>
                      <w:p w14:paraId="3722E20C"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Large wealth disparities among BSB countries</w:t>
                        </w:r>
                      </w:p>
                      <w:p w14:paraId="5046B15D"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GDP per capita in BSB four times lower than the EU overall figure</w:t>
                        </w:r>
                      </w:p>
                      <w:p w14:paraId="430F0FCE"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Corruption is perceived by business executives as one of the most problematic factor for doing business in majority of BSB countries</w:t>
                        </w:r>
                      </w:p>
                      <w:p w14:paraId="33DE3591"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Business climate has got comparatively worse in Romania, Russia, Bulgaria and Ukraine since 2007</w:t>
                        </w:r>
                      </w:p>
                      <w:p w14:paraId="6EB9CC72"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Armenia and Moldova rely heavily on their agricultural sectors </w:t>
                        </w:r>
                      </w:p>
                      <w:p w14:paraId="68E52A45"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Low value added ‘heavy’ industry (especially Ukraine)</w:t>
                        </w:r>
                      </w:p>
                      <w:p w14:paraId="3A9398D2"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Energy exporters (Russia and Azerbaijan) face the challenge of diversifying their economies</w:t>
                        </w:r>
                      </w:p>
                      <w:p w14:paraId="4B5A7E84"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Low ac</w:t>
                        </w:r>
                        <w:r w:rsidR="00BF79A5" w:rsidRPr="00682784">
                          <w:rPr>
                            <w:rFonts w:eastAsia="Times New Roman" w:cs="Times New Roman"/>
                            <w:color w:val="000000"/>
                            <w:sz w:val="22"/>
                            <w:szCs w:val="22"/>
                            <w:lang w:val="en-GB"/>
                          </w:rPr>
                          <w:t>cess to financing, notably</w:t>
                        </w:r>
                        <w:r w:rsidRPr="00682784">
                          <w:rPr>
                            <w:rFonts w:eastAsia="Times New Roman" w:cs="Times New Roman"/>
                            <w:color w:val="000000"/>
                            <w:sz w:val="22"/>
                            <w:szCs w:val="22"/>
                            <w:lang w:val="en-GB"/>
                          </w:rPr>
                          <w:t xml:space="preserve"> for SMEs</w:t>
                        </w:r>
                      </w:p>
                      <w:p w14:paraId="69B459B4" w14:textId="77777777" w:rsidR="00BF6580" w:rsidRPr="009A312F"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rPr>
                        </w:pPr>
                        <w:r w:rsidRPr="009A312F">
                          <w:rPr>
                            <w:rFonts w:eastAsia="Times New Roman" w:cs="Times New Roman"/>
                            <w:color w:val="000000"/>
                            <w:sz w:val="22"/>
                            <w:szCs w:val="22"/>
                          </w:rPr>
                          <w:t xml:space="preserve">Administrative </w:t>
                        </w:r>
                        <w:proofErr w:type="spellStart"/>
                        <w:r w:rsidRPr="009A312F">
                          <w:rPr>
                            <w:rFonts w:eastAsia="Times New Roman" w:cs="Times New Roman"/>
                            <w:color w:val="000000"/>
                            <w:sz w:val="22"/>
                            <w:szCs w:val="22"/>
                          </w:rPr>
                          <w:t>burden</w:t>
                        </w:r>
                        <w:proofErr w:type="spellEnd"/>
                        <w:r w:rsidRPr="009A312F">
                          <w:rPr>
                            <w:rFonts w:eastAsia="Times New Roman" w:cs="Times New Roman"/>
                            <w:color w:val="000000"/>
                            <w:sz w:val="22"/>
                            <w:szCs w:val="22"/>
                          </w:rPr>
                          <w:t xml:space="preserve"> on </w:t>
                        </w:r>
                        <w:proofErr w:type="spellStart"/>
                        <w:r w:rsidRPr="009A312F">
                          <w:rPr>
                            <w:rFonts w:eastAsia="Times New Roman" w:cs="Times New Roman"/>
                            <w:color w:val="000000"/>
                            <w:sz w:val="22"/>
                            <w:szCs w:val="22"/>
                          </w:rPr>
                          <w:t>small</w:t>
                        </w:r>
                        <w:proofErr w:type="spellEnd"/>
                        <w:r w:rsidRPr="009A312F">
                          <w:rPr>
                            <w:rFonts w:eastAsia="Times New Roman" w:cs="Times New Roman"/>
                            <w:color w:val="000000"/>
                            <w:sz w:val="22"/>
                            <w:szCs w:val="22"/>
                          </w:rPr>
                          <w:t xml:space="preserve"> businesses</w:t>
                        </w:r>
                      </w:p>
                      <w:p w14:paraId="46E240BB"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Great national </w:t>
                        </w:r>
                        <w:proofErr w:type="spellStart"/>
                        <w:r w:rsidRPr="00682784">
                          <w:rPr>
                            <w:rFonts w:eastAsia="Times New Roman" w:cs="Times New Roman"/>
                            <w:color w:val="000000"/>
                            <w:sz w:val="22"/>
                            <w:szCs w:val="22"/>
                            <w:lang w:val="en-GB"/>
                          </w:rPr>
                          <w:t>discrepencies</w:t>
                        </w:r>
                        <w:proofErr w:type="spellEnd"/>
                        <w:r w:rsidRPr="00682784">
                          <w:rPr>
                            <w:rFonts w:eastAsia="Times New Roman" w:cs="Times New Roman"/>
                            <w:color w:val="000000"/>
                            <w:sz w:val="22"/>
                            <w:szCs w:val="22"/>
                            <w:lang w:val="en-GB"/>
                          </w:rPr>
                          <w:t xml:space="preserve"> both in terms of the integration of BSB countries into international trade and in terms of trade balance</w:t>
                        </w:r>
                      </w:p>
                      <w:p w14:paraId="70DA26D0" w14:textId="77777777" w:rsidR="00BF6580" w:rsidRPr="00682784" w:rsidRDefault="00BF6580" w:rsidP="00051D67">
                        <w:pPr>
                          <w:pStyle w:val="ListParagraph"/>
                          <w:framePr w:hSpace="141" w:wrap="around" w:vAnchor="text" w:hAnchor="text" w:y="1"/>
                          <w:numPr>
                            <w:ilvl w:val="0"/>
                            <w:numId w:val="31"/>
                          </w:numPr>
                          <w:spacing w:after="120" w:line="20" w:lineRule="atLeast"/>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Low capacity for innovation, high technology exports remain limited overall</w:t>
                        </w:r>
                      </w:p>
                      <w:p w14:paraId="7C0FF471" w14:textId="77777777" w:rsidR="00BF6580" w:rsidRPr="00682784" w:rsidRDefault="00BF6580" w:rsidP="009D178D">
                        <w:pPr>
                          <w:pStyle w:val="ListParagraph"/>
                          <w:framePr w:hSpace="141" w:wrap="around" w:vAnchor="text" w:hAnchor="text" w:y="1"/>
                          <w:numPr>
                            <w:ilvl w:val="0"/>
                            <w:numId w:val="31"/>
                          </w:numPr>
                          <w:spacing w:after="0" w:line="20" w:lineRule="atLeast"/>
                          <w:ind w:left="714" w:hanging="357"/>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Organic farmi</w:t>
                        </w:r>
                        <w:r w:rsidR="009D178D" w:rsidRPr="00682784">
                          <w:rPr>
                            <w:rFonts w:eastAsia="Times New Roman" w:cs="Times New Roman"/>
                            <w:color w:val="000000"/>
                            <w:sz w:val="22"/>
                            <w:szCs w:val="22"/>
                            <w:lang w:val="en-GB"/>
                          </w:rPr>
                          <w:t xml:space="preserve">ng is still little developed in </w:t>
                        </w:r>
                        <w:r w:rsidRPr="00682784">
                          <w:rPr>
                            <w:rFonts w:eastAsia="Times New Roman" w:cs="Times New Roman"/>
                            <w:color w:val="000000"/>
                            <w:sz w:val="22"/>
                            <w:szCs w:val="22"/>
                            <w:lang w:val="en-GB"/>
                          </w:rPr>
                          <w:t>BSB region</w:t>
                        </w:r>
                      </w:p>
                    </w:tc>
                  </w:tr>
                </w:tbl>
                <w:p w14:paraId="2179FD9B" w14:textId="77777777" w:rsidR="00BF6580" w:rsidRPr="00682784" w:rsidRDefault="00BF6580" w:rsidP="00051D67">
                  <w:pPr>
                    <w:framePr w:hSpace="141" w:wrap="around" w:vAnchor="text" w:hAnchor="text" w:y="1"/>
                    <w:spacing w:line="20" w:lineRule="atLeast"/>
                    <w:suppressOverlap/>
                    <w:rPr>
                      <w:lang w:val="en-GB"/>
                    </w:rPr>
                  </w:pPr>
                </w:p>
              </w:tc>
            </w:tr>
          </w:tbl>
          <w:p w14:paraId="6907C267" w14:textId="77777777" w:rsidR="00E26AF0" w:rsidRPr="00682784" w:rsidRDefault="00E26AF0" w:rsidP="00051D67">
            <w:pPr>
              <w:spacing w:line="20" w:lineRule="atLeast"/>
              <w:cnfStyle w:val="000000000000" w:firstRow="0" w:lastRow="0" w:firstColumn="0" w:lastColumn="0" w:oddVBand="0" w:evenVBand="0" w:oddHBand="0" w:evenHBand="0" w:firstRowFirstColumn="0" w:firstRowLastColumn="0" w:lastRowFirstColumn="0" w:lastRowLastColumn="0"/>
              <w:rPr>
                <w:lang w:val="en-GB"/>
              </w:rPr>
            </w:pPr>
          </w:p>
        </w:tc>
      </w:tr>
      <w:tr w:rsidR="002F1780" w:rsidRPr="009A312F" w14:paraId="39493D33"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983620" w:themeColor="accent2"/>
              <w:right w:val="single" w:sz="4" w:space="0" w:color="983620" w:themeColor="accent2"/>
            </w:tcBorders>
            <w:shd w:val="clear" w:color="auto" w:fill="A6A6A6" w:themeFill="background1" w:themeFillShade="A6"/>
            <w:noWrap/>
            <w:hideMark/>
          </w:tcPr>
          <w:p w14:paraId="1B0538CB" w14:textId="77777777" w:rsidR="00E26AF0" w:rsidRPr="009A312F" w:rsidRDefault="00E26AF0" w:rsidP="00C51C92">
            <w:pPr>
              <w:jc w:val="center"/>
            </w:pPr>
            <w:r w:rsidRPr="009A312F">
              <w:t>OPPORTUNITIES</w:t>
            </w:r>
          </w:p>
        </w:tc>
        <w:tc>
          <w:tcPr>
            <w:tcW w:w="5245" w:type="dxa"/>
            <w:tcBorders>
              <w:left w:val="single" w:sz="4" w:space="0" w:color="983620" w:themeColor="accent2"/>
              <w:right w:val="single" w:sz="4" w:space="0" w:color="983620" w:themeColor="accent2"/>
            </w:tcBorders>
            <w:shd w:val="clear" w:color="auto" w:fill="A6A6A6" w:themeFill="background1" w:themeFillShade="A6"/>
            <w:hideMark/>
          </w:tcPr>
          <w:p w14:paraId="326073DA" w14:textId="77777777" w:rsidR="00E26AF0" w:rsidRPr="009A312F" w:rsidRDefault="00E26AF0" w:rsidP="00C51C92">
            <w:pPr>
              <w:jc w:val="center"/>
              <w:cnfStyle w:val="000000100000" w:firstRow="0" w:lastRow="0" w:firstColumn="0" w:lastColumn="0" w:oddVBand="0" w:evenVBand="0" w:oddHBand="1" w:evenHBand="0" w:firstRowFirstColumn="0" w:firstRowLastColumn="0" w:lastRowFirstColumn="0" w:lastRowLastColumn="0"/>
              <w:rPr>
                <w:b/>
              </w:rPr>
            </w:pPr>
            <w:r w:rsidRPr="009A312F">
              <w:rPr>
                <w:b/>
              </w:rPr>
              <w:t>THREATS</w:t>
            </w:r>
          </w:p>
        </w:tc>
      </w:tr>
      <w:tr w:rsidR="002F1780" w:rsidRPr="00B71347" w14:paraId="31737611" w14:textId="77777777" w:rsidTr="009D178D">
        <w:trPr>
          <w:trHeight w:val="430"/>
        </w:trPr>
        <w:tc>
          <w:tcPr>
            <w:cnfStyle w:val="001000000000" w:firstRow="0" w:lastRow="0" w:firstColumn="1" w:lastColumn="0" w:oddVBand="0" w:evenVBand="0" w:oddHBand="0" w:evenHBand="0" w:firstRowFirstColumn="0" w:firstRowLastColumn="0" w:lastRowFirstColumn="0" w:lastRowLastColumn="0"/>
            <w:tcW w:w="5778" w:type="dxa"/>
            <w:tcBorders>
              <w:left w:val="single" w:sz="4" w:space="0" w:color="983620" w:themeColor="accent2"/>
              <w:bottom w:val="single" w:sz="4" w:space="0" w:color="983620" w:themeColor="accent2"/>
              <w:right w:val="single" w:sz="4" w:space="0" w:color="983620" w:themeColor="accent2"/>
            </w:tcBorders>
            <w:hideMark/>
          </w:tcPr>
          <w:tbl>
            <w:tblPr>
              <w:tblW w:w="5529" w:type="dxa"/>
              <w:tblLayout w:type="fixed"/>
              <w:tblCellMar>
                <w:left w:w="70" w:type="dxa"/>
                <w:right w:w="70" w:type="dxa"/>
              </w:tblCellMar>
              <w:tblLook w:val="04A0" w:firstRow="1" w:lastRow="0" w:firstColumn="1" w:lastColumn="0" w:noHBand="0" w:noVBand="1"/>
            </w:tblPr>
            <w:tblGrid>
              <w:gridCol w:w="5529"/>
            </w:tblGrid>
            <w:tr w:rsidR="009B76D2" w:rsidRPr="00B71347" w14:paraId="4C63268B" w14:textId="77777777" w:rsidTr="00797AFA">
              <w:trPr>
                <w:trHeight w:val="572"/>
              </w:trPr>
              <w:tc>
                <w:tcPr>
                  <w:tcW w:w="5529" w:type="dxa"/>
                  <w:tcBorders>
                    <w:top w:val="nil"/>
                    <w:left w:val="nil"/>
                  </w:tcBorders>
                  <w:shd w:val="clear" w:color="auto" w:fill="auto"/>
                  <w:vAlign w:val="center"/>
                  <w:hideMark/>
                </w:tcPr>
                <w:p w14:paraId="49BDA08C" w14:textId="77777777" w:rsidR="009B76D2" w:rsidRPr="009A312F" w:rsidRDefault="009B76D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sz w:val="22"/>
                      <w:szCs w:val="22"/>
                    </w:rPr>
                  </w:pPr>
                  <w:proofErr w:type="spellStart"/>
                  <w:r w:rsidRPr="009A312F">
                    <w:rPr>
                      <w:rFonts w:eastAsia="Times New Roman" w:cs="Times New Roman"/>
                      <w:color w:val="000000"/>
                      <w:sz w:val="22"/>
                      <w:szCs w:val="22"/>
                    </w:rPr>
                    <w:t>Outmigration</w:t>
                  </w:r>
                  <w:proofErr w:type="spellEnd"/>
                  <w:r w:rsidRPr="009A312F">
                    <w:rPr>
                      <w:rFonts w:eastAsia="Times New Roman" w:cs="Times New Roman"/>
                      <w:color w:val="000000"/>
                      <w:sz w:val="22"/>
                      <w:szCs w:val="22"/>
                    </w:rPr>
                    <w:t xml:space="preserve"> </w:t>
                  </w:r>
                  <w:proofErr w:type="spellStart"/>
                  <w:r w:rsidRPr="009A312F">
                    <w:rPr>
                      <w:rFonts w:eastAsia="Times New Roman" w:cs="Times New Roman"/>
                      <w:color w:val="000000"/>
                      <w:sz w:val="22"/>
                      <w:szCs w:val="22"/>
                    </w:rPr>
                    <w:t>reducing</w:t>
                  </w:r>
                  <w:proofErr w:type="spellEnd"/>
                  <w:r w:rsidRPr="009A312F">
                    <w:rPr>
                      <w:rFonts w:eastAsia="Times New Roman" w:cs="Times New Roman"/>
                      <w:color w:val="000000"/>
                      <w:sz w:val="22"/>
                      <w:szCs w:val="22"/>
                    </w:rPr>
                    <w:t xml:space="preserve"> pressure on </w:t>
                  </w:r>
                  <w:proofErr w:type="spellStart"/>
                  <w:r w:rsidRPr="009A312F">
                    <w:rPr>
                      <w:rFonts w:eastAsia="Times New Roman" w:cs="Times New Roman"/>
                      <w:color w:val="000000"/>
                      <w:sz w:val="22"/>
                      <w:szCs w:val="22"/>
                    </w:rPr>
                    <w:t>unemployment</w:t>
                  </w:r>
                  <w:proofErr w:type="spellEnd"/>
                </w:p>
                <w:p w14:paraId="0AC4FE98" w14:textId="77777777" w:rsidR="009B76D2" w:rsidRPr="00682784" w:rsidRDefault="009B76D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Flows of remittances play an increasing role in regional economic development, and plays an important role in offsetting the balance of trade deficit</w:t>
                  </w:r>
                </w:p>
                <w:p w14:paraId="4267B7A1" w14:textId="77777777" w:rsidR="009B76D2" w:rsidRPr="00682784" w:rsidRDefault="009B76D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Number of international visitors to the BSB area has expanded rapidly</w:t>
                  </w:r>
                </w:p>
                <w:p w14:paraId="1FFC6DFD" w14:textId="77777777" w:rsidR="009B76D2" w:rsidRPr="00682784" w:rsidRDefault="00E2671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Continued expansion &amp;</w:t>
                  </w:r>
                  <w:r w:rsidR="009B76D2" w:rsidRPr="00682784">
                    <w:rPr>
                      <w:rFonts w:eastAsia="Times New Roman" w:cs="Times New Roman"/>
                      <w:color w:val="000000"/>
                      <w:sz w:val="22"/>
                      <w:szCs w:val="22"/>
                      <w:lang w:val="en-GB"/>
                    </w:rPr>
                    <w:t xml:space="preserve"> diversification of tourism</w:t>
                  </w:r>
                  <w:r w:rsidRPr="00682784">
                    <w:rPr>
                      <w:rFonts w:eastAsia="Times New Roman" w:cs="Times New Roman"/>
                      <w:color w:val="000000"/>
                      <w:sz w:val="22"/>
                      <w:szCs w:val="22"/>
                      <w:lang w:val="en-GB"/>
                    </w:rPr>
                    <w:t>,</w:t>
                  </w:r>
                  <w:r w:rsidR="00C6444B">
                    <w:rPr>
                      <w:rFonts w:eastAsia="Times New Roman" w:cs="Times New Roman"/>
                      <w:color w:val="000000"/>
                      <w:sz w:val="22"/>
                      <w:szCs w:val="22"/>
                      <w:lang w:val="en-GB"/>
                    </w:rPr>
                    <w:t xml:space="preserve"> fast</w:t>
                  </w:r>
                  <w:r w:rsidR="00A42D5F">
                    <w:rPr>
                      <w:rFonts w:eastAsia="Times New Roman" w:cs="Times New Roman"/>
                      <w:color w:val="000000"/>
                      <w:sz w:val="22"/>
                      <w:szCs w:val="22"/>
                      <w:lang w:val="en-GB"/>
                    </w:rPr>
                    <w:t>-growing economic sector</w:t>
                  </w:r>
                  <w:r w:rsidR="009B76D2" w:rsidRPr="00682784">
                    <w:rPr>
                      <w:rFonts w:eastAsia="Times New Roman" w:cs="Times New Roman"/>
                      <w:color w:val="000000"/>
                      <w:sz w:val="22"/>
                      <w:szCs w:val="22"/>
                      <w:lang w:val="en-GB"/>
                    </w:rPr>
                    <w:t xml:space="preserve"> in the world</w:t>
                  </w:r>
                </w:p>
                <w:p w14:paraId="321435DD" w14:textId="77777777" w:rsidR="009B76D2" w:rsidRPr="00682784" w:rsidRDefault="009B76D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lang w:val="en-GB"/>
                    </w:rPr>
                  </w:pPr>
                  <w:r w:rsidRPr="00682784">
                    <w:rPr>
                      <w:rFonts w:eastAsia="Times New Roman" w:cs="Times New Roman"/>
                      <w:color w:val="000000"/>
                      <w:sz w:val="22"/>
                      <w:szCs w:val="22"/>
                      <w:lang w:val="en-GB"/>
                    </w:rPr>
                    <w:t>High growth rate in organic agriculture</w:t>
                  </w:r>
                  <w:r w:rsidR="009D178D" w:rsidRPr="00682784">
                    <w:rPr>
                      <w:rFonts w:eastAsia="Times New Roman" w:cs="Times New Roman"/>
                      <w:color w:val="000000"/>
                      <w:sz w:val="22"/>
                      <w:szCs w:val="22"/>
                      <w:lang w:val="en-GB"/>
                    </w:rPr>
                    <w:t xml:space="preserve"> </w:t>
                  </w:r>
                  <w:r w:rsidRPr="00682784">
                    <w:rPr>
                      <w:rFonts w:eastAsia="Times New Roman" w:cs="Times New Roman"/>
                      <w:color w:val="000000"/>
                      <w:sz w:val="22"/>
                      <w:szCs w:val="22"/>
                      <w:lang w:val="en-GB"/>
                    </w:rPr>
                    <w:t>worldwide</w:t>
                  </w:r>
                </w:p>
              </w:tc>
            </w:tr>
          </w:tbl>
          <w:p w14:paraId="12CA725F" w14:textId="77777777" w:rsidR="00E26AF0" w:rsidRPr="00682784" w:rsidRDefault="00E26AF0" w:rsidP="00C51C92">
            <w:pPr>
              <w:rPr>
                <w:lang w:val="en-GB"/>
              </w:rPr>
            </w:pPr>
          </w:p>
        </w:tc>
        <w:tc>
          <w:tcPr>
            <w:tcW w:w="5245" w:type="dxa"/>
            <w:tcBorders>
              <w:left w:val="single" w:sz="4" w:space="0" w:color="983620" w:themeColor="accent2"/>
              <w:bottom w:val="single" w:sz="4" w:space="0" w:color="983620" w:themeColor="accent2"/>
              <w:right w:val="single" w:sz="4" w:space="0" w:color="983620" w:themeColor="accent2"/>
            </w:tcBorders>
            <w:hideMark/>
          </w:tcPr>
          <w:tbl>
            <w:tblPr>
              <w:tblW w:w="4464" w:type="dxa"/>
              <w:tblLayout w:type="fixed"/>
              <w:tblCellMar>
                <w:left w:w="70" w:type="dxa"/>
                <w:right w:w="70" w:type="dxa"/>
              </w:tblCellMar>
              <w:tblLook w:val="04A0" w:firstRow="1" w:lastRow="0" w:firstColumn="1" w:lastColumn="0" w:noHBand="0" w:noVBand="1"/>
            </w:tblPr>
            <w:tblGrid>
              <w:gridCol w:w="4464"/>
            </w:tblGrid>
            <w:tr w:rsidR="009B76D2" w:rsidRPr="00B71347" w14:paraId="31812E50" w14:textId="77777777" w:rsidTr="000C49D0">
              <w:trPr>
                <w:trHeight w:val="1960"/>
              </w:trPr>
              <w:tc>
                <w:tcPr>
                  <w:tcW w:w="4464" w:type="dxa"/>
                  <w:tcBorders>
                    <w:top w:val="nil"/>
                    <w:right w:val="nil"/>
                  </w:tcBorders>
                  <w:shd w:val="clear" w:color="auto" w:fill="auto"/>
                  <w:vAlign w:val="center"/>
                  <w:hideMark/>
                </w:tcPr>
                <w:p w14:paraId="7B92721C" w14:textId="77777777" w:rsidR="009B76D2" w:rsidRPr="00682784" w:rsidRDefault="009B76D2" w:rsidP="00C51C92">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sz w:val="22"/>
                      <w:szCs w:val="22"/>
                      <w:lang w:val="en-GB"/>
                    </w:rPr>
                  </w:pPr>
                  <w:r w:rsidRPr="00682784">
                    <w:rPr>
                      <w:rFonts w:eastAsia="Times New Roman" w:cs="Times New Roman"/>
                      <w:color w:val="000000"/>
                      <w:sz w:val="22"/>
                      <w:szCs w:val="22"/>
                      <w:lang w:val="en-GB"/>
                    </w:rPr>
                    <w:t>EU recession and continuing problems emanating from the debt crisis limit further economic recovery in BSB region</w:t>
                  </w:r>
                </w:p>
                <w:p w14:paraId="3C30A6F1" w14:textId="77777777" w:rsidR="00C51C92" w:rsidRPr="00682784" w:rsidRDefault="009B76D2" w:rsidP="00797AFA">
                  <w:pPr>
                    <w:pStyle w:val="ListParagraph"/>
                    <w:framePr w:hSpace="141" w:wrap="around" w:vAnchor="text" w:hAnchor="text" w:y="1"/>
                    <w:numPr>
                      <w:ilvl w:val="0"/>
                      <w:numId w:val="32"/>
                    </w:numPr>
                    <w:spacing w:after="120" w:line="240" w:lineRule="auto"/>
                    <w:ind w:left="714" w:hanging="357"/>
                    <w:suppressOverlap/>
                    <w:rPr>
                      <w:rFonts w:eastAsia="Times New Roman" w:cs="Times New Roman"/>
                      <w:color w:val="000000"/>
                      <w:lang w:val="en-GB"/>
                    </w:rPr>
                  </w:pPr>
                  <w:r w:rsidRPr="00682784">
                    <w:rPr>
                      <w:rFonts w:eastAsia="Times New Roman" w:cs="Times New Roman"/>
                      <w:color w:val="000000"/>
                      <w:sz w:val="22"/>
                      <w:szCs w:val="22"/>
                      <w:lang w:val="en-GB"/>
                    </w:rPr>
                    <w:t>Foreign Direct Investments: BSB region still suffers from broader risk aversion following the crisis</w:t>
                  </w:r>
                </w:p>
              </w:tc>
            </w:tr>
          </w:tbl>
          <w:p w14:paraId="43DA86D5" w14:textId="77777777" w:rsidR="00E26AF0" w:rsidRPr="00682784" w:rsidRDefault="00E26AF0" w:rsidP="00C51C92">
            <w:pPr>
              <w:cnfStyle w:val="000000000000" w:firstRow="0" w:lastRow="0" w:firstColumn="0" w:lastColumn="0" w:oddVBand="0" w:evenVBand="0" w:oddHBand="0" w:evenHBand="0" w:firstRowFirstColumn="0" w:firstRowLastColumn="0" w:lastRowFirstColumn="0" w:lastRowLastColumn="0"/>
              <w:rPr>
                <w:lang w:val="en-GB"/>
              </w:rPr>
            </w:pPr>
          </w:p>
        </w:tc>
      </w:tr>
    </w:tbl>
    <w:p w14:paraId="3585381A" w14:textId="77777777" w:rsidR="00306593" w:rsidRDefault="00306593" w:rsidP="006E3288">
      <w:pPr>
        <w:pStyle w:val="Heading3"/>
        <w:rPr>
          <w:b/>
          <w:sz w:val="28"/>
          <w:szCs w:val="28"/>
          <w:lang w:val="en-GB"/>
        </w:rPr>
      </w:pPr>
      <w:bookmarkStart w:id="30" w:name="_Toc246127428"/>
    </w:p>
    <w:p w14:paraId="52C613B0" w14:textId="77777777" w:rsidR="00D16147" w:rsidRPr="006E3288" w:rsidRDefault="00306593" w:rsidP="006E3288">
      <w:pPr>
        <w:pStyle w:val="Heading3"/>
        <w:rPr>
          <w:b/>
          <w:sz w:val="28"/>
          <w:szCs w:val="28"/>
          <w:lang w:val="en-GB"/>
        </w:rPr>
      </w:pPr>
      <w:bookmarkStart w:id="31" w:name="_Toc423436275"/>
      <w:r>
        <w:rPr>
          <w:b/>
          <w:sz w:val="28"/>
          <w:szCs w:val="28"/>
          <w:lang w:val="en-GB"/>
        </w:rPr>
        <w:t xml:space="preserve">3.3 </w:t>
      </w:r>
      <w:r w:rsidR="00D16147" w:rsidRPr="006E3288">
        <w:rPr>
          <w:b/>
          <w:sz w:val="28"/>
          <w:szCs w:val="28"/>
          <w:lang w:val="en-GB"/>
        </w:rPr>
        <w:t>Education and employment, R&amp;D, research</w:t>
      </w:r>
      <w:bookmarkEnd w:id="30"/>
      <w:bookmarkEnd w:id="31"/>
      <w:r w:rsidR="00D16147" w:rsidRPr="006E3288">
        <w:rPr>
          <w:b/>
          <w:sz w:val="28"/>
          <w:szCs w:val="28"/>
          <w:lang w:val="en-GB"/>
        </w:rPr>
        <w:t xml:space="preserve"> </w:t>
      </w:r>
    </w:p>
    <w:p w14:paraId="13EE2367" w14:textId="77777777" w:rsidR="00D16147" w:rsidRPr="00002063" w:rsidRDefault="00D16147" w:rsidP="00002063">
      <w:pPr>
        <w:spacing w:before="180" w:after="180" w:line="264" w:lineRule="auto"/>
        <w:rPr>
          <w:b/>
          <w:bCs/>
          <w:lang w:val="en-GB"/>
        </w:rPr>
      </w:pPr>
      <w:bookmarkStart w:id="32" w:name="_Toc246127429"/>
      <w:r w:rsidRPr="00002063">
        <w:rPr>
          <w:b/>
          <w:bCs/>
          <w:lang w:val="en-GB"/>
        </w:rPr>
        <w:t>Population level of education</w:t>
      </w:r>
      <w:bookmarkEnd w:id="32"/>
    </w:p>
    <w:p w14:paraId="31D0DF71" w14:textId="303FEFAB" w:rsidR="00D16147" w:rsidRDefault="00260A59" w:rsidP="00D16147">
      <w:pPr>
        <w:spacing w:before="120" w:after="0" w:line="252" w:lineRule="auto"/>
        <w:jc w:val="both"/>
      </w:pPr>
      <w:r>
        <w:rPr>
          <w:noProof/>
          <w:lang w:val="en-GB" w:eastAsia="en-GB"/>
        </w:rPr>
        <w:drawing>
          <wp:inline distT="0" distB="0" distL="0" distR="0" wp14:anchorId="6CCE7C69" wp14:editId="1DF1EC5E">
            <wp:extent cx="4142133" cy="2117090"/>
            <wp:effectExtent l="0" t="0" r="0" b="0"/>
            <wp:docPr id="11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2133" cy="2117090"/>
                    </a:xfrm>
                    <a:prstGeom prst="rect">
                      <a:avLst/>
                    </a:prstGeom>
                    <a:noFill/>
                    <a:ln>
                      <a:noFill/>
                    </a:ln>
                  </pic:spPr>
                </pic:pic>
              </a:graphicData>
            </a:graphic>
          </wp:inline>
        </w:drawing>
      </w:r>
    </w:p>
    <w:p w14:paraId="3518AE4B" w14:textId="1FDA45D8" w:rsidR="00D16147" w:rsidRPr="004B58D3"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957F9B">
        <w:rPr>
          <w:sz w:val="22"/>
          <w:szCs w:val="22"/>
          <w:lang w:val="en-GB"/>
        </w:rPr>
        <w:t>12</w:t>
      </w:r>
      <w:r w:rsidRPr="004B58D3">
        <w:rPr>
          <w:sz w:val="22"/>
          <w:szCs w:val="22"/>
          <w:lang w:val="en-GB"/>
        </w:rPr>
        <w:t>.</w:t>
      </w:r>
      <w:proofErr w:type="gramEnd"/>
      <w:r w:rsidRPr="004B58D3">
        <w:rPr>
          <w:sz w:val="22"/>
          <w:szCs w:val="22"/>
          <w:lang w:val="en-GB"/>
        </w:rPr>
        <w:t xml:space="preserve"> School </w:t>
      </w:r>
      <w:proofErr w:type="spellStart"/>
      <w:r w:rsidRPr="004B58D3">
        <w:rPr>
          <w:sz w:val="22"/>
          <w:szCs w:val="22"/>
          <w:lang w:val="en-GB"/>
        </w:rPr>
        <w:t>enrollment</w:t>
      </w:r>
      <w:proofErr w:type="spellEnd"/>
      <w:r w:rsidRPr="004B58D3">
        <w:rPr>
          <w:sz w:val="22"/>
          <w:szCs w:val="22"/>
          <w:lang w:val="en-GB"/>
        </w:rPr>
        <w:t xml:space="preserve"> in tertiary</w:t>
      </w:r>
      <w:r>
        <w:rPr>
          <w:rStyle w:val="FootnoteReference"/>
          <w:sz w:val="22"/>
          <w:szCs w:val="22"/>
        </w:rPr>
        <w:footnoteReference w:id="34"/>
      </w:r>
      <w:r w:rsidRPr="004B58D3">
        <w:rPr>
          <w:sz w:val="22"/>
          <w:szCs w:val="22"/>
          <w:lang w:val="en-GB"/>
        </w:rPr>
        <w:t xml:space="preserve"> education (as a % of relevant age class), 20</w:t>
      </w:r>
      <w:r w:rsidR="00260A59">
        <w:rPr>
          <w:sz w:val="22"/>
          <w:szCs w:val="22"/>
          <w:lang w:val="en-GB"/>
        </w:rPr>
        <w:t>11</w:t>
      </w:r>
      <w:r>
        <w:rPr>
          <w:rStyle w:val="EndnoteReference"/>
          <w:sz w:val="22"/>
          <w:szCs w:val="22"/>
        </w:rPr>
        <w:endnoteReference w:id="57"/>
      </w:r>
    </w:p>
    <w:p w14:paraId="0EE34E96" w14:textId="50754C69" w:rsidR="00D16147" w:rsidRPr="004B58D3" w:rsidRDefault="00D16147" w:rsidP="00D16147">
      <w:pPr>
        <w:spacing w:before="120" w:after="0" w:line="252" w:lineRule="auto"/>
        <w:jc w:val="both"/>
        <w:rPr>
          <w:sz w:val="22"/>
          <w:szCs w:val="22"/>
          <w:lang w:val="en-GB"/>
        </w:rPr>
      </w:pPr>
      <w:r w:rsidRPr="004B58D3">
        <w:rPr>
          <w:sz w:val="22"/>
          <w:szCs w:val="22"/>
          <w:lang w:val="en-GB"/>
        </w:rPr>
        <w:t>The Black Sea Basin is characterized by the high level of education of its wor</w:t>
      </w:r>
      <w:r>
        <w:rPr>
          <w:sz w:val="22"/>
          <w:szCs w:val="22"/>
          <w:lang w:val="en-GB"/>
        </w:rPr>
        <w:t>k</w:t>
      </w:r>
      <w:r w:rsidR="00850624">
        <w:rPr>
          <w:sz w:val="22"/>
          <w:szCs w:val="22"/>
          <w:lang w:val="en-GB"/>
        </w:rPr>
        <w:t>force overall (</w:t>
      </w:r>
      <w:r w:rsidRPr="004B58D3">
        <w:rPr>
          <w:sz w:val="22"/>
          <w:szCs w:val="22"/>
          <w:lang w:val="en-GB"/>
        </w:rPr>
        <w:t>although there are great regional disparities</w:t>
      </w:r>
      <w:r w:rsidRPr="004D189B">
        <w:rPr>
          <w:rStyle w:val="FootnoteReference"/>
          <w:sz w:val="22"/>
          <w:szCs w:val="22"/>
        </w:rPr>
        <w:footnoteReference w:id="35"/>
      </w:r>
      <w:r w:rsidR="00850624">
        <w:rPr>
          <w:sz w:val="22"/>
          <w:szCs w:val="22"/>
          <w:lang w:val="en-GB"/>
        </w:rPr>
        <w:t>)</w:t>
      </w:r>
      <w:r w:rsidRPr="004B58D3">
        <w:rPr>
          <w:sz w:val="22"/>
          <w:szCs w:val="22"/>
          <w:lang w:val="en-GB"/>
        </w:rPr>
        <w:t xml:space="preserve"> and increasing youth enrolment in higher education on average, ranging from </w:t>
      </w:r>
      <w:r w:rsidR="00D55567">
        <w:rPr>
          <w:sz w:val="22"/>
          <w:szCs w:val="22"/>
          <w:lang w:val="en-GB"/>
        </w:rPr>
        <w:t>20</w:t>
      </w:r>
      <w:r w:rsidRPr="004B58D3">
        <w:rPr>
          <w:sz w:val="22"/>
          <w:szCs w:val="22"/>
          <w:lang w:val="en-GB"/>
        </w:rPr>
        <w:t xml:space="preserve">% in Azerbaijan to </w:t>
      </w:r>
      <w:r w:rsidR="00D55567">
        <w:rPr>
          <w:sz w:val="22"/>
          <w:szCs w:val="22"/>
          <w:lang w:val="en-GB"/>
        </w:rPr>
        <w:t>114</w:t>
      </w:r>
      <w:r w:rsidRPr="004B58D3">
        <w:rPr>
          <w:sz w:val="22"/>
          <w:szCs w:val="22"/>
          <w:lang w:val="en-GB"/>
        </w:rPr>
        <w:t>% in Greece (see figure 12 above).</w:t>
      </w:r>
    </w:p>
    <w:p w14:paraId="414A9414"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 xml:space="preserve">Human capital therefore appears as a strong asset in the region, though education systems often face the challenge of adapting their training to match the changing needs of the economy in order to provide </w:t>
      </w:r>
      <w:r>
        <w:rPr>
          <w:sz w:val="22"/>
          <w:szCs w:val="22"/>
          <w:lang w:val="en-GB"/>
        </w:rPr>
        <w:t xml:space="preserve">an </w:t>
      </w:r>
      <w:r w:rsidRPr="004B58D3">
        <w:rPr>
          <w:sz w:val="22"/>
          <w:szCs w:val="22"/>
          <w:lang w:val="en-GB"/>
        </w:rPr>
        <w:t xml:space="preserve">appropriate skilled </w:t>
      </w:r>
      <w:proofErr w:type="spellStart"/>
      <w:r w:rsidRPr="004B58D3">
        <w:rPr>
          <w:sz w:val="22"/>
          <w:szCs w:val="22"/>
          <w:lang w:val="en-GB"/>
        </w:rPr>
        <w:t>worforce</w:t>
      </w:r>
      <w:proofErr w:type="spellEnd"/>
      <w:r w:rsidRPr="00E70CD2">
        <w:rPr>
          <w:rStyle w:val="EndnoteReference"/>
          <w:sz w:val="22"/>
          <w:szCs w:val="22"/>
        </w:rPr>
        <w:endnoteReference w:id="58"/>
      </w:r>
      <w:r w:rsidRPr="004B58D3">
        <w:rPr>
          <w:sz w:val="22"/>
          <w:szCs w:val="22"/>
          <w:lang w:val="en-GB"/>
        </w:rPr>
        <w:t>. According to an EBRD/World Bank 2009 survey</w:t>
      </w:r>
      <w:r w:rsidRPr="00E70CD2">
        <w:rPr>
          <w:rStyle w:val="EndnoteReference"/>
          <w:sz w:val="22"/>
          <w:szCs w:val="22"/>
        </w:rPr>
        <w:endnoteReference w:id="59"/>
      </w:r>
      <w:r w:rsidRPr="004B58D3">
        <w:rPr>
          <w:sz w:val="22"/>
          <w:szCs w:val="22"/>
          <w:lang w:val="en-GB"/>
        </w:rPr>
        <w:t xml:space="preserve">, </w:t>
      </w:r>
      <w:r>
        <w:rPr>
          <w:sz w:val="22"/>
          <w:szCs w:val="22"/>
          <w:lang w:val="en-GB"/>
        </w:rPr>
        <w:t>for example,</w:t>
      </w:r>
      <w:r w:rsidRPr="004B58D3">
        <w:rPr>
          <w:sz w:val="22"/>
          <w:szCs w:val="22"/>
          <w:lang w:val="en-GB"/>
        </w:rPr>
        <w:t xml:space="preserve"> 43% of enterprises in Ukraine and Moldova consider the lack of skills as a problem for the performance and development of their enterprises</w:t>
      </w:r>
      <w:r>
        <w:rPr>
          <w:sz w:val="22"/>
          <w:szCs w:val="22"/>
          <w:lang w:val="en-GB"/>
        </w:rPr>
        <w:t>.</w:t>
      </w:r>
      <w:r w:rsidRPr="004B58D3">
        <w:rPr>
          <w:sz w:val="22"/>
          <w:szCs w:val="22"/>
          <w:lang w:val="en-GB"/>
        </w:rPr>
        <w:t xml:space="preserve"> </w:t>
      </w:r>
      <w:r>
        <w:rPr>
          <w:sz w:val="22"/>
          <w:szCs w:val="22"/>
          <w:lang w:val="en-GB"/>
        </w:rPr>
        <w:t>T</w:t>
      </w:r>
      <w:r w:rsidRPr="004B58D3">
        <w:rPr>
          <w:sz w:val="22"/>
          <w:szCs w:val="22"/>
          <w:lang w:val="en-GB"/>
        </w:rPr>
        <w:t>he percentages are lower, but still significant, for Georgia (27%) and Armenia (24%). Thus vocational education and training also has an important role to play, both to improve technology absorption and diffusion</w:t>
      </w:r>
      <w:r>
        <w:rPr>
          <w:sz w:val="22"/>
          <w:szCs w:val="22"/>
          <w:lang w:val="en-GB"/>
        </w:rPr>
        <w:t xml:space="preserve"> in the countries</w:t>
      </w:r>
      <w:r w:rsidRPr="004B58D3">
        <w:rPr>
          <w:sz w:val="22"/>
          <w:szCs w:val="22"/>
          <w:lang w:val="en-GB"/>
        </w:rPr>
        <w:t xml:space="preserve"> </w:t>
      </w:r>
      <w:r>
        <w:rPr>
          <w:sz w:val="22"/>
          <w:szCs w:val="22"/>
          <w:lang w:val="en-GB"/>
        </w:rPr>
        <w:t xml:space="preserve">and </w:t>
      </w:r>
      <w:r w:rsidRPr="004B58D3">
        <w:rPr>
          <w:sz w:val="22"/>
          <w:szCs w:val="22"/>
          <w:lang w:val="en-GB"/>
        </w:rPr>
        <w:t>to enhance individual employability</w:t>
      </w:r>
      <w:r w:rsidRPr="00E70CD2">
        <w:rPr>
          <w:rStyle w:val="EndnoteReference"/>
          <w:sz w:val="22"/>
          <w:szCs w:val="22"/>
        </w:rPr>
        <w:endnoteReference w:id="60"/>
      </w:r>
      <w:r w:rsidRPr="004B58D3">
        <w:rPr>
          <w:sz w:val="22"/>
          <w:szCs w:val="22"/>
          <w:lang w:val="en-GB"/>
        </w:rPr>
        <w:t>.</w:t>
      </w:r>
    </w:p>
    <w:p w14:paraId="651F96F5" w14:textId="77777777" w:rsidR="00D16147" w:rsidRPr="00002063" w:rsidRDefault="00D16147" w:rsidP="00002063">
      <w:pPr>
        <w:spacing w:before="180" w:after="180" w:line="264" w:lineRule="auto"/>
        <w:rPr>
          <w:b/>
          <w:bCs/>
          <w:lang w:val="en-GB"/>
        </w:rPr>
      </w:pPr>
      <w:bookmarkStart w:id="33" w:name="_Toc246127430"/>
      <w:r w:rsidRPr="00002063">
        <w:rPr>
          <w:b/>
          <w:bCs/>
          <w:lang w:val="en-GB"/>
        </w:rPr>
        <w:t>Employment distribution and unemployment challenges</w:t>
      </w:r>
      <w:bookmarkEnd w:id="33"/>
      <w:r w:rsidRPr="00002063">
        <w:rPr>
          <w:b/>
          <w:bCs/>
          <w:lang w:val="en-GB"/>
        </w:rPr>
        <w:t xml:space="preserve"> </w:t>
      </w:r>
    </w:p>
    <w:p w14:paraId="07EF3117" w14:textId="77777777" w:rsidR="00D16147" w:rsidRDefault="00D16147" w:rsidP="00D16147">
      <w:pPr>
        <w:spacing w:before="120" w:after="0" w:line="252" w:lineRule="auto"/>
        <w:jc w:val="both"/>
        <w:rPr>
          <w:sz w:val="22"/>
          <w:szCs w:val="22"/>
          <w:lang w:val="en-GB"/>
        </w:rPr>
      </w:pPr>
      <w:r w:rsidRPr="004B58D3">
        <w:rPr>
          <w:sz w:val="22"/>
          <w:szCs w:val="22"/>
          <w:lang w:val="en-GB"/>
        </w:rPr>
        <w:t xml:space="preserve">The strong structural </w:t>
      </w:r>
      <w:proofErr w:type="spellStart"/>
      <w:r w:rsidRPr="004B58D3">
        <w:rPr>
          <w:sz w:val="22"/>
          <w:szCs w:val="22"/>
          <w:lang w:val="en-GB"/>
        </w:rPr>
        <w:t>hetereogeneity</w:t>
      </w:r>
      <w:proofErr w:type="spellEnd"/>
      <w:r w:rsidRPr="004B58D3">
        <w:rPr>
          <w:sz w:val="22"/>
          <w:szCs w:val="22"/>
          <w:lang w:val="en-GB"/>
        </w:rPr>
        <w:t xml:space="preserve"> of Black Sea Basin economies (share of traditional industries, weight of the agricultural sector) and the pace of economic development and restructuring (growth of services, tourism and the oil industry in particular) </w:t>
      </w:r>
      <w:proofErr w:type="gramStart"/>
      <w:r w:rsidRPr="004B58D3">
        <w:rPr>
          <w:sz w:val="22"/>
          <w:szCs w:val="22"/>
          <w:lang w:val="en-GB"/>
        </w:rPr>
        <w:t>is</w:t>
      </w:r>
      <w:proofErr w:type="gramEnd"/>
      <w:r w:rsidRPr="004B58D3">
        <w:rPr>
          <w:sz w:val="22"/>
          <w:szCs w:val="22"/>
          <w:lang w:val="en-GB"/>
        </w:rPr>
        <w:t xml:space="preserve"> reflected in employment distribution and unempl</w:t>
      </w:r>
      <w:r w:rsidR="001305E0">
        <w:rPr>
          <w:sz w:val="22"/>
          <w:szCs w:val="22"/>
          <w:lang w:val="en-GB"/>
        </w:rPr>
        <w:t>oyment challenges (see figure 13</w:t>
      </w:r>
      <w:r w:rsidRPr="004B58D3">
        <w:rPr>
          <w:sz w:val="22"/>
          <w:szCs w:val="22"/>
          <w:lang w:val="en-GB"/>
        </w:rPr>
        <w:t xml:space="preserve"> and table</w:t>
      </w:r>
      <w:r>
        <w:rPr>
          <w:sz w:val="22"/>
          <w:szCs w:val="22"/>
          <w:lang w:val="en-GB"/>
        </w:rPr>
        <w:t xml:space="preserve"> 4</w:t>
      </w:r>
      <w:r w:rsidRPr="004B58D3">
        <w:rPr>
          <w:sz w:val="22"/>
          <w:szCs w:val="22"/>
          <w:lang w:val="en-GB"/>
        </w:rPr>
        <w:t xml:space="preserve"> below).</w:t>
      </w:r>
    </w:p>
    <w:p w14:paraId="0F86BBDF" w14:textId="77777777" w:rsidR="00260A59" w:rsidRDefault="00260A59" w:rsidP="00D16147">
      <w:pPr>
        <w:spacing w:before="120" w:after="0" w:line="252" w:lineRule="auto"/>
        <w:jc w:val="both"/>
        <w:rPr>
          <w:sz w:val="22"/>
          <w:szCs w:val="22"/>
          <w:lang w:val="en-GB"/>
        </w:rPr>
      </w:pPr>
    </w:p>
    <w:p w14:paraId="3EE223AB" w14:textId="77777777" w:rsidR="00260A59" w:rsidRPr="004B58D3" w:rsidRDefault="00260A59" w:rsidP="00D16147">
      <w:pPr>
        <w:spacing w:before="120" w:after="0" w:line="252" w:lineRule="auto"/>
        <w:jc w:val="both"/>
        <w:rPr>
          <w:sz w:val="22"/>
          <w:szCs w:val="22"/>
          <w:lang w:val="en-GB"/>
        </w:rPr>
      </w:pPr>
    </w:p>
    <w:p w14:paraId="7E3AEB09" w14:textId="3E78BCEB" w:rsidR="00D16147" w:rsidRPr="004B58D3" w:rsidRDefault="00D52B35" w:rsidP="005A12B9">
      <w:pPr>
        <w:spacing w:after="0" w:line="252" w:lineRule="auto"/>
        <w:jc w:val="both"/>
        <w:rPr>
          <w:i/>
          <w:lang w:val="en-GB"/>
        </w:rPr>
      </w:pPr>
      <w:r w:rsidRPr="00D52B35">
        <w:rPr>
          <w:noProof/>
          <w:lang w:val="en-GB" w:eastAsia="en-GB"/>
        </w:rPr>
        <w:lastRenderedPageBreak/>
        <w:drawing>
          <wp:inline distT="0" distB="0" distL="0" distR="0" wp14:anchorId="422AD7A1" wp14:editId="48CEEABF">
            <wp:extent cx="6538595" cy="2428012"/>
            <wp:effectExtent l="0" t="0" r="0" b="10795"/>
            <wp:docPr id="115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38595" cy="2428012"/>
                    </a:xfrm>
                    <a:prstGeom prst="rect">
                      <a:avLst/>
                    </a:prstGeom>
                    <a:noFill/>
                    <a:ln>
                      <a:noFill/>
                    </a:ln>
                  </pic:spPr>
                </pic:pic>
              </a:graphicData>
            </a:graphic>
          </wp:inline>
        </w:drawing>
      </w:r>
      <w:proofErr w:type="gramStart"/>
      <w:r w:rsidR="00D16147" w:rsidRPr="004B58D3">
        <w:rPr>
          <w:i/>
          <w:sz w:val="22"/>
          <w:szCs w:val="22"/>
          <w:lang w:val="en-GB"/>
        </w:rPr>
        <w:t xml:space="preserve">Figure </w:t>
      </w:r>
      <w:r w:rsidR="00957F9B">
        <w:rPr>
          <w:i/>
          <w:sz w:val="22"/>
          <w:szCs w:val="22"/>
          <w:lang w:val="en-GB"/>
        </w:rPr>
        <w:t>13</w:t>
      </w:r>
      <w:r w:rsidR="00D16147" w:rsidRPr="004B58D3">
        <w:rPr>
          <w:i/>
          <w:sz w:val="22"/>
          <w:szCs w:val="22"/>
          <w:lang w:val="en-GB"/>
        </w:rPr>
        <w:t>.</w:t>
      </w:r>
      <w:proofErr w:type="gramEnd"/>
      <w:r w:rsidR="00D16147" w:rsidRPr="004B58D3">
        <w:rPr>
          <w:i/>
          <w:sz w:val="22"/>
          <w:szCs w:val="22"/>
          <w:lang w:val="en-GB"/>
        </w:rPr>
        <w:t xml:space="preserve"> Employment distribution, 20</w:t>
      </w:r>
      <w:r>
        <w:rPr>
          <w:i/>
          <w:sz w:val="22"/>
          <w:szCs w:val="22"/>
          <w:lang w:val="en-GB"/>
        </w:rPr>
        <w:t>11 (except Russia, 2009 and Georgia, 2007)</w:t>
      </w:r>
      <w:r w:rsidR="00D16147" w:rsidRPr="005D2CDE">
        <w:rPr>
          <w:rStyle w:val="EndnoteReference"/>
          <w:i/>
          <w:sz w:val="22"/>
          <w:szCs w:val="22"/>
        </w:rPr>
        <w:endnoteReference w:id="61"/>
      </w:r>
    </w:p>
    <w:p w14:paraId="3557B480" w14:textId="38F466BA" w:rsidR="00D16147" w:rsidRPr="000D3441" w:rsidRDefault="00D16147" w:rsidP="00D16147">
      <w:pPr>
        <w:spacing w:before="120" w:after="0" w:line="252" w:lineRule="auto"/>
        <w:jc w:val="both"/>
        <w:rPr>
          <w:sz w:val="22"/>
          <w:szCs w:val="22"/>
          <w:lang w:val="en-GB"/>
        </w:rPr>
      </w:pPr>
      <w:r w:rsidRPr="004B58D3">
        <w:rPr>
          <w:sz w:val="22"/>
          <w:szCs w:val="22"/>
          <w:lang w:val="en-GB"/>
        </w:rPr>
        <w:t>The gap in average wages among the Black Sea Basin areas has considerably reduced since 2006</w:t>
      </w:r>
      <w:r w:rsidRPr="00E70CD2">
        <w:rPr>
          <w:rStyle w:val="EndnoteReference"/>
          <w:sz w:val="22"/>
          <w:szCs w:val="22"/>
        </w:rPr>
        <w:endnoteReference w:id="62"/>
      </w:r>
      <w:r w:rsidRPr="004B58D3">
        <w:rPr>
          <w:sz w:val="22"/>
          <w:szCs w:val="22"/>
          <w:lang w:val="en-GB"/>
        </w:rPr>
        <w:t>, going from a 1 to 10 ratio to a 1 to 4 ratio (between Moldova and Greece) in 2012. Following the harsh recession</w:t>
      </w:r>
      <w:r>
        <w:rPr>
          <w:sz w:val="22"/>
          <w:szCs w:val="22"/>
          <w:lang w:val="en-GB"/>
        </w:rPr>
        <w:t>,</w:t>
      </w:r>
      <w:r w:rsidRPr="004B58D3">
        <w:rPr>
          <w:sz w:val="22"/>
          <w:szCs w:val="22"/>
          <w:lang w:val="en-GB"/>
        </w:rPr>
        <w:t xml:space="preserve"> since 2008 salaries in Greece have dropped while wages in all other regions/countries have considerably increased, multiplying by more </w:t>
      </w:r>
      <w:r w:rsidRPr="000D3441">
        <w:rPr>
          <w:sz w:val="22"/>
          <w:szCs w:val="22"/>
          <w:lang w:val="en-GB"/>
        </w:rPr>
        <w:t xml:space="preserve">than three in Azerbaijan and Georgia and </w:t>
      </w:r>
      <w:r w:rsidR="00AD57B0">
        <w:rPr>
          <w:sz w:val="22"/>
          <w:szCs w:val="22"/>
          <w:lang w:val="en-GB"/>
        </w:rPr>
        <w:t xml:space="preserve">by </w:t>
      </w:r>
      <w:r w:rsidR="00F44886">
        <w:rPr>
          <w:sz w:val="22"/>
          <w:szCs w:val="22"/>
          <w:lang w:val="en-GB"/>
        </w:rPr>
        <w:t>2.5</w:t>
      </w:r>
      <w:r w:rsidR="00AD57B0">
        <w:rPr>
          <w:sz w:val="22"/>
          <w:szCs w:val="22"/>
          <w:lang w:val="en-GB"/>
        </w:rPr>
        <w:t xml:space="preserve"> in Bulgaria (see table 4</w:t>
      </w:r>
      <w:r w:rsidRPr="000D3441">
        <w:rPr>
          <w:sz w:val="22"/>
          <w:szCs w:val="22"/>
          <w:lang w:val="en-GB"/>
        </w:rPr>
        <w:t xml:space="preserve"> below). On average, wages within the Black Sea Basin remain four times lower than the EU average</w:t>
      </w:r>
      <w:r w:rsidRPr="000D3441">
        <w:rPr>
          <w:rStyle w:val="EndnoteReference"/>
          <w:sz w:val="22"/>
          <w:szCs w:val="22"/>
          <w:lang w:val="en-GB"/>
        </w:rPr>
        <w:endnoteReference w:id="63"/>
      </w:r>
      <w:r w:rsidRPr="000D3441">
        <w:rPr>
          <w:sz w:val="22"/>
          <w:szCs w:val="22"/>
          <w:lang w:val="en-GB"/>
        </w:rPr>
        <w:t xml:space="preserve">.  </w:t>
      </w:r>
    </w:p>
    <w:p w14:paraId="00B472A3" w14:textId="77777777" w:rsidR="00D16147" w:rsidRPr="004B58D3" w:rsidRDefault="00D16147" w:rsidP="00D16147">
      <w:pPr>
        <w:spacing w:before="120" w:after="0" w:line="252" w:lineRule="auto"/>
        <w:jc w:val="both"/>
        <w:rPr>
          <w:sz w:val="22"/>
          <w:szCs w:val="22"/>
          <w:lang w:val="en-GB"/>
        </w:rPr>
      </w:pPr>
      <w:r w:rsidRPr="000D3441">
        <w:rPr>
          <w:sz w:val="22"/>
          <w:szCs w:val="22"/>
          <w:lang w:val="en-GB"/>
        </w:rPr>
        <w:t>However, wage and salaried earners represent only around 40% of all workers in Georgia and Azerbaijan and about</w:t>
      </w:r>
      <w:r w:rsidRPr="004B58D3">
        <w:rPr>
          <w:sz w:val="22"/>
          <w:szCs w:val="22"/>
          <w:lang w:val="en-GB"/>
        </w:rPr>
        <w:t xml:space="preserve"> 65% in Romania, Turkey, Moldova and Greece – in sharp contrast to Bulgaria, Ukraine and Russia, or the EU average (&gt;82%)</w:t>
      </w:r>
      <w:r w:rsidRPr="00E70CD2">
        <w:rPr>
          <w:rStyle w:val="EndnoteReference"/>
          <w:sz w:val="22"/>
          <w:szCs w:val="22"/>
        </w:rPr>
        <w:endnoteReference w:id="64"/>
      </w:r>
      <w:r w:rsidRPr="004B58D3">
        <w:rPr>
          <w:sz w:val="22"/>
          <w:szCs w:val="22"/>
          <w:lang w:val="en-GB"/>
        </w:rPr>
        <w:t xml:space="preserve">. The majority of workers in Georgia and Azerbaijan </w:t>
      </w:r>
      <w:r>
        <w:rPr>
          <w:sz w:val="22"/>
          <w:szCs w:val="22"/>
          <w:lang w:val="en-GB"/>
        </w:rPr>
        <w:t>are s</w:t>
      </w:r>
      <w:r w:rsidRPr="004B58D3">
        <w:rPr>
          <w:sz w:val="22"/>
          <w:szCs w:val="22"/>
          <w:lang w:val="en-GB"/>
        </w:rPr>
        <w:t>elf-employed</w:t>
      </w:r>
      <w:r>
        <w:rPr>
          <w:sz w:val="22"/>
          <w:szCs w:val="22"/>
          <w:lang w:val="en-GB"/>
        </w:rPr>
        <w:t>,</w:t>
      </w:r>
      <w:r w:rsidRPr="004B58D3">
        <w:rPr>
          <w:sz w:val="22"/>
          <w:szCs w:val="22"/>
          <w:lang w:val="en-GB"/>
        </w:rPr>
        <w:t xml:space="preserve"> mostly in low-productive agriculture of a subsistence nature or small-scale informal activities</w:t>
      </w:r>
      <w:r w:rsidRPr="00E70CD2">
        <w:rPr>
          <w:rStyle w:val="EndnoteReference"/>
          <w:sz w:val="22"/>
          <w:szCs w:val="22"/>
        </w:rPr>
        <w:endnoteReference w:id="65"/>
      </w:r>
      <w:r w:rsidRPr="004B58D3">
        <w:rPr>
          <w:sz w:val="22"/>
          <w:szCs w:val="22"/>
          <w:lang w:val="en-GB"/>
        </w:rPr>
        <w:t>. The challenge to integrate these workers into higher-productivity sectors, enhancing their skills and creating more jobs in the formal economy therefore remains high</w:t>
      </w:r>
      <w:r w:rsidRPr="00E70CD2">
        <w:rPr>
          <w:rStyle w:val="EndnoteReference"/>
          <w:sz w:val="22"/>
          <w:szCs w:val="22"/>
        </w:rPr>
        <w:endnoteReference w:id="66"/>
      </w:r>
      <w:r w:rsidRPr="004B58D3">
        <w:rPr>
          <w:sz w:val="22"/>
          <w:szCs w:val="22"/>
          <w:lang w:val="en-GB"/>
        </w:rPr>
        <w:t>.</w:t>
      </w:r>
    </w:p>
    <w:p w14:paraId="259E8C6A" w14:textId="77777777" w:rsidR="00D16147" w:rsidRPr="004B58D3" w:rsidRDefault="00D16147" w:rsidP="00D16147">
      <w:pPr>
        <w:spacing w:before="120" w:after="0" w:line="252" w:lineRule="auto"/>
        <w:jc w:val="both"/>
        <w:rPr>
          <w:sz w:val="22"/>
          <w:szCs w:val="22"/>
          <w:lang w:val="en-GB"/>
        </w:rPr>
      </w:pPr>
    </w:p>
    <w:tbl>
      <w:tblPr>
        <w:tblW w:w="10500" w:type="dxa"/>
        <w:tblInd w:w="55" w:type="dxa"/>
        <w:tblCellMar>
          <w:left w:w="70" w:type="dxa"/>
          <w:right w:w="70" w:type="dxa"/>
        </w:tblCellMar>
        <w:tblLook w:val="04A0" w:firstRow="1" w:lastRow="0" w:firstColumn="1" w:lastColumn="0" w:noHBand="0" w:noVBand="1"/>
      </w:tblPr>
      <w:tblGrid>
        <w:gridCol w:w="1300"/>
        <w:gridCol w:w="2520"/>
        <w:gridCol w:w="1420"/>
        <w:gridCol w:w="1820"/>
        <w:gridCol w:w="1820"/>
        <w:gridCol w:w="1620"/>
      </w:tblGrid>
      <w:tr w:rsidR="00D16147" w:rsidRPr="00E25421" w14:paraId="32A7689D" w14:textId="77777777" w:rsidTr="00A34868">
        <w:trPr>
          <w:trHeight w:val="840"/>
          <w:tblHeader/>
        </w:trPr>
        <w:tc>
          <w:tcPr>
            <w:tcW w:w="1300" w:type="dxa"/>
            <w:tcBorders>
              <w:top w:val="single" w:sz="4" w:space="0" w:color="auto"/>
              <w:left w:val="single" w:sz="4" w:space="0" w:color="auto"/>
              <w:bottom w:val="single" w:sz="4" w:space="0" w:color="auto"/>
              <w:right w:val="single" w:sz="4" w:space="0" w:color="auto"/>
            </w:tcBorders>
            <w:shd w:val="clear" w:color="4F81BD" w:fill="4F81BD"/>
            <w:noWrap/>
            <w:hideMark/>
          </w:tcPr>
          <w:p w14:paraId="4E7D9700" w14:textId="77777777" w:rsidR="00D16147" w:rsidRPr="00C076B6" w:rsidRDefault="00D16147" w:rsidP="00A34868">
            <w:pPr>
              <w:spacing w:after="0" w:line="252" w:lineRule="auto"/>
              <w:rPr>
                <w:rFonts w:ascii="Calibri" w:eastAsia="Times New Roman" w:hAnsi="Calibri" w:cs="Times New Roman"/>
                <w:b/>
                <w:bCs/>
                <w:color w:val="FFFFFF"/>
                <w:sz w:val="20"/>
                <w:szCs w:val="20"/>
              </w:rPr>
            </w:pPr>
            <w:r w:rsidRPr="00C076B6">
              <w:rPr>
                <w:rFonts w:ascii="Calibri" w:eastAsia="Times New Roman" w:hAnsi="Calibri" w:cs="Times New Roman"/>
                <w:b/>
                <w:bCs/>
                <w:color w:val="FFFFFF"/>
                <w:sz w:val="20"/>
                <w:szCs w:val="20"/>
              </w:rPr>
              <w:t>COUNTRY</w:t>
            </w:r>
          </w:p>
        </w:tc>
        <w:tc>
          <w:tcPr>
            <w:tcW w:w="2520" w:type="dxa"/>
            <w:tcBorders>
              <w:top w:val="single" w:sz="4" w:space="0" w:color="auto"/>
              <w:left w:val="single" w:sz="4" w:space="0" w:color="auto"/>
              <w:bottom w:val="single" w:sz="4" w:space="0" w:color="auto"/>
              <w:right w:val="single" w:sz="4" w:space="0" w:color="auto"/>
            </w:tcBorders>
            <w:shd w:val="clear" w:color="4F81BD" w:fill="4F81BD"/>
            <w:noWrap/>
            <w:hideMark/>
          </w:tcPr>
          <w:p w14:paraId="4316ADD5" w14:textId="77777777" w:rsidR="00D16147" w:rsidRPr="00C076B6" w:rsidRDefault="00D16147" w:rsidP="00A34868">
            <w:pPr>
              <w:spacing w:after="0" w:line="252" w:lineRule="auto"/>
              <w:rPr>
                <w:rFonts w:ascii="Calibri" w:eastAsia="Times New Roman" w:hAnsi="Calibri" w:cs="Times New Roman"/>
                <w:b/>
                <w:bCs/>
                <w:color w:val="FFFFFF"/>
                <w:sz w:val="20"/>
                <w:szCs w:val="20"/>
              </w:rPr>
            </w:pPr>
            <w:r w:rsidRPr="00C076B6">
              <w:rPr>
                <w:rFonts w:ascii="Calibri" w:eastAsia="Times New Roman" w:hAnsi="Calibri" w:cs="Times New Roman"/>
                <w:b/>
                <w:bCs/>
                <w:color w:val="FFFFFF"/>
                <w:sz w:val="20"/>
                <w:szCs w:val="20"/>
              </w:rPr>
              <w:t>ELIGIBLE REGIONS</w:t>
            </w:r>
          </w:p>
        </w:tc>
        <w:tc>
          <w:tcPr>
            <w:tcW w:w="1420" w:type="dxa"/>
            <w:tcBorders>
              <w:top w:val="single" w:sz="4" w:space="0" w:color="auto"/>
              <w:left w:val="single" w:sz="4" w:space="0" w:color="auto"/>
              <w:bottom w:val="single" w:sz="4" w:space="0" w:color="auto"/>
              <w:right w:val="single" w:sz="4" w:space="0" w:color="auto"/>
            </w:tcBorders>
            <w:shd w:val="clear" w:color="4F81BD" w:fill="4F81BD"/>
            <w:hideMark/>
          </w:tcPr>
          <w:p w14:paraId="5817A9D5" w14:textId="77777777" w:rsidR="00D16147" w:rsidRPr="00E25421" w:rsidRDefault="00D16147" w:rsidP="00A34868">
            <w:pPr>
              <w:spacing w:after="0" w:line="252" w:lineRule="auto"/>
              <w:jc w:val="center"/>
              <w:rPr>
                <w:rFonts w:ascii="Calibri" w:eastAsia="Times New Roman" w:hAnsi="Calibri" w:cs="Times New Roman"/>
                <w:b/>
                <w:bCs/>
                <w:color w:val="FFFFFF"/>
                <w:sz w:val="20"/>
                <w:szCs w:val="20"/>
                <w:lang w:val="en-GB"/>
              </w:rPr>
            </w:pPr>
            <w:r w:rsidRPr="00E25421">
              <w:rPr>
                <w:rFonts w:ascii="Calibri" w:eastAsia="Times New Roman" w:hAnsi="Calibri" w:cs="Times New Roman"/>
                <w:b/>
                <w:bCs/>
                <w:color w:val="FFFFFF"/>
                <w:sz w:val="20"/>
                <w:szCs w:val="20"/>
                <w:lang w:val="en-GB"/>
              </w:rPr>
              <w:t>WAGES</w:t>
            </w:r>
            <w:r w:rsidRPr="00E25421">
              <w:rPr>
                <w:rFonts w:ascii="Calibri" w:eastAsia="Times New Roman" w:hAnsi="Calibri" w:cs="Times New Roman"/>
                <w:b/>
                <w:bCs/>
                <w:color w:val="FFFFFF"/>
                <w:sz w:val="20"/>
                <w:szCs w:val="20"/>
                <w:lang w:val="en-GB"/>
              </w:rPr>
              <w:br/>
            </w:r>
            <w:r w:rsidRPr="00E25421">
              <w:rPr>
                <w:rFonts w:ascii="Calibri" w:eastAsia="Times New Roman" w:hAnsi="Calibri" w:cs="Times New Roman"/>
                <w:color w:val="FFFFFF"/>
                <w:sz w:val="20"/>
                <w:szCs w:val="20"/>
                <w:lang w:val="en-GB"/>
              </w:rPr>
              <w:t>(€, monthly)</w:t>
            </w:r>
          </w:p>
        </w:tc>
        <w:tc>
          <w:tcPr>
            <w:tcW w:w="1820" w:type="dxa"/>
            <w:tcBorders>
              <w:top w:val="single" w:sz="4" w:space="0" w:color="auto"/>
              <w:left w:val="single" w:sz="4" w:space="0" w:color="auto"/>
              <w:bottom w:val="single" w:sz="4" w:space="0" w:color="auto"/>
              <w:right w:val="single" w:sz="4" w:space="0" w:color="auto"/>
            </w:tcBorders>
            <w:shd w:val="clear" w:color="4F81BD" w:fill="4F81BD"/>
            <w:hideMark/>
          </w:tcPr>
          <w:p w14:paraId="1EDB27F9" w14:textId="77777777" w:rsidR="00D16147" w:rsidRPr="00E25421" w:rsidRDefault="00D16147" w:rsidP="00A34868">
            <w:pPr>
              <w:spacing w:after="0" w:line="252" w:lineRule="auto"/>
              <w:jc w:val="center"/>
              <w:rPr>
                <w:rFonts w:ascii="Calibri" w:eastAsia="Times New Roman" w:hAnsi="Calibri" w:cs="Times New Roman"/>
                <w:b/>
                <w:bCs/>
                <w:color w:val="FFFFFF"/>
                <w:sz w:val="20"/>
                <w:szCs w:val="20"/>
                <w:lang w:val="en-GB"/>
              </w:rPr>
            </w:pPr>
            <w:r>
              <w:rPr>
                <w:rFonts w:ascii="Calibri" w:eastAsia="Times New Roman" w:hAnsi="Calibri" w:cs="Times New Roman"/>
                <w:b/>
                <w:bCs/>
                <w:color w:val="FFFFFF"/>
                <w:sz w:val="20"/>
                <w:szCs w:val="20"/>
                <w:lang w:val="en-GB"/>
              </w:rPr>
              <w:t xml:space="preserve">MALE </w:t>
            </w:r>
            <w:r w:rsidRPr="00E25421">
              <w:rPr>
                <w:rFonts w:ascii="Calibri" w:eastAsia="Times New Roman" w:hAnsi="Calibri" w:cs="Times New Roman"/>
                <w:b/>
                <w:bCs/>
                <w:color w:val="FFFFFF"/>
                <w:sz w:val="20"/>
                <w:szCs w:val="20"/>
                <w:lang w:val="en-GB"/>
              </w:rPr>
              <w:t xml:space="preserve">UNEMPLOYMENT RATE </w:t>
            </w:r>
            <w:r w:rsidRPr="00E25421">
              <w:rPr>
                <w:rFonts w:ascii="Calibri" w:eastAsia="Times New Roman" w:hAnsi="Calibri" w:cs="Times New Roman"/>
                <w:color w:val="FFFFFF"/>
                <w:sz w:val="20"/>
                <w:szCs w:val="20"/>
                <w:lang w:val="en-GB"/>
              </w:rPr>
              <w:t>(%)</w:t>
            </w:r>
          </w:p>
        </w:tc>
        <w:tc>
          <w:tcPr>
            <w:tcW w:w="1820" w:type="dxa"/>
            <w:tcBorders>
              <w:top w:val="single" w:sz="4" w:space="0" w:color="auto"/>
              <w:left w:val="single" w:sz="4" w:space="0" w:color="auto"/>
              <w:bottom w:val="single" w:sz="4" w:space="0" w:color="auto"/>
              <w:right w:val="single" w:sz="4" w:space="0" w:color="auto"/>
            </w:tcBorders>
            <w:shd w:val="clear" w:color="4F81BD" w:fill="4F81BD"/>
            <w:hideMark/>
          </w:tcPr>
          <w:p w14:paraId="58993BE5" w14:textId="77777777" w:rsidR="00D16147" w:rsidRPr="00E25421" w:rsidRDefault="00D16147" w:rsidP="00A34868">
            <w:pPr>
              <w:spacing w:after="0" w:line="252" w:lineRule="auto"/>
              <w:jc w:val="center"/>
              <w:rPr>
                <w:rFonts w:ascii="Calibri" w:eastAsia="Times New Roman" w:hAnsi="Calibri" w:cs="Times New Roman"/>
                <w:b/>
                <w:bCs/>
                <w:color w:val="FFFFFF"/>
                <w:sz w:val="20"/>
                <w:szCs w:val="20"/>
                <w:lang w:val="en-GB"/>
              </w:rPr>
            </w:pPr>
            <w:r>
              <w:rPr>
                <w:rFonts w:ascii="Calibri" w:eastAsia="Times New Roman" w:hAnsi="Calibri" w:cs="Times New Roman"/>
                <w:b/>
                <w:bCs/>
                <w:color w:val="FFFFFF"/>
                <w:sz w:val="20"/>
                <w:szCs w:val="20"/>
                <w:lang w:val="en-GB"/>
              </w:rPr>
              <w:t>FEMALE</w:t>
            </w:r>
            <w:r w:rsidRPr="00E25421">
              <w:rPr>
                <w:rFonts w:ascii="Calibri" w:eastAsia="Times New Roman" w:hAnsi="Calibri" w:cs="Times New Roman"/>
                <w:b/>
                <w:bCs/>
                <w:color w:val="FFFFFF"/>
                <w:sz w:val="20"/>
                <w:szCs w:val="20"/>
                <w:lang w:val="en-GB"/>
              </w:rPr>
              <w:t xml:space="preserve"> UNEMPLOYMENT RATE (%)</w:t>
            </w:r>
          </w:p>
        </w:tc>
        <w:tc>
          <w:tcPr>
            <w:tcW w:w="1620" w:type="dxa"/>
            <w:tcBorders>
              <w:top w:val="single" w:sz="4" w:space="0" w:color="auto"/>
              <w:left w:val="single" w:sz="4" w:space="0" w:color="auto"/>
              <w:bottom w:val="single" w:sz="4" w:space="0" w:color="auto"/>
              <w:right w:val="single" w:sz="4" w:space="0" w:color="auto"/>
            </w:tcBorders>
            <w:shd w:val="clear" w:color="4F81BD" w:fill="4F81BD"/>
            <w:hideMark/>
          </w:tcPr>
          <w:p w14:paraId="099BA220" w14:textId="77777777" w:rsidR="00D16147" w:rsidRPr="00E25421" w:rsidRDefault="00D16147" w:rsidP="00A34868">
            <w:pPr>
              <w:spacing w:after="0" w:line="252" w:lineRule="auto"/>
              <w:jc w:val="center"/>
              <w:rPr>
                <w:rFonts w:ascii="Calibri" w:eastAsia="Times New Roman" w:hAnsi="Calibri" w:cs="Times New Roman"/>
                <w:b/>
                <w:bCs/>
                <w:color w:val="FFFFFF"/>
                <w:sz w:val="20"/>
                <w:szCs w:val="20"/>
                <w:lang w:val="en-GB"/>
              </w:rPr>
            </w:pPr>
            <w:r w:rsidRPr="00E25421">
              <w:rPr>
                <w:rFonts w:ascii="Calibri" w:eastAsia="Times New Roman" w:hAnsi="Calibri" w:cs="Times New Roman"/>
                <w:b/>
                <w:bCs/>
                <w:color w:val="FFFFFF"/>
                <w:sz w:val="20"/>
                <w:szCs w:val="20"/>
                <w:lang w:val="en-GB"/>
              </w:rPr>
              <w:t>YOUTH UNEMPLOYMENT RATE (%)</w:t>
            </w:r>
          </w:p>
        </w:tc>
      </w:tr>
      <w:tr w:rsidR="00D16147" w:rsidRPr="00C076B6" w14:paraId="0ED655A0" w14:textId="77777777" w:rsidTr="008242B5">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5B651158" w14:textId="77777777" w:rsidR="00D16147" w:rsidRPr="00E25421" w:rsidRDefault="00D16147" w:rsidP="008242B5">
            <w:pPr>
              <w:spacing w:before="120" w:after="0" w:line="252" w:lineRule="auto"/>
              <w:rPr>
                <w:rFonts w:ascii="Calibri" w:eastAsia="Times New Roman" w:hAnsi="Calibri" w:cs="Times New Roman"/>
                <w:b/>
                <w:bCs/>
                <w:color w:val="000000"/>
                <w:sz w:val="20"/>
                <w:szCs w:val="20"/>
                <w:lang w:val="en-GB"/>
              </w:rPr>
            </w:pPr>
            <w:r w:rsidRPr="00E25421">
              <w:rPr>
                <w:rFonts w:ascii="Calibri" w:eastAsia="Times New Roman" w:hAnsi="Calibri" w:cs="Times New Roman"/>
                <w:b/>
                <w:bCs/>
                <w:color w:val="000000"/>
                <w:sz w:val="20"/>
                <w:szCs w:val="20"/>
                <w:lang w:val="en-GB"/>
              </w:rPr>
              <w:t xml:space="preserve">ARMENIA </w:t>
            </w:r>
          </w:p>
        </w:tc>
        <w:tc>
          <w:tcPr>
            <w:tcW w:w="2520" w:type="dxa"/>
            <w:tcBorders>
              <w:top w:val="single" w:sz="4" w:space="0" w:color="auto"/>
              <w:left w:val="single" w:sz="4" w:space="0" w:color="auto"/>
              <w:bottom w:val="single" w:sz="4" w:space="0" w:color="auto"/>
              <w:right w:val="nil"/>
            </w:tcBorders>
            <w:shd w:val="clear" w:color="DCE6F1" w:fill="DCE6F1"/>
            <w:noWrap/>
            <w:vAlign w:val="bottom"/>
            <w:hideMark/>
          </w:tcPr>
          <w:p w14:paraId="4F5753A8" w14:textId="77777777" w:rsidR="00D16147" w:rsidRPr="00E25421" w:rsidRDefault="00D16147" w:rsidP="008242B5">
            <w:pPr>
              <w:spacing w:before="120" w:after="0" w:line="252" w:lineRule="auto"/>
              <w:rPr>
                <w:rFonts w:ascii="Calibri" w:eastAsia="Times New Roman" w:hAnsi="Calibri" w:cs="Times New Roman"/>
                <w:color w:val="000000"/>
                <w:sz w:val="20"/>
                <w:szCs w:val="20"/>
                <w:lang w:val="en-GB"/>
              </w:rPr>
            </w:pPr>
            <w:r w:rsidRPr="00E25421">
              <w:rPr>
                <w:rFonts w:ascii="Calibri" w:eastAsia="Times New Roman" w:hAnsi="Calibri" w:cs="Times New Roman"/>
                <w:color w:val="000000"/>
                <w:sz w:val="20"/>
                <w:szCs w:val="20"/>
                <w:lang w:val="en-GB"/>
              </w:rPr>
              <w:t>(whole country)</w:t>
            </w:r>
          </w:p>
        </w:tc>
        <w:tc>
          <w:tcPr>
            <w:tcW w:w="1420" w:type="dxa"/>
            <w:tcBorders>
              <w:top w:val="single" w:sz="4" w:space="0" w:color="auto"/>
              <w:left w:val="single" w:sz="4" w:space="0" w:color="auto"/>
              <w:bottom w:val="single" w:sz="4" w:space="0" w:color="auto"/>
              <w:right w:val="nil"/>
            </w:tcBorders>
            <w:shd w:val="clear" w:color="DCE6F1" w:fill="DCE6F1"/>
            <w:noWrap/>
            <w:vAlign w:val="bottom"/>
            <w:hideMark/>
          </w:tcPr>
          <w:p w14:paraId="64312314" w14:textId="77777777" w:rsidR="00D16147" w:rsidRPr="002C6EE9" w:rsidRDefault="00424592" w:rsidP="008242B5">
            <w:pPr>
              <w:spacing w:before="120" w:after="0" w:line="252" w:lineRule="auto"/>
              <w:jc w:val="right"/>
              <w:rPr>
                <w:rFonts w:ascii="Calibri" w:eastAsia="Times New Roman" w:hAnsi="Calibri" w:cs="Times New Roman"/>
                <w:color w:val="000000"/>
                <w:sz w:val="20"/>
                <w:szCs w:val="20"/>
                <w:lang w:val="en-GB"/>
              </w:rPr>
            </w:pPr>
            <w:r w:rsidRPr="002C6EE9">
              <w:rPr>
                <w:rFonts w:ascii="Calibri" w:eastAsia="Times New Roman" w:hAnsi="Calibri" w:cs="Times New Roman"/>
                <w:color w:val="000000"/>
                <w:sz w:val="20"/>
                <w:szCs w:val="20"/>
                <w:lang w:val="en-GB"/>
              </w:rPr>
              <w:t>26</w:t>
            </w:r>
            <w:r w:rsidR="00B53C93" w:rsidRPr="002C6EE9">
              <w:rPr>
                <w:rFonts w:ascii="Calibri" w:eastAsia="Times New Roman" w:hAnsi="Calibri" w:cs="Times New Roman"/>
                <w:color w:val="000000"/>
                <w:sz w:val="20"/>
                <w:szCs w:val="20"/>
                <w:lang w:val="en-GB"/>
              </w:rPr>
              <w:t>9</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C1BA84E" w14:textId="77777777" w:rsidR="00D16147" w:rsidRPr="00C531A6" w:rsidRDefault="00B53C93" w:rsidP="00B53C93">
            <w:pPr>
              <w:spacing w:before="120" w:after="0" w:line="252" w:lineRule="auto"/>
              <w:jc w:val="right"/>
              <w:rPr>
                <w:rFonts w:ascii="Calibri" w:eastAsia="Times New Roman" w:hAnsi="Calibri" w:cs="Times New Roman"/>
                <w:iCs/>
                <w:color w:val="000000"/>
                <w:sz w:val="20"/>
                <w:szCs w:val="20"/>
                <w:lang w:val="en-GB"/>
              </w:rPr>
            </w:pPr>
            <w:r w:rsidRPr="00C531A6">
              <w:rPr>
                <w:rFonts w:ascii="Calibri" w:eastAsia="Times New Roman" w:hAnsi="Calibri" w:cs="Times New Roman"/>
                <w:iCs/>
                <w:color w:val="000000"/>
                <w:sz w:val="20"/>
                <w:szCs w:val="20"/>
                <w:lang w:val="en-GB"/>
              </w:rPr>
              <w:t>14.4</w:t>
            </w:r>
            <w:r w:rsidR="00D16147" w:rsidRPr="00C531A6">
              <w:rPr>
                <w:rFonts w:ascii="Calibri" w:eastAsia="Times New Roman" w:hAnsi="Calibri" w:cs="Times New Roman"/>
                <w:iCs/>
                <w:color w:val="000000"/>
                <w:sz w:val="20"/>
                <w:szCs w:val="20"/>
                <w:lang w:val="en-GB"/>
              </w:rPr>
              <w:t>%</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C14A3B5" w14:textId="77777777" w:rsidR="00D16147" w:rsidRPr="00C531A6" w:rsidRDefault="00B53C93" w:rsidP="00B53C93">
            <w:pPr>
              <w:spacing w:before="120" w:after="0" w:line="252" w:lineRule="auto"/>
              <w:jc w:val="right"/>
              <w:rPr>
                <w:rFonts w:ascii="Calibri" w:eastAsia="Times New Roman" w:hAnsi="Calibri" w:cs="Times New Roman"/>
                <w:iCs/>
                <w:color w:val="000000"/>
                <w:sz w:val="20"/>
                <w:szCs w:val="20"/>
              </w:rPr>
            </w:pPr>
            <w:r w:rsidRPr="00C531A6">
              <w:rPr>
                <w:rFonts w:ascii="Calibri" w:eastAsia="Times New Roman" w:hAnsi="Calibri" w:cs="Times New Roman"/>
                <w:iCs/>
                <w:color w:val="000000"/>
                <w:sz w:val="20"/>
                <w:szCs w:val="20"/>
              </w:rPr>
              <w:t xml:space="preserve"> 18.1</w:t>
            </w:r>
            <w:r w:rsidR="00D16147" w:rsidRPr="00C531A6">
              <w:rPr>
                <w:rFonts w:ascii="Calibri" w:eastAsia="Times New Roman" w:hAnsi="Calibri" w:cs="Times New Roman"/>
                <w:iCs/>
                <w:color w:val="000000"/>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ED93BC2" w14:textId="77777777" w:rsidR="00D16147" w:rsidRPr="00C531A6" w:rsidRDefault="00D95AA3" w:rsidP="008242B5">
            <w:pPr>
              <w:spacing w:before="120" w:after="0" w:line="252" w:lineRule="auto"/>
              <w:jc w:val="right"/>
              <w:rPr>
                <w:rFonts w:ascii="Calibri" w:eastAsia="Times New Roman" w:hAnsi="Calibri" w:cs="Times New Roman"/>
                <w:iCs/>
                <w:color w:val="000000"/>
                <w:sz w:val="20"/>
                <w:szCs w:val="20"/>
              </w:rPr>
            </w:pPr>
            <w:r w:rsidRPr="00C531A6">
              <w:rPr>
                <w:rFonts w:ascii="Calibri" w:eastAsia="Times New Roman" w:hAnsi="Calibri" w:cs="Times New Roman"/>
                <w:iCs/>
                <w:color w:val="000000"/>
                <w:sz w:val="20"/>
                <w:szCs w:val="20"/>
              </w:rPr>
              <w:t>36.1</w:t>
            </w:r>
            <w:r w:rsidR="00D16147" w:rsidRPr="00C531A6">
              <w:rPr>
                <w:rFonts w:ascii="Calibri" w:eastAsia="Times New Roman" w:hAnsi="Calibri" w:cs="Times New Roman"/>
                <w:iCs/>
                <w:color w:val="000000"/>
                <w:sz w:val="20"/>
                <w:szCs w:val="20"/>
              </w:rPr>
              <w:t>%</w:t>
            </w:r>
          </w:p>
        </w:tc>
      </w:tr>
      <w:tr w:rsidR="00D16147" w:rsidRPr="00C076B6" w14:paraId="108C53E6" w14:textId="77777777" w:rsidTr="008242B5">
        <w:trPr>
          <w:trHeight w:val="28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4F9F8DE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AZERBAIJAN</w:t>
            </w:r>
          </w:p>
        </w:tc>
        <w:tc>
          <w:tcPr>
            <w:tcW w:w="2520" w:type="dxa"/>
            <w:tcBorders>
              <w:top w:val="single" w:sz="4" w:space="0" w:color="95B3D7"/>
              <w:left w:val="single" w:sz="4" w:space="0" w:color="auto"/>
              <w:bottom w:val="single" w:sz="4" w:space="0" w:color="auto"/>
              <w:right w:val="nil"/>
            </w:tcBorders>
            <w:shd w:val="clear" w:color="auto" w:fill="auto"/>
            <w:noWrap/>
            <w:vAlign w:val="bottom"/>
            <w:hideMark/>
          </w:tcPr>
          <w:p w14:paraId="37149CC8" w14:textId="77777777" w:rsidR="00D16147" w:rsidRPr="00C076B6" w:rsidRDefault="00D16147" w:rsidP="008242B5">
            <w:pPr>
              <w:spacing w:before="120" w:after="0" w:line="252" w:lineRule="auto"/>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w:t>
            </w:r>
            <w:proofErr w:type="spellStart"/>
            <w:r w:rsidRPr="00C076B6">
              <w:rPr>
                <w:rFonts w:ascii="Calibri" w:eastAsia="Times New Roman" w:hAnsi="Calibri" w:cs="Times New Roman"/>
                <w:color w:val="000000"/>
                <w:sz w:val="20"/>
                <w:szCs w:val="20"/>
              </w:rPr>
              <w:t>whole</w:t>
            </w:r>
            <w:proofErr w:type="spellEnd"/>
            <w:r w:rsidRPr="00C076B6">
              <w:rPr>
                <w:rFonts w:ascii="Calibri" w:eastAsia="Times New Roman" w:hAnsi="Calibri" w:cs="Times New Roman"/>
                <w:color w:val="000000"/>
                <w:sz w:val="20"/>
                <w:szCs w:val="20"/>
              </w:rPr>
              <w:t xml:space="preserve"> country)</w:t>
            </w:r>
          </w:p>
        </w:tc>
        <w:tc>
          <w:tcPr>
            <w:tcW w:w="1420" w:type="dxa"/>
            <w:tcBorders>
              <w:top w:val="single" w:sz="4" w:space="0" w:color="95B3D7"/>
              <w:left w:val="single" w:sz="4" w:space="0" w:color="auto"/>
              <w:bottom w:val="single" w:sz="4" w:space="0" w:color="auto"/>
              <w:right w:val="nil"/>
            </w:tcBorders>
            <w:shd w:val="clear" w:color="auto" w:fill="auto"/>
            <w:noWrap/>
            <w:vAlign w:val="bottom"/>
            <w:hideMark/>
          </w:tcPr>
          <w:p w14:paraId="2CCF7CC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380</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2EF282C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r w:rsidRPr="00C076B6">
              <w:rPr>
                <w:rFonts w:ascii="Calibri" w:eastAsia="Times New Roman" w:hAnsi="Calibri" w:cs="Times New Roman"/>
                <w:color w:val="000000"/>
                <w:sz w:val="20"/>
                <w:szCs w:val="20"/>
              </w:rPr>
              <w:t>3%</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28901E1B"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r w:rsidRPr="00C076B6">
              <w:rPr>
                <w:rFonts w:ascii="Calibri" w:eastAsia="Times New Roman" w:hAnsi="Calibri" w:cs="Times New Roman"/>
                <w:color w:val="000000"/>
                <w:sz w:val="20"/>
                <w:szCs w:val="20"/>
              </w:rPr>
              <w:t>1%</w:t>
            </w:r>
          </w:p>
        </w:tc>
        <w:tc>
          <w:tcPr>
            <w:tcW w:w="16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3BDFB76B"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14.</w:t>
            </w:r>
            <w:r w:rsidRPr="00C076B6">
              <w:rPr>
                <w:rFonts w:ascii="Calibri" w:eastAsia="Times New Roman" w:hAnsi="Calibri" w:cs="Times New Roman"/>
                <w:color w:val="000000"/>
                <w:sz w:val="20"/>
                <w:szCs w:val="20"/>
              </w:rPr>
              <w:t>2%</w:t>
            </w:r>
          </w:p>
        </w:tc>
      </w:tr>
      <w:tr w:rsidR="00D16147" w:rsidRPr="00C076B6" w14:paraId="2EE7896D"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727B51BA"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BULGARIA</w:t>
            </w: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7FFB4F18"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Severoiztochen</w:t>
            </w:r>
            <w:proofErr w:type="spellEnd"/>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671635BD" w14:textId="1315C1DE" w:rsidR="00D16147" w:rsidRPr="00C076B6" w:rsidRDefault="006B0AA4"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380  </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A1894C3" w14:textId="5A230768" w:rsidR="00D16147" w:rsidRPr="00C076B6" w:rsidRDefault="0046474F"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13.1</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C0FD567" w14:textId="0779191E" w:rsidR="00D16147" w:rsidRPr="00C076B6" w:rsidRDefault="0046474F"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12.3</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067AC516" w14:textId="6C864611" w:rsidR="00D16147" w:rsidRPr="00C076B6" w:rsidRDefault="00FA19C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lang w:val="bg-BG"/>
              </w:rPr>
              <w:t>16,1</w:t>
            </w:r>
            <w:r w:rsidR="00D16147" w:rsidRPr="00C076B6">
              <w:rPr>
                <w:rFonts w:ascii="Calibri" w:eastAsia="Times New Roman" w:hAnsi="Calibri" w:cs="Times New Roman"/>
                <w:color w:val="000000"/>
                <w:sz w:val="20"/>
                <w:szCs w:val="20"/>
              </w:rPr>
              <w:t>%</w:t>
            </w:r>
          </w:p>
        </w:tc>
      </w:tr>
      <w:tr w:rsidR="00D16147" w:rsidRPr="00C076B6" w14:paraId="0CC2908E"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038FE96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auto"/>
              <w:right w:val="nil"/>
            </w:tcBorders>
            <w:shd w:val="clear" w:color="auto" w:fill="auto"/>
            <w:noWrap/>
            <w:vAlign w:val="center"/>
            <w:hideMark/>
          </w:tcPr>
          <w:p w14:paraId="42FAB15F"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Yugoiztochen</w:t>
            </w:r>
            <w:proofErr w:type="spellEnd"/>
          </w:p>
        </w:tc>
        <w:tc>
          <w:tcPr>
            <w:tcW w:w="1420" w:type="dxa"/>
            <w:tcBorders>
              <w:top w:val="single" w:sz="4" w:space="0" w:color="95B3D7"/>
              <w:left w:val="single" w:sz="4" w:space="0" w:color="auto"/>
              <w:bottom w:val="single" w:sz="4" w:space="0" w:color="auto"/>
              <w:right w:val="nil"/>
            </w:tcBorders>
            <w:shd w:val="clear" w:color="auto" w:fill="auto"/>
            <w:noWrap/>
            <w:vAlign w:val="bottom"/>
            <w:hideMark/>
          </w:tcPr>
          <w:p w14:paraId="26735AE3" w14:textId="763AF3B5" w:rsidR="00D16147" w:rsidRPr="00C076B6" w:rsidRDefault="006B0AA4" w:rsidP="00853F3D">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373 </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327273FB" w14:textId="11E6AF96" w:rsidR="00D16147" w:rsidRPr="00C076B6" w:rsidRDefault="0046474F"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11.8</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BD842E4" w14:textId="1CCBE959" w:rsidR="00D16147" w:rsidRPr="00C076B6" w:rsidRDefault="0046474F"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12.3</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28B1572" w14:textId="509FDB27" w:rsidR="00D16147" w:rsidRPr="00C076B6" w:rsidRDefault="00FA19C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lang w:val="bg-BG"/>
              </w:rPr>
              <w:t>20,6</w:t>
            </w:r>
            <w:r w:rsidR="00D16147" w:rsidRPr="00C076B6">
              <w:rPr>
                <w:rFonts w:ascii="Calibri" w:eastAsia="Times New Roman" w:hAnsi="Calibri" w:cs="Times New Roman"/>
                <w:color w:val="000000"/>
                <w:sz w:val="20"/>
                <w:szCs w:val="20"/>
              </w:rPr>
              <w:t>%</w:t>
            </w:r>
          </w:p>
        </w:tc>
      </w:tr>
      <w:tr w:rsidR="00D16147" w:rsidRPr="00C076B6" w14:paraId="2628C56F" w14:textId="77777777" w:rsidTr="008242B5">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1F305EC5"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GEORGIA</w:t>
            </w:r>
          </w:p>
        </w:tc>
        <w:tc>
          <w:tcPr>
            <w:tcW w:w="2520" w:type="dxa"/>
            <w:tcBorders>
              <w:top w:val="single" w:sz="4" w:space="0" w:color="auto"/>
              <w:left w:val="single" w:sz="4" w:space="0" w:color="auto"/>
              <w:bottom w:val="single" w:sz="4" w:space="0" w:color="auto"/>
              <w:right w:val="nil"/>
            </w:tcBorders>
            <w:shd w:val="clear" w:color="DCE6F1" w:fill="DCE6F1"/>
            <w:noWrap/>
            <w:vAlign w:val="bottom"/>
            <w:hideMark/>
          </w:tcPr>
          <w:p w14:paraId="1DB07479" w14:textId="77777777" w:rsidR="00D16147" w:rsidRPr="00C076B6" w:rsidRDefault="00D16147" w:rsidP="008242B5">
            <w:pPr>
              <w:spacing w:before="120" w:after="0" w:line="252" w:lineRule="auto"/>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w:t>
            </w:r>
            <w:proofErr w:type="spellStart"/>
            <w:r w:rsidRPr="00C076B6">
              <w:rPr>
                <w:rFonts w:ascii="Calibri" w:eastAsia="Times New Roman" w:hAnsi="Calibri" w:cs="Times New Roman"/>
                <w:color w:val="000000"/>
                <w:sz w:val="20"/>
                <w:szCs w:val="20"/>
              </w:rPr>
              <w:t>whole</w:t>
            </w:r>
            <w:proofErr w:type="spellEnd"/>
            <w:r w:rsidRPr="00C076B6">
              <w:rPr>
                <w:rFonts w:ascii="Calibri" w:eastAsia="Times New Roman" w:hAnsi="Calibri" w:cs="Times New Roman"/>
                <w:color w:val="000000"/>
                <w:sz w:val="20"/>
                <w:szCs w:val="20"/>
              </w:rPr>
              <w:t xml:space="preserve"> country)</w:t>
            </w:r>
          </w:p>
        </w:tc>
        <w:tc>
          <w:tcPr>
            <w:tcW w:w="1420" w:type="dxa"/>
            <w:tcBorders>
              <w:top w:val="single" w:sz="4" w:space="0" w:color="auto"/>
              <w:left w:val="single" w:sz="4" w:space="0" w:color="auto"/>
              <w:bottom w:val="single" w:sz="4" w:space="0" w:color="auto"/>
              <w:right w:val="nil"/>
            </w:tcBorders>
            <w:shd w:val="clear" w:color="DCE6F1" w:fill="DCE6F1"/>
            <w:noWrap/>
            <w:vAlign w:val="bottom"/>
            <w:hideMark/>
          </w:tcPr>
          <w:p w14:paraId="157115AF"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350</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E59983E"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16.</w:t>
            </w:r>
            <w:r w:rsidRPr="00C076B6">
              <w:rPr>
                <w:rFonts w:ascii="Calibri" w:eastAsia="Times New Roman" w:hAnsi="Calibri" w:cs="Times New Roman"/>
                <w:color w:val="000000"/>
                <w:sz w:val="20"/>
                <w:szCs w:val="20"/>
              </w:rPr>
              <w:t>1%</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3E3248CE"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w:t>
            </w:r>
            <w:r w:rsidRPr="00C076B6">
              <w:rPr>
                <w:rFonts w:ascii="Calibri" w:eastAsia="Times New Roman" w:hAnsi="Calibri" w:cs="Times New Roman"/>
                <w:color w:val="000000"/>
                <w:sz w:val="20"/>
                <w:szCs w:val="20"/>
              </w:rPr>
              <w:t>8%</w:t>
            </w:r>
          </w:p>
        </w:tc>
        <w:tc>
          <w:tcPr>
            <w:tcW w:w="16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A1FEF3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33.</w:t>
            </w:r>
            <w:r w:rsidRPr="00C076B6">
              <w:rPr>
                <w:rFonts w:ascii="Calibri" w:eastAsia="Times New Roman" w:hAnsi="Calibri" w:cs="Times New Roman"/>
                <w:color w:val="000000"/>
                <w:sz w:val="20"/>
                <w:szCs w:val="20"/>
              </w:rPr>
              <w:t>3%</w:t>
            </w:r>
          </w:p>
        </w:tc>
      </w:tr>
      <w:tr w:rsidR="00D16147" w:rsidRPr="00C076B6" w14:paraId="5AA6A64D" w14:textId="77777777" w:rsidTr="008242B5">
        <w:trPr>
          <w:trHeight w:val="280"/>
        </w:trPr>
        <w:tc>
          <w:tcPr>
            <w:tcW w:w="1300" w:type="dxa"/>
            <w:tcBorders>
              <w:top w:val="single" w:sz="4" w:space="0" w:color="auto"/>
              <w:left w:val="single" w:sz="4" w:space="0" w:color="auto"/>
              <w:bottom w:val="single" w:sz="4" w:space="0" w:color="95B3D7"/>
              <w:right w:val="nil"/>
            </w:tcBorders>
            <w:shd w:val="clear" w:color="auto" w:fill="auto"/>
            <w:noWrap/>
            <w:vAlign w:val="center"/>
            <w:hideMark/>
          </w:tcPr>
          <w:p w14:paraId="052AEC80"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GREECE</w:t>
            </w: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5ABF8E50"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Kentriki</w:t>
            </w:r>
            <w:proofErr w:type="spellEnd"/>
            <w:r w:rsidRPr="00C076B6">
              <w:rPr>
                <w:rFonts w:ascii="Calibri" w:eastAsia="Times New Roman" w:hAnsi="Calibri" w:cs="Times New Roman"/>
                <w:color w:val="000000"/>
                <w:sz w:val="20"/>
                <w:szCs w:val="20"/>
              </w:rPr>
              <w:t xml:space="preserve"> </w:t>
            </w:r>
            <w:proofErr w:type="spellStart"/>
            <w:r w:rsidRPr="00C076B6">
              <w:rPr>
                <w:rFonts w:ascii="Calibri" w:eastAsia="Times New Roman" w:hAnsi="Calibri" w:cs="Times New Roman"/>
                <w:color w:val="000000"/>
                <w:sz w:val="20"/>
                <w:szCs w:val="20"/>
              </w:rPr>
              <w:t>Makedonia</w:t>
            </w:r>
            <w:proofErr w:type="spellEnd"/>
          </w:p>
        </w:tc>
        <w:tc>
          <w:tcPr>
            <w:tcW w:w="1420" w:type="dxa"/>
            <w:tcBorders>
              <w:top w:val="single" w:sz="4" w:space="0" w:color="95B3D7"/>
              <w:left w:val="single" w:sz="4" w:space="0" w:color="auto"/>
              <w:bottom w:val="single" w:sz="4" w:space="0" w:color="95B3D7"/>
              <w:right w:val="nil"/>
            </w:tcBorders>
            <w:shd w:val="clear" w:color="auto" w:fill="auto"/>
            <w:noWrap/>
            <w:vAlign w:val="bottom"/>
            <w:hideMark/>
          </w:tcPr>
          <w:p w14:paraId="01C38C8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885</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5F2B504"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25.</w:t>
            </w:r>
            <w:r w:rsidRPr="00C076B6">
              <w:rPr>
                <w:rFonts w:ascii="Calibri" w:eastAsia="Times New Roman" w:hAnsi="Calibri" w:cs="Times New Roman"/>
                <w:color w:val="000000"/>
                <w:sz w:val="20"/>
                <w:szCs w:val="20"/>
              </w:rPr>
              <w:t>5%</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B17271C"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27.</w:t>
            </w:r>
            <w:r w:rsidRPr="00C076B6">
              <w:rPr>
                <w:rFonts w:ascii="Calibri" w:eastAsia="Times New Roman" w:hAnsi="Calibri" w:cs="Times New Roman"/>
                <w:color w:val="000000"/>
                <w:sz w:val="20"/>
                <w:szCs w:val="20"/>
              </w:rPr>
              <w:t>5%</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24420AF"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62.</w:t>
            </w:r>
            <w:r w:rsidRPr="00C076B6">
              <w:rPr>
                <w:rFonts w:ascii="Calibri" w:eastAsia="Times New Roman" w:hAnsi="Calibri" w:cs="Times New Roman"/>
                <w:color w:val="000000"/>
                <w:sz w:val="20"/>
                <w:szCs w:val="20"/>
              </w:rPr>
              <w:t>0%</w:t>
            </w:r>
          </w:p>
        </w:tc>
      </w:tr>
      <w:tr w:rsidR="00D16147" w:rsidRPr="00C076B6" w14:paraId="1A436590" w14:textId="77777777" w:rsidTr="008242B5">
        <w:trPr>
          <w:trHeight w:val="311"/>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4646B1D0"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21204A3D"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Anatoliki</w:t>
            </w:r>
            <w:proofErr w:type="spellEnd"/>
            <w:r w:rsidRPr="00C076B6">
              <w:rPr>
                <w:rFonts w:ascii="Calibri" w:eastAsia="Times New Roman" w:hAnsi="Calibri" w:cs="Times New Roman"/>
                <w:color w:val="000000"/>
                <w:sz w:val="20"/>
                <w:szCs w:val="20"/>
              </w:rPr>
              <w:t xml:space="preserve"> </w:t>
            </w:r>
            <w:proofErr w:type="spellStart"/>
            <w:r w:rsidRPr="00C076B6">
              <w:rPr>
                <w:rFonts w:ascii="Calibri" w:eastAsia="Times New Roman" w:hAnsi="Calibri" w:cs="Times New Roman"/>
                <w:color w:val="000000"/>
                <w:sz w:val="20"/>
                <w:szCs w:val="20"/>
              </w:rPr>
              <w:t>Makedonia</w:t>
            </w:r>
            <w:proofErr w:type="spellEnd"/>
            <w:r w:rsidRPr="00C076B6">
              <w:rPr>
                <w:rFonts w:ascii="Calibri" w:eastAsia="Times New Roman" w:hAnsi="Calibri" w:cs="Times New Roman"/>
                <w:color w:val="000000"/>
                <w:sz w:val="20"/>
                <w:szCs w:val="20"/>
              </w:rPr>
              <w:t xml:space="preserve"> – </w:t>
            </w:r>
            <w:proofErr w:type="spellStart"/>
            <w:r w:rsidRPr="00C076B6">
              <w:rPr>
                <w:rFonts w:ascii="Calibri" w:eastAsia="Times New Roman" w:hAnsi="Calibri" w:cs="Times New Roman"/>
                <w:color w:val="000000"/>
                <w:sz w:val="20"/>
                <w:szCs w:val="20"/>
              </w:rPr>
              <w:t>Thraki</w:t>
            </w:r>
            <w:proofErr w:type="spellEnd"/>
            <w:r w:rsidRPr="00C076B6">
              <w:rPr>
                <w:rFonts w:ascii="Calibri" w:eastAsia="Times New Roman" w:hAnsi="Calibri" w:cs="Times New Roman"/>
                <w:color w:val="000000"/>
                <w:sz w:val="20"/>
                <w:szCs w:val="20"/>
              </w:rPr>
              <w:t xml:space="preserve"> </w:t>
            </w:r>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6ECCB92F"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854</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EE934AA"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26.</w:t>
            </w:r>
            <w:r w:rsidRPr="00C076B6">
              <w:rPr>
                <w:rFonts w:ascii="Calibri" w:eastAsia="Times New Roman" w:hAnsi="Calibri" w:cs="Times New Roman"/>
                <w:color w:val="000000"/>
                <w:sz w:val="20"/>
                <w:szCs w:val="20"/>
              </w:rPr>
              <w:t>3%</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3962983"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33.</w:t>
            </w:r>
            <w:r w:rsidRPr="00C076B6">
              <w:rPr>
                <w:rFonts w:ascii="Calibri" w:eastAsia="Times New Roman" w:hAnsi="Calibri" w:cs="Times New Roman"/>
                <w:color w:val="000000"/>
                <w:sz w:val="20"/>
                <w:szCs w:val="20"/>
              </w:rPr>
              <w:t>8%</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02C35292"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66.</w:t>
            </w:r>
            <w:r w:rsidRPr="00C076B6">
              <w:rPr>
                <w:rFonts w:ascii="Calibri" w:eastAsia="Times New Roman" w:hAnsi="Calibri" w:cs="Times New Roman"/>
                <w:color w:val="000000"/>
                <w:sz w:val="20"/>
                <w:szCs w:val="20"/>
              </w:rPr>
              <w:t>0%</w:t>
            </w:r>
          </w:p>
        </w:tc>
      </w:tr>
      <w:tr w:rsidR="00D16147" w:rsidRPr="00C076B6" w14:paraId="14056570" w14:textId="77777777" w:rsidTr="008242B5">
        <w:trPr>
          <w:trHeight w:val="280"/>
        </w:trPr>
        <w:tc>
          <w:tcPr>
            <w:tcW w:w="1300" w:type="dxa"/>
            <w:tcBorders>
              <w:top w:val="single" w:sz="4" w:space="0" w:color="auto"/>
              <w:left w:val="single" w:sz="4" w:space="0" w:color="auto"/>
              <w:bottom w:val="single" w:sz="4" w:space="0" w:color="auto"/>
              <w:right w:val="nil"/>
            </w:tcBorders>
            <w:shd w:val="clear" w:color="DCE6F1" w:fill="DCE6F1"/>
            <w:noWrap/>
            <w:vAlign w:val="center"/>
            <w:hideMark/>
          </w:tcPr>
          <w:p w14:paraId="269BF379"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MOLDOVA</w:t>
            </w:r>
          </w:p>
        </w:tc>
        <w:tc>
          <w:tcPr>
            <w:tcW w:w="2520" w:type="dxa"/>
            <w:tcBorders>
              <w:top w:val="single" w:sz="4" w:space="0" w:color="auto"/>
              <w:left w:val="single" w:sz="4" w:space="0" w:color="auto"/>
              <w:bottom w:val="single" w:sz="4" w:space="0" w:color="auto"/>
              <w:right w:val="nil"/>
            </w:tcBorders>
            <w:shd w:val="clear" w:color="DCE6F1" w:fill="DCE6F1"/>
            <w:noWrap/>
            <w:vAlign w:val="bottom"/>
            <w:hideMark/>
          </w:tcPr>
          <w:p w14:paraId="47D82F3D" w14:textId="77777777" w:rsidR="00D16147" w:rsidRPr="00C076B6" w:rsidRDefault="00D16147" w:rsidP="008242B5">
            <w:pPr>
              <w:spacing w:before="120" w:after="0" w:line="252" w:lineRule="auto"/>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w:t>
            </w:r>
            <w:proofErr w:type="spellStart"/>
            <w:r w:rsidRPr="00C076B6">
              <w:rPr>
                <w:rFonts w:ascii="Calibri" w:eastAsia="Times New Roman" w:hAnsi="Calibri" w:cs="Times New Roman"/>
                <w:color w:val="000000"/>
                <w:sz w:val="20"/>
                <w:szCs w:val="20"/>
              </w:rPr>
              <w:t>whole</w:t>
            </w:r>
            <w:proofErr w:type="spellEnd"/>
            <w:r w:rsidRPr="00C076B6">
              <w:rPr>
                <w:rFonts w:ascii="Calibri" w:eastAsia="Times New Roman" w:hAnsi="Calibri" w:cs="Times New Roman"/>
                <w:color w:val="000000"/>
                <w:sz w:val="20"/>
                <w:szCs w:val="20"/>
              </w:rPr>
              <w:t xml:space="preserve"> country)</w:t>
            </w:r>
          </w:p>
        </w:tc>
        <w:tc>
          <w:tcPr>
            <w:tcW w:w="1420" w:type="dxa"/>
            <w:tcBorders>
              <w:top w:val="single" w:sz="4" w:space="0" w:color="auto"/>
              <w:left w:val="single" w:sz="4" w:space="0" w:color="auto"/>
              <w:bottom w:val="single" w:sz="4" w:space="0" w:color="auto"/>
              <w:right w:val="nil"/>
            </w:tcBorders>
            <w:shd w:val="clear" w:color="DCE6F1" w:fill="DCE6F1"/>
            <w:noWrap/>
            <w:vAlign w:val="bottom"/>
            <w:hideMark/>
          </w:tcPr>
          <w:p w14:paraId="4B991F8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223</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4C5BA595"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r w:rsidRPr="00C076B6">
              <w:rPr>
                <w:rFonts w:ascii="Calibri" w:eastAsia="Times New Roman" w:hAnsi="Calibri" w:cs="Times New Roman"/>
                <w:color w:val="000000"/>
                <w:sz w:val="20"/>
                <w:szCs w:val="20"/>
              </w:rPr>
              <w:t>8%</w:t>
            </w:r>
          </w:p>
        </w:tc>
        <w:tc>
          <w:tcPr>
            <w:tcW w:w="18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2EC24A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r w:rsidRPr="00C076B6">
              <w:rPr>
                <w:rFonts w:ascii="Calibri" w:eastAsia="Times New Roman" w:hAnsi="Calibri" w:cs="Times New Roman"/>
                <w:color w:val="000000"/>
                <w:sz w:val="20"/>
                <w:szCs w:val="20"/>
              </w:rPr>
              <w:t>3%</w:t>
            </w:r>
          </w:p>
        </w:tc>
        <w:tc>
          <w:tcPr>
            <w:tcW w:w="1620"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684757EF"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w:t>
            </w:r>
            <w:r w:rsidRPr="00C076B6">
              <w:rPr>
                <w:rFonts w:ascii="Calibri" w:eastAsia="Times New Roman" w:hAnsi="Calibri" w:cs="Times New Roman"/>
                <w:color w:val="000000"/>
                <w:sz w:val="20"/>
                <w:szCs w:val="20"/>
              </w:rPr>
              <w:t>1%</w:t>
            </w:r>
          </w:p>
        </w:tc>
      </w:tr>
      <w:tr w:rsidR="00D16147" w:rsidRPr="00C076B6" w14:paraId="7FD4C1BE" w14:textId="77777777" w:rsidTr="008242B5">
        <w:trPr>
          <w:trHeight w:val="280"/>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14:paraId="2E112599"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 xml:space="preserve">ROMANIA         </w:t>
            </w:r>
          </w:p>
        </w:tc>
        <w:tc>
          <w:tcPr>
            <w:tcW w:w="2520" w:type="dxa"/>
            <w:tcBorders>
              <w:top w:val="nil"/>
              <w:left w:val="single" w:sz="4" w:space="0" w:color="auto"/>
              <w:bottom w:val="single" w:sz="4" w:space="0" w:color="auto"/>
              <w:right w:val="nil"/>
            </w:tcBorders>
            <w:shd w:val="clear" w:color="auto" w:fill="auto"/>
            <w:noWrap/>
            <w:vAlign w:val="bottom"/>
            <w:hideMark/>
          </w:tcPr>
          <w:p w14:paraId="62DC22FD" w14:textId="77777777" w:rsidR="00D16147" w:rsidRPr="00C076B6" w:rsidRDefault="00D16147" w:rsidP="008242B5">
            <w:pPr>
              <w:spacing w:before="120" w:after="0" w:line="252" w:lineRule="auto"/>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South-East</w:t>
            </w:r>
          </w:p>
        </w:tc>
        <w:tc>
          <w:tcPr>
            <w:tcW w:w="1420" w:type="dxa"/>
            <w:tcBorders>
              <w:top w:val="nil"/>
              <w:left w:val="single" w:sz="4" w:space="0" w:color="auto"/>
              <w:bottom w:val="single" w:sz="4" w:space="0" w:color="auto"/>
              <w:right w:val="nil"/>
            </w:tcBorders>
            <w:shd w:val="clear" w:color="auto" w:fill="auto"/>
            <w:noWrap/>
            <w:vAlign w:val="bottom"/>
            <w:hideMark/>
          </w:tcPr>
          <w:p w14:paraId="32373DE5"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413</w:t>
            </w:r>
          </w:p>
        </w:tc>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C4E48F2"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w:t>
            </w:r>
            <w:r w:rsidRPr="00C076B6">
              <w:rPr>
                <w:rFonts w:ascii="Calibri" w:eastAsia="Times New Roman" w:hAnsi="Calibri" w:cs="Times New Roman"/>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32511BB8"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r w:rsidRPr="00C076B6">
              <w:rPr>
                <w:rFonts w:ascii="Calibri" w:eastAsia="Times New Roman" w:hAnsi="Calibri" w:cs="Times New Roman"/>
                <w:color w:val="000000"/>
                <w:sz w:val="20"/>
                <w:szCs w:val="20"/>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1375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31.</w:t>
            </w:r>
            <w:r w:rsidRPr="00C076B6">
              <w:rPr>
                <w:rFonts w:ascii="Calibri" w:eastAsia="Times New Roman" w:hAnsi="Calibri" w:cs="Times New Roman"/>
                <w:color w:val="000000"/>
                <w:sz w:val="20"/>
                <w:szCs w:val="20"/>
              </w:rPr>
              <w:t>3%</w:t>
            </w:r>
          </w:p>
        </w:tc>
      </w:tr>
      <w:tr w:rsidR="00D16147" w:rsidRPr="00C076B6" w14:paraId="7DFE281D" w14:textId="77777777" w:rsidTr="008242B5">
        <w:trPr>
          <w:trHeight w:val="280"/>
        </w:trPr>
        <w:tc>
          <w:tcPr>
            <w:tcW w:w="1300" w:type="dxa"/>
            <w:tcBorders>
              <w:top w:val="single" w:sz="4" w:space="0" w:color="auto"/>
              <w:left w:val="single" w:sz="4" w:space="0" w:color="auto"/>
              <w:bottom w:val="single" w:sz="4" w:space="0" w:color="95B3D7"/>
              <w:right w:val="nil"/>
            </w:tcBorders>
            <w:shd w:val="clear" w:color="DCE6F1" w:fill="DCE6F1"/>
            <w:noWrap/>
            <w:vAlign w:val="center"/>
            <w:hideMark/>
          </w:tcPr>
          <w:p w14:paraId="20199E9F"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RUSSIA</w:t>
            </w: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11E6F256"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Rostov Oblast</w:t>
            </w:r>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63EB860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n.a</w:t>
            </w:r>
            <w:proofErr w:type="spellEnd"/>
            <w:r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D81FB55"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7.</w:t>
            </w:r>
            <w:r w:rsidRPr="00C076B6">
              <w:rPr>
                <w:rFonts w:ascii="Calibri" w:eastAsia="Times New Roman" w:hAnsi="Calibri" w:cs="Times New Roman"/>
                <w:i/>
                <w:iCs/>
                <w:color w:val="000000"/>
                <w:sz w:val="20"/>
                <w:szCs w:val="20"/>
              </w:rPr>
              <w:t>0%</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E93D394"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6.</w:t>
            </w:r>
            <w:r w:rsidRPr="00C076B6">
              <w:rPr>
                <w:rFonts w:ascii="Calibri" w:eastAsia="Times New Roman" w:hAnsi="Calibri" w:cs="Times New Roman"/>
                <w:i/>
                <w:iCs/>
                <w:color w:val="000000"/>
                <w:sz w:val="20"/>
                <w:szCs w:val="20"/>
              </w:rPr>
              <w:t>0%</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828BD97"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16.</w:t>
            </w:r>
            <w:r w:rsidRPr="00C076B6">
              <w:rPr>
                <w:rFonts w:ascii="Calibri" w:eastAsia="Times New Roman" w:hAnsi="Calibri" w:cs="Times New Roman"/>
                <w:i/>
                <w:iCs/>
                <w:color w:val="000000"/>
                <w:sz w:val="20"/>
                <w:szCs w:val="20"/>
              </w:rPr>
              <w:t>0%</w:t>
            </w:r>
          </w:p>
        </w:tc>
      </w:tr>
      <w:tr w:rsidR="00D16147" w:rsidRPr="00C076B6" w14:paraId="0CD02661"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1A55CDB5"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68C16541"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 xml:space="preserve">Krasnodar </w:t>
            </w:r>
            <w:proofErr w:type="spellStart"/>
            <w:r w:rsidRPr="00C076B6">
              <w:rPr>
                <w:rFonts w:ascii="Calibri" w:eastAsia="Times New Roman" w:hAnsi="Calibri" w:cs="Times New Roman"/>
                <w:color w:val="000000"/>
                <w:sz w:val="20"/>
                <w:szCs w:val="20"/>
              </w:rPr>
              <w:t>Krai</w:t>
            </w:r>
            <w:proofErr w:type="spellEnd"/>
          </w:p>
        </w:tc>
        <w:tc>
          <w:tcPr>
            <w:tcW w:w="1420" w:type="dxa"/>
            <w:tcBorders>
              <w:top w:val="single" w:sz="4" w:space="0" w:color="95B3D7"/>
              <w:left w:val="single" w:sz="4" w:space="0" w:color="auto"/>
              <w:bottom w:val="single" w:sz="4" w:space="0" w:color="95B3D7"/>
              <w:right w:val="nil"/>
            </w:tcBorders>
            <w:shd w:val="clear" w:color="auto" w:fill="auto"/>
            <w:noWrap/>
            <w:vAlign w:val="bottom"/>
            <w:hideMark/>
          </w:tcPr>
          <w:p w14:paraId="5E5659E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n.a</w:t>
            </w:r>
            <w:proofErr w:type="spellEnd"/>
            <w:r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1C41DAE"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sidRPr="00C076B6">
              <w:rPr>
                <w:rFonts w:ascii="Calibri" w:eastAsia="Times New Roman" w:hAnsi="Calibri" w:cs="Times New Roman"/>
                <w:i/>
                <w:iCs/>
                <w:color w:val="000000"/>
                <w:sz w:val="20"/>
                <w:szCs w:val="20"/>
              </w:rPr>
              <w:t>7</w:t>
            </w:r>
            <w:r>
              <w:rPr>
                <w:rFonts w:ascii="Calibri" w:eastAsia="Times New Roman" w:hAnsi="Calibri" w:cs="Times New Roman"/>
                <w:i/>
                <w:iCs/>
                <w:color w:val="000000"/>
                <w:sz w:val="20"/>
                <w:szCs w:val="20"/>
              </w:rPr>
              <w:t>.</w:t>
            </w:r>
            <w:r w:rsidRPr="00C076B6">
              <w:rPr>
                <w:rFonts w:ascii="Calibri" w:eastAsia="Times New Roman" w:hAnsi="Calibri" w:cs="Times New Roman"/>
                <w:i/>
                <w:iCs/>
                <w:color w:val="000000"/>
                <w:sz w:val="20"/>
                <w:szCs w:val="20"/>
              </w:rPr>
              <w:t>0%</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BB3747A"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6.</w:t>
            </w:r>
            <w:r w:rsidRPr="00C076B6">
              <w:rPr>
                <w:rFonts w:ascii="Calibri" w:eastAsia="Times New Roman" w:hAnsi="Calibri" w:cs="Times New Roman"/>
                <w:i/>
                <w:iCs/>
                <w:color w:val="000000"/>
                <w:sz w:val="20"/>
                <w:szCs w:val="20"/>
              </w:rPr>
              <w:t>0%</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E88451C"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16.</w:t>
            </w:r>
            <w:r w:rsidRPr="00C076B6">
              <w:rPr>
                <w:rFonts w:ascii="Calibri" w:eastAsia="Times New Roman" w:hAnsi="Calibri" w:cs="Times New Roman"/>
                <w:i/>
                <w:iCs/>
                <w:color w:val="000000"/>
                <w:sz w:val="20"/>
                <w:szCs w:val="20"/>
              </w:rPr>
              <w:t>0%</w:t>
            </w:r>
          </w:p>
        </w:tc>
      </w:tr>
      <w:tr w:rsidR="00D16147" w:rsidRPr="00C076B6" w14:paraId="4320CAE9"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285D1D99"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auto"/>
              <w:right w:val="nil"/>
            </w:tcBorders>
            <w:shd w:val="clear" w:color="DCE6F1" w:fill="DCE6F1"/>
            <w:noWrap/>
            <w:vAlign w:val="center"/>
            <w:hideMark/>
          </w:tcPr>
          <w:p w14:paraId="17453F91"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Adygea</w:t>
            </w:r>
            <w:proofErr w:type="spellEnd"/>
            <w:r w:rsidRPr="00C076B6">
              <w:rPr>
                <w:rFonts w:ascii="Calibri" w:eastAsia="Times New Roman" w:hAnsi="Calibri" w:cs="Times New Roman"/>
                <w:color w:val="000000"/>
                <w:sz w:val="20"/>
                <w:szCs w:val="20"/>
              </w:rPr>
              <w:t xml:space="preserve"> </w:t>
            </w:r>
            <w:proofErr w:type="spellStart"/>
            <w:r w:rsidRPr="00C076B6">
              <w:rPr>
                <w:rFonts w:ascii="Calibri" w:eastAsia="Times New Roman" w:hAnsi="Calibri" w:cs="Times New Roman"/>
                <w:color w:val="000000"/>
                <w:sz w:val="20"/>
                <w:szCs w:val="20"/>
              </w:rPr>
              <w:t>Republic</w:t>
            </w:r>
            <w:proofErr w:type="spellEnd"/>
          </w:p>
        </w:tc>
        <w:tc>
          <w:tcPr>
            <w:tcW w:w="1420" w:type="dxa"/>
            <w:tcBorders>
              <w:top w:val="single" w:sz="4" w:space="0" w:color="95B3D7"/>
              <w:left w:val="single" w:sz="4" w:space="0" w:color="auto"/>
              <w:bottom w:val="single" w:sz="4" w:space="0" w:color="auto"/>
              <w:right w:val="nil"/>
            </w:tcBorders>
            <w:shd w:val="clear" w:color="DCE6F1" w:fill="DCE6F1"/>
            <w:noWrap/>
            <w:vAlign w:val="bottom"/>
            <w:hideMark/>
          </w:tcPr>
          <w:p w14:paraId="56A44E01"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n.a</w:t>
            </w:r>
            <w:proofErr w:type="spellEnd"/>
            <w:r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78515C45"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7.</w:t>
            </w:r>
            <w:r w:rsidRPr="00C076B6">
              <w:rPr>
                <w:rFonts w:ascii="Calibri" w:eastAsia="Times New Roman" w:hAnsi="Calibri" w:cs="Times New Roman"/>
                <w:i/>
                <w:iCs/>
                <w:color w:val="000000"/>
                <w:sz w:val="20"/>
                <w:szCs w:val="20"/>
              </w:rPr>
              <w:t>0%</w:t>
            </w:r>
          </w:p>
        </w:tc>
        <w:tc>
          <w:tcPr>
            <w:tcW w:w="1820"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644DB016"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6.</w:t>
            </w:r>
            <w:r w:rsidRPr="00C076B6">
              <w:rPr>
                <w:rFonts w:ascii="Calibri" w:eastAsia="Times New Roman" w:hAnsi="Calibri" w:cs="Times New Roman"/>
                <w:i/>
                <w:iCs/>
                <w:color w:val="000000"/>
                <w:sz w:val="20"/>
                <w:szCs w:val="20"/>
              </w:rPr>
              <w:t>0%</w:t>
            </w:r>
          </w:p>
        </w:tc>
        <w:tc>
          <w:tcPr>
            <w:tcW w:w="1620" w:type="dxa"/>
            <w:tcBorders>
              <w:top w:val="single" w:sz="4" w:space="0" w:color="95B3D7"/>
              <w:left w:val="single" w:sz="4" w:space="0" w:color="auto"/>
              <w:bottom w:val="single" w:sz="4" w:space="0" w:color="auto"/>
              <w:right w:val="single" w:sz="4" w:space="0" w:color="auto"/>
            </w:tcBorders>
            <w:shd w:val="clear" w:color="DCE6F1" w:fill="DCE6F1"/>
            <w:noWrap/>
            <w:vAlign w:val="bottom"/>
            <w:hideMark/>
          </w:tcPr>
          <w:p w14:paraId="136920EC" w14:textId="77777777" w:rsidR="00D16147" w:rsidRPr="00C076B6" w:rsidRDefault="00D16147" w:rsidP="008242B5">
            <w:pPr>
              <w:spacing w:before="120" w:after="0" w:line="252" w:lineRule="auto"/>
              <w:jc w:val="right"/>
              <w:rPr>
                <w:rFonts w:ascii="Calibri" w:eastAsia="Times New Roman" w:hAnsi="Calibri" w:cs="Times New Roman"/>
                <w:i/>
                <w:iCs/>
                <w:color w:val="000000"/>
                <w:sz w:val="20"/>
                <w:szCs w:val="20"/>
              </w:rPr>
            </w:pPr>
            <w:r>
              <w:rPr>
                <w:rFonts w:ascii="Calibri" w:eastAsia="Times New Roman" w:hAnsi="Calibri" w:cs="Times New Roman"/>
                <w:i/>
                <w:iCs/>
                <w:color w:val="000000"/>
                <w:sz w:val="20"/>
                <w:szCs w:val="20"/>
              </w:rPr>
              <w:t>16.</w:t>
            </w:r>
            <w:r w:rsidRPr="00C076B6">
              <w:rPr>
                <w:rFonts w:ascii="Calibri" w:eastAsia="Times New Roman" w:hAnsi="Calibri" w:cs="Times New Roman"/>
                <w:i/>
                <w:iCs/>
                <w:color w:val="000000"/>
                <w:sz w:val="20"/>
                <w:szCs w:val="20"/>
              </w:rPr>
              <w:t>0%</w:t>
            </w:r>
          </w:p>
        </w:tc>
      </w:tr>
      <w:tr w:rsidR="00D16147" w:rsidRPr="00C076B6" w14:paraId="454F1176" w14:textId="77777777" w:rsidTr="008242B5">
        <w:trPr>
          <w:trHeight w:val="280"/>
        </w:trPr>
        <w:tc>
          <w:tcPr>
            <w:tcW w:w="1300" w:type="dxa"/>
            <w:tcBorders>
              <w:top w:val="single" w:sz="4" w:space="0" w:color="auto"/>
              <w:left w:val="single" w:sz="4" w:space="0" w:color="auto"/>
              <w:bottom w:val="single" w:sz="4" w:space="0" w:color="95B3D7"/>
              <w:right w:val="nil"/>
            </w:tcBorders>
            <w:shd w:val="clear" w:color="auto" w:fill="auto"/>
            <w:noWrap/>
            <w:vAlign w:val="center"/>
            <w:hideMark/>
          </w:tcPr>
          <w:p w14:paraId="5C1529EE"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TURKEY</w:t>
            </w: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32F66EC5" w14:textId="77777777" w:rsidR="00D16147" w:rsidRPr="00327FE0" w:rsidRDefault="00112DE1" w:rsidP="008242B5">
            <w:pPr>
              <w:spacing w:before="120" w:after="0" w:line="252" w:lineRule="auto"/>
              <w:jc w:val="both"/>
              <w:rPr>
                <w:rFonts w:ascii="Calibri" w:eastAsia="Times New Roman" w:hAnsi="Calibri" w:cs="Times New Roman"/>
                <w:color w:val="000000"/>
                <w:sz w:val="20"/>
                <w:szCs w:val="20"/>
              </w:rPr>
            </w:pPr>
            <w:r w:rsidRPr="000174E4">
              <w:rPr>
                <w:rFonts w:ascii="Calibri" w:eastAsia="Times New Roman" w:hAnsi="Calibri" w:cs="Times New Roman"/>
                <w:color w:val="000000"/>
                <w:sz w:val="20"/>
                <w:szCs w:val="20"/>
              </w:rPr>
              <w:t>İstanbul</w:t>
            </w:r>
            <w:r w:rsidRPr="00327FE0">
              <w:rPr>
                <w:rFonts w:ascii="Calibri" w:eastAsia="Times New Roman" w:hAnsi="Calibri" w:cs="Times New Roman"/>
                <w:color w:val="000000"/>
                <w:sz w:val="20"/>
                <w:szCs w:val="20"/>
              </w:rPr>
              <w:t xml:space="preserve"> </w:t>
            </w:r>
            <w:r w:rsidR="00D16147" w:rsidRPr="00327FE0">
              <w:rPr>
                <w:rFonts w:ascii="Calibri" w:eastAsia="Times New Roman" w:hAnsi="Calibri" w:cs="Times New Roman"/>
                <w:color w:val="000000"/>
                <w:sz w:val="20"/>
                <w:szCs w:val="20"/>
              </w:rPr>
              <w:t>(TR10)</w:t>
            </w:r>
          </w:p>
        </w:tc>
        <w:tc>
          <w:tcPr>
            <w:tcW w:w="14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3045734"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r>
              <w:rPr>
                <w:rStyle w:val="FootnoteReference"/>
                <w:rFonts w:ascii="Calibri" w:eastAsia="Times New Roman" w:hAnsi="Calibri" w:cs="Times New Roman"/>
                <w:color w:val="000000"/>
                <w:sz w:val="20"/>
                <w:szCs w:val="20"/>
              </w:rPr>
              <w:footnoteReference w:id="36"/>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8924559" w14:textId="7005496B" w:rsidR="00D16147" w:rsidRPr="00C076B6" w:rsidRDefault="00ED6BA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10.3</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2E7B50E8" w14:textId="16509CD4" w:rsidR="00D16147" w:rsidRPr="00C076B6" w:rsidRDefault="00ED6BA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15.6</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BDBAB7F" w14:textId="7FD2EFD9" w:rsidR="00D16147" w:rsidRPr="00C076B6" w:rsidRDefault="00ED6BA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18.9</w:t>
            </w:r>
            <w:r w:rsidR="00D16147" w:rsidRPr="00C076B6">
              <w:rPr>
                <w:rFonts w:ascii="Calibri" w:eastAsia="Times New Roman" w:hAnsi="Calibri" w:cs="Times New Roman"/>
                <w:color w:val="000000"/>
                <w:sz w:val="20"/>
                <w:szCs w:val="20"/>
              </w:rPr>
              <w:t>%</w:t>
            </w:r>
          </w:p>
        </w:tc>
      </w:tr>
      <w:tr w:rsidR="00D16147" w:rsidRPr="00C076B6" w14:paraId="733102FE"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055DAC0B"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759DE31B" w14:textId="77777777" w:rsidR="00D16147" w:rsidRPr="00327FE0" w:rsidRDefault="00253676" w:rsidP="008242B5">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Tekirdağ, Edirne, Kırklareli</w:t>
            </w:r>
            <w:r w:rsidR="00D16147" w:rsidRPr="00327FE0">
              <w:rPr>
                <w:rFonts w:ascii="Calibri" w:eastAsia="Times New Roman" w:hAnsi="Calibri" w:cs="Times New Roman"/>
                <w:color w:val="000000"/>
                <w:sz w:val="20"/>
                <w:szCs w:val="20"/>
              </w:rPr>
              <w:t xml:space="preserve"> (TR21)</w:t>
            </w:r>
          </w:p>
        </w:tc>
        <w:tc>
          <w:tcPr>
            <w:tcW w:w="14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51E7D17"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DB1C5FB" w14:textId="243B04E2"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5.9</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804F3DD" w14:textId="685048BB"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11.4</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10C62A4" w14:textId="741C25BD"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13.4</w:t>
            </w:r>
            <w:r w:rsidR="00D16147" w:rsidRPr="00C076B6">
              <w:rPr>
                <w:rFonts w:ascii="Calibri" w:eastAsia="Times New Roman" w:hAnsi="Calibri" w:cs="Times New Roman"/>
                <w:color w:val="000000"/>
                <w:sz w:val="20"/>
                <w:szCs w:val="20"/>
              </w:rPr>
              <w:t>%</w:t>
            </w:r>
          </w:p>
        </w:tc>
      </w:tr>
      <w:tr w:rsidR="00D16147" w:rsidRPr="00C076B6" w14:paraId="428936A0"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3A4CCD2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2F67F76A" w14:textId="77777777" w:rsidR="00D16147" w:rsidRPr="00C076B6" w:rsidRDefault="00253676" w:rsidP="00253676">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 xml:space="preserve">Kocaeli, Sakarya, </w:t>
            </w:r>
            <w:proofErr w:type="spellStart"/>
            <w:r w:rsidRPr="00253676">
              <w:rPr>
                <w:rFonts w:ascii="Calibri" w:eastAsia="Times New Roman" w:hAnsi="Calibri" w:cs="Times New Roman"/>
                <w:color w:val="000000"/>
                <w:sz w:val="20"/>
                <w:szCs w:val="20"/>
              </w:rPr>
              <w:t>Düzce</w:t>
            </w:r>
            <w:proofErr w:type="spellEnd"/>
            <w:r w:rsidRPr="00253676">
              <w:rPr>
                <w:rFonts w:ascii="Calibri" w:eastAsia="Times New Roman" w:hAnsi="Calibri" w:cs="Times New Roman"/>
                <w:color w:val="000000"/>
                <w:sz w:val="20"/>
                <w:szCs w:val="20"/>
              </w:rPr>
              <w:t xml:space="preserve">, Bolu, </w:t>
            </w:r>
            <w:proofErr w:type="spellStart"/>
            <w:r w:rsidRPr="00253676">
              <w:rPr>
                <w:rFonts w:ascii="Calibri" w:eastAsia="Times New Roman" w:hAnsi="Calibri" w:cs="Times New Roman"/>
                <w:color w:val="000000"/>
                <w:sz w:val="20"/>
                <w:szCs w:val="20"/>
              </w:rPr>
              <w:t>Yalova</w:t>
            </w:r>
            <w:proofErr w:type="spellEnd"/>
            <w:r w:rsidR="00D16147" w:rsidRPr="00C076B6">
              <w:rPr>
                <w:rFonts w:ascii="Calibri" w:eastAsia="Times New Roman" w:hAnsi="Calibri" w:cs="Times New Roman"/>
                <w:color w:val="000000"/>
                <w:sz w:val="20"/>
                <w:szCs w:val="20"/>
              </w:rPr>
              <w:t xml:space="preserve"> (TR42)</w:t>
            </w:r>
          </w:p>
        </w:tc>
        <w:tc>
          <w:tcPr>
            <w:tcW w:w="14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28B5C9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76C312C" w14:textId="24A1EB3F"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8.2</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CA74BCA" w14:textId="5F8E47E7"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13.8</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9133FF4" w14:textId="12974E1D"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20.5</w:t>
            </w:r>
            <w:r w:rsidR="00D16147" w:rsidRPr="00C076B6">
              <w:rPr>
                <w:rFonts w:ascii="Calibri" w:eastAsia="Times New Roman" w:hAnsi="Calibri" w:cs="Times New Roman"/>
                <w:color w:val="000000"/>
                <w:sz w:val="20"/>
                <w:szCs w:val="20"/>
              </w:rPr>
              <w:t>%</w:t>
            </w:r>
          </w:p>
        </w:tc>
      </w:tr>
      <w:tr w:rsidR="00D16147" w:rsidRPr="00C076B6" w14:paraId="30EF77F3"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250180C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45B708CC" w14:textId="77777777" w:rsidR="00D16147" w:rsidRPr="00C076B6" w:rsidRDefault="00253676" w:rsidP="00253676">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Zonguldak, Karabük, Bartın</w:t>
            </w:r>
            <w:r w:rsidR="00D16147" w:rsidRPr="00C076B6">
              <w:rPr>
                <w:rFonts w:ascii="Calibri" w:eastAsia="Times New Roman" w:hAnsi="Calibri" w:cs="Times New Roman"/>
                <w:color w:val="000000"/>
                <w:sz w:val="20"/>
                <w:szCs w:val="20"/>
              </w:rPr>
              <w:t xml:space="preserve"> (TR81)</w:t>
            </w:r>
          </w:p>
        </w:tc>
        <w:tc>
          <w:tcPr>
            <w:tcW w:w="14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9D9492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3FD87593" w14:textId="7B45B245"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5.7</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E234D69" w14:textId="75D2437B"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6.4</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B5D9A26" w14:textId="5BD7377D"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15.4</w:t>
            </w:r>
            <w:r w:rsidR="00D16147" w:rsidRPr="00C076B6">
              <w:rPr>
                <w:rFonts w:ascii="Calibri" w:eastAsia="Times New Roman" w:hAnsi="Calibri" w:cs="Times New Roman"/>
                <w:color w:val="000000"/>
                <w:sz w:val="20"/>
                <w:szCs w:val="20"/>
              </w:rPr>
              <w:t>%</w:t>
            </w:r>
          </w:p>
        </w:tc>
      </w:tr>
      <w:tr w:rsidR="00D16147" w:rsidRPr="00C076B6" w14:paraId="42D7C806"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6DD97E71"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4BD494BC" w14:textId="77777777" w:rsidR="00D16147" w:rsidRPr="00C076B6" w:rsidRDefault="00253676" w:rsidP="008242B5">
            <w:pPr>
              <w:spacing w:before="120" w:after="0" w:line="252" w:lineRule="auto"/>
              <w:jc w:val="both"/>
              <w:rPr>
                <w:rFonts w:ascii="Calibri" w:eastAsia="Times New Roman" w:hAnsi="Calibri" w:cs="Times New Roman"/>
                <w:color w:val="000000"/>
                <w:sz w:val="20"/>
                <w:szCs w:val="20"/>
              </w:rPr>
            </w:pPr>
            <w:r w:rsidRPr="00253676">
              <w:rPr>
                <w:rFonts w:ascii="Calibri" w:eastAsia="Times New Roman" w:hAnsi="Calibri" w:cs="Times New Roman"/>
                <w:color w:val="000000"/>
                <w:sz w:val="20"/>
                <w:szCs w:val="20"/>
              </w:rPr>
              <w:t>Kastamonu, Çankırı, Sinop</w:t>
            </w:r>
            <w:r w:rsidR="00D16147" w:rsidRPr="00C076B6">
              <w:rPr>
                <w:rFonts w:ascii="Calibri" w:eastAsia="Times New Roman" w:hAnsi="Calibri" w:cs="Times New Roman"/>
                <w:color w:val="000000"/>
                <w:sz w:val="20"/>
                <w:szCs w:val="20"/>
              </w:rPr>
              <w:t xml:space="preserve"> (TR82)</w:t>
            </w:r>
          </w:p>
        </w:tc>
        <w:tc>
          <w:tcPr>
            <w:tcW w:w="14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55AC87D"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6CA353B" w14:textId="2E345992"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5.4</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668FFC2" w14:textId="6F7C7BD5"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8.4</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4528A1E6" w14:textId="10AB1D78"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16.6</w:t>
            </w:r>
            <w:r w:rsidR="00D16147" w:rsidRPr="00C076B6">
              <w:rPr>
                <w:rFonts w:ascii="Calibri" w:eastAsia="Times New Roman" w:hAnsi="Calibri" w:cs="Times New Roman"/>
                <w:color w:val="000000"/>
                <w:sz w:val="20"/>
                <w:szCs w:val="20"/>
              </w:rPr>
              <w:t>%</w:t>
            </w:r>
          </w:p>
        </w:tc>
      </w:tr>
      <w:tr w:rsidR="00D16147" w:rsidRPr="00C076B6" w14:paraId="53339652"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6B21755B"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7DA00277" w14:textId="77777777" w:rsidR="00D16147" w:rsidRPr="00682784" w:rsidRDefault="00253676" w:rsidP="008242B5">
            <w:pPr>
              <w:spacing w:before="120" w:after="0" w:line="252" w:lineRule="auto"/>
              <w:jc w:val="both"/>
              <w:rPr>
                <w:rFonts w:ascii="Calibri" w:eastAsia="Times New Roman" w:hAnsi="Calibri" w:cs="Times New Roman"/>
                <w:color w:val="000000"/>
                <w:sz w:val="20"/>
                <w:szCs w:val="20"/>
                <w:lang w:val="en-GB"/>
              </w:rPr>
            </w:pPr>
            <w:r w:rsidRPr="00682784">
              <w:rPr>
                <w:rFonts w:ascii="Calibri" w:eastAsia="Times New Roman" w:hAnsi="Calibri" w:cs="Times New Roman"/>
                <w:color w:val="000000"/>
                <w:sz w:val="20"/>
                <w:szCs w:val="20"/>
                <w:lang w:val="en-GB"/>
              </w:rPr>
              <w:t xml:space="preserve">Samsun, </w:t>
            </w:r>
            <w:proofErr w:type="spellStart"/>
            <w:r w:rsidRPr="00682784">
              <w:rPr>
                <w:rFonts w:ascii="Calibri" w:eastAsia="Times New Roman" w:hAnsi="Calibri" w:cs="Times New Roman"/>
                <w:color w:val="000000"/>
                <w:sz w:val="20"/>
                <w:szCs w:val="20"/>
                <w:lang w:val="en-GB"/>
              </w:rPr>
              <w:t>Tokat</w:t>
            </w:r>
            <w:proofErr w:type="spellEnd"/>
            <w:r w:rsidRPr="00682784">
              <w:rPr>
                <w:rFonts w:ascii="Calibri" w:eastAsia="Times New Roman" w:hAnsi="Calibri" w:cs="Times New Roman"/>
                <w:color w:val="000000"/>
                <w:sz w:val="20"/>
                <w:szCs w:val="20"/>
                <w:lang w:val="en-GB"/>
              </w:rPr>
              <w:t xml:space="preserve">, </w:t>
            </w:r>
            <w:proofErr w:type="spellStart"/>
            <w:r w:rsidRPr="00682784">
              <w:rPr>
                <w:rFonts w:ascii="Calibri" w:eastAsia="Times New Roman" w:hAnsi="Calibri" w:cs="Times New Roman"/>
                <w:color w:val="000000"/>
                <w:sz w:val="20"/>
                <w:szCs w:val="20"/>
                <w:lang w:val="en-GB"/>
              </w:rPr>
              <w:t>Çorum</w:t>
            </w:r>
            <w:proofErr w:type="spellEnd"/>
            <w:r w:rsidRPr="00682784">
              <w:rPr>
                <w:rFonts w:ascii="Calibri" w:eastAsia="Times New Roman" w:hAnsi="Calibri" w:cs="Times New Roman"/>
                <w:color w:val="000000"/>
                <w:sz w:val="20"/>
                <w:szCs w:val="20"/>
                <w:lang w:val="en-GB"/>
              </w:rPr>
              <w:t xml:space="preserve">, </w:t>
            </w:r>
            <w:proofErr w:type="spellStart"/>
            <w:r w:rsidRPr="00682784">
              <w:rPr>
                <w:rFonts w:ascii="Calibri" w:eastAsia="Times New Roman" w:hAnsi="Calibri" w:cs="Times New Roman"/>
                <w:color w:val="000000"/>
                <w:sz w:val="20"/>
                <w:szCs w:val="20"/>
                <w:lang w:val="en-GB"/>
              </w:rPr>
              <w:t>Amasya</w:t>
            </w:r>
            <w:proofErr w:type="spellEnd"/>
            <w:r w:rsidR="00D16147" w:rsidRPr="00682784">
              <w:rPr>
                <w:rFonts w:ascii="Calibri" w:eastAsia="Times New Roman" w:hAnsi="Calibri" w:cs="Times New Roman"/>
                <w:color w:val="000000"/>
                <w:sz w:val="20"/>
                <w:szCs w:val="20"/>
                <w:lang w:val="en-GB"/>
              </w:rPr>
              <w:t xml:space="preserve"> (TR83)</w:t>
            </w:r>
          </w:p>
        </w:tc>
        <w:tc>
          <w:tcPr>
            <w:tcW w:w="14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E8B8A5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A46EFDD" w14:textId="109BA018"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6.1</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1E6CDD69" w14:textId="2BCEFDDF"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6.6</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176BCBE" w14:textId="4EDB3E7A"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12.6</w:t>
            </w:r>
            <w:r w:rsidR="00D16147" w:rsidRPr="00C076B6">
              <w:rPr>
                <w:rFonts w:ascii="Calibri" w:eastAsia="Times New Roman" w:hAnsi="Calibri" w:cs="Times New Roman"/>
                <w:color w:val="000000"/>
                <w:sz w:val="20"/>
                <w:szCs w:val="20"/>
              </w:rPr>
              <w:t>%</w:t>
            </w:r>
          </w:p>
        </w:tc>
      </w:tr>
      <w:tr w:rsidR="00D16147" w:rsidRPr="00C076B6" w14:paraId="46C93B1A"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7D1AA4B2"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auto"/>
              <w:right w:val="nil"/>
            </w:tcBorders>
            <w:shd w:val="clear" w:color="auto" w:fill="auto"/>
            <w:noWrap/>
            <w:vAlign w:val="center"/>
            <w:hideMark/>
          </w:tcPr>
          <w:p w14:paraId="022D49DD" w14:textId="77777777" w:rsidR="00D16147" w:rsidRPr="006E2C3C" w:rsidRDefault="00253676" w:rsidP="008242B5">
            <w:pPr>
              <w:spacing w:before="120" w:after="0" w:line="252" w:lineRule="auto"/>
              <w:jc w:val="both"/>
              <w:rPr>
                <w:rFonts w:ascii="Calibri" w:eastAsia="Times New Roman" w:hAnsi="Calibri" w:cs="Times New Roman"/>
                <w:color w:val="000000"/>
                <w:sz w:val="20"/>
                <w:szCs w:val="20"/>
                <w:lang w:val="it-IT"/>
              </w:rPr>
            </w:pPr>
            <w:r w:rsidRPr="006E2C3C">
              <w:rPr>
                <w:rFonts w:ascii="Calibri" w:eastAsia="Times New Roman" w:hAnsi="Calibri" w:cs="Times New Roman"/>
                <w:color w:val="000000"/>
                <w:sz w:val="20"/>
                <w:szCs w:val="20"/>
                <w:lang w:val="it-IT"/>
              </w:rPr>
              <w:t>Trabzon, Ordu, Giresun, Rize, Artvin, Gümüşhane</w:t>
            </w:r>
            <w:r w:rsidR="00D16147" w:rsidRPr="006E2C3C">
              <w:rPr>
                <w:rFonts w:ascii="Calibri" w:eastAsia="Times New Roman" w:hAnsi="Calibri" w:cs="Times New Roman"/>
                <w:color w:val="000000"/>
                <w:sz w:val="20"/>
                <w:szCs w:val="20"/>
                <w:lang w:val="it-IT"/>
              </w:rPr>
              <w:t xml:space="preserve"> (TR90)</w:t>
            </w:r>
          </w:p>
        </w:tc>
        <w:tc>
          <w:tcPr>
            <w:tcW w:w="14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1E7746E1"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760</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60E6E3EE" w14:textId="1BBA1131"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6.3</w:t>
            </w:r>
            <w:r w:rsidR="00D16147" w:rsidRPr="00C076B6">
              <w:rPr>
                <w:rFonts w:ascii="Calibri" w:eastAsia="Times New Roman" w:hAnsi="Calibri" w:cs="Times New Roman"/>
                <w:color w:val="000000"/>
                <w:sz w:val="20"/>
                <w:szCs w:val="20"/>
              </w:rPr>
              <w:t>%</w:t>
            </w:r>
          </w:p>
        </w:tc>
        <w:tc>
          <w:tcPr>
            <w:tcW w:w="18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14C3092A" w14:textId="40466F34"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6.1</w:t>
            </w:r>
            <w:r w:rsidR="00D16147" w:rsidRPr="00C076B6">
              <w:rPr>
                <w:rFonts w:ascii="Calibri" w:eastAsia="Times New Roman" w:hAnsi="Calibri" w:cs="Times New Roman"/>
                <w:color w:val="000000"/>
                <w:sz w:val="20"/>
                <w:szCs w:val="20"/>
              </w:rPr>
              <w:t>%</w:t>
            </w:r>
          </w:p>
        </w:tc>
        <w:tc>
          <w:tcPr>
            <w:tcW w:w="1620" w:type="dxa"/>
            <w:tcBorders>
              <w:top w:val="single" w:sz="4" w:space="0" w:color="95B3D7"/>
              <w:left w:val="single" w:sz="4" w:space="0" w:color="auto"/>
              <w:bottom w:val="single" w:sz="4" w:space="0" w:color="auto"/>
              <w:right w:val="single" w:sz="4" w:space="0" w:color="auto"/>
            </w:tcBorders>
            <w:shd w:val="clear" w:color="auto" w:fill="auto"/>
            <w:noWrap/>
            <w:vAlign w:val="bottom"/>
            <w:hideMark/>
          </w:tcPr>
          <w:p w14:paraId="194352B9" w14:textId="49661C6F" w:rsidR="00D16147" w:rsidRPr="00C076B6" w:rsidRDefault="00BA434C"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18.3</w:t>
            </w:r>
            <w:r w:rsidR="00D16147" w:rsidRPr="00C076B6">
              <w:rPr>
                <w:rFonts w:ascii="Calibri" w:eastAsia="Times New Roman" w:hAnsi="Calibri" w:cs="Times New Roman"/>
                <w:color w:val="000000"/>
                <w:sz w:val="20"/>
                <w:szCs w:val="20"/>
              </w:rPr>
              <w:t>%</w:t>
            </w:r>
          </w:p>
        </w:tc>
      </w:tr>
      <w:tr w:rsidR="00D16147" w:rsidRPr="00C076B6" w14:paraId="47FE38F3" w14:textId="77777777" w:rsidTr="008242B5">
        <w:trPr>
          <w:trHeight w:val="280"/>
        </w:trPr>
        <w:tc>
          <w:tcPr>
            <w:tcW w:w="1300" w:type="dxa"/>
            <w:tcBorders>
              <w:top w:val="single" w:sz="4" w:space="0" w:color="auto"/>
              <w:left w:val="single" w:sz="4" w:space="0" w:color="auto"/>
              <w:bottom w:val="single" w:sz="4" w:space="0" w:color="95B3D7"/>
              <w:right w:val="nil"/>
            </w:tcBorders>
            <w:shd w:val="clear" w:color="DCE6F1" w:fill="DCE6F1"/>
            <w:noWrap/>
            <w:vAlign w:val="center"/>
            <w:hideMark/>
          </w:tcPr>
          <w:p w14:paraId="30ED419E"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UKRAINE</w:t>
            </w: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18FB16D4"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Odeska</w:t>
            </w:r>
            <w:proofErr w:type="spellEnd"/>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73A780FA"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338</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C0BFF5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r w:rsidRPr="00C076B6">
              <w:rPr>
                <w:rFonts w:ascii="Calibri" w:eastAsia="Times New Roman" w:hAnsi="Calibri" w:cs="Times New Roman"/>
                <w:color w:val="000000"/>
                <w:sz w:val="20"/>
                <w:szCs w:val="20"/>
              </w:rPr>
              <w:t>0%</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34F84A5"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3.</w:t>
            </w:r>
            <w:r w:rsidRPr="00C076B6">
              <w:rPr>
                <w:rFonts w:ascii="Calibri" w:eastAsia="Times New Roman" w:hAnsi="Calibri" w:cs="Times New Roman"/>
                <w:color w:val="000000"/>
                <w:sz w:val="20"/>
                <w:szCs w:val="20"/>
              </w:rPr>
              <w:t>1%</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CA09844"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10.</w:t>
            </w:r>
            <w:r w:rsidRPr="00C076B6">
              <w:rPr>
                <w:rFonts w:ascii="Calibri" w:eastAsia="Times New Roman" w:hAnsi="Calibri" w:cs="Times New Roman"/>
                <w:color w:val="000000"/>
                <w:sz w:val="20"/>
                <w:szCs w:val="20"/>
              </w:rPr>
              <w:t>7%</w:t>
            </w:r>
          </w:p>
        </w:tc>
      </w:tr>
      <w:tr w:rsidR="00D16147" w:rsidRPr="00C076B6" w14:paraId="3F9F0019"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7EDBB0B8"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4D177901"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Mykolaiv</w:t>
            </w:r>
            <w:proofErr w:type="spellEnd"/>
          </w:p>
        </w:tc>
        <w:tc>
          <w:tcPr>
            <w:tcW w:w="1420" w:type="dxa"/>
            <w:tcBorders>
              <w:top w:val="single" w:sz="4" w:space="0" w:color="95B3D7"/>
              <w:left w:val="single" w:sz="4" w:space="0" w:color="auto"/>
              <w:bottom w:val="single" w:sz="4" w:space="0" w:color="95B3D7"/>
              <w:right w:val="nil"/>
            </w:tcBorders>
            <w:shd w:val="clear" w:color="auto" w:fill="auto"/>
            <w:noWrap/>
            <w:vAlign w:val="bottom"/>
            <w:hideMark/>
          </w:tcPr>
          <w:p w14:paraId="188A0670"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353</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0225BFD2"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9.</w:t>
            </w:r>
            <w:r w:rsidRPr="00C076B6">
              <w:rPr>
                <w:rFonts w:ascii="Calibri" w:eastAsia="Times New Roman" w:hAnsi="Calibri" w:cs="Times New Roman"/>
                <w:color w:val="000000"/>
                <w:sz w:val="20"/>
                <w:szCs w:val="20"/>
              </w:rPr>
              <w:t>2%</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D3C998D"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r w:rsidRPr="00C076B6">
              <w:rPr>
                <w:rFonts w:ascii="Calibri" w:eastAsia="Times New Roman" w:hAnsi="Calibri" w:cs="Times New Roman"/>
                <w:color w:val="000000"/>
                <w:sz w:val="20"/>
                <w:szCs w:val="20"/>
              </w:rPr>
              <w:t>5%</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8DBB442"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19.</w:t>
            </w:r>
            <w:r w:rsidRPr="00C076B6">
              <w:rPr>
                <w:rFonts w:ascii="Calibri" w:eastAsia="Times New Roman" w:hAnsi="Calibri" w:cs="Times New Roman"/>
                <w:color w:val="000000"/>
                <w:sz w:val="20"/>
                <w:szCs w:val="20"/>
              </w:rPr>
              <w:t>6%</w:t>
            </w:r>
          </w:p>
        </w:tc>
      </w:tr>
      <w:tr w:rsidR="00D16147" w:rsidRPr="00C076B6" w14:paraId="1D5F7B28"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51D39ACB"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3DE6442C"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Kherson</w:t>
            </w:r>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45D23170"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284</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2BBF6D48"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9.</w:t>
            </w:r>
            <w:r w:rsidRPr="00C076B6">
              <w:rPr>
                <w:rFonts w:ascii="Calibri" w:eastAsia="Times New Roman" w:hAnsi="Calibri" w:cs="Times New Roman"/>
                <w:color w:val="000000"/>
                <w:sz w:val="20"/>
                <w:szCs w:val="20"/>
              </w:rPr>
              <w:t>2%</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9D02398"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r w:rsidRPr="00C076B6">
              <w:rPr>
                <w:rFonts w:ascii="Calibri" w:eastAsia="Times New Roman" w:hAnsi="Calibri" w:cs="Times New Roman"/>
                <w:color w:val="000000"/>
                <w:sz w:val="20"/>
                <w:szCs w:val="20"/>
              </w:rPr>
              <w:t>2%</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0F26026"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20.</w:t>
            </w:r>
            <w:r w:rsidRPr="00C076B6">
              <w:rPr>
                <w:rFonts w:ascii="Calibri" w:eastAsia="Times New Roman" w:hAnsi="Calibri" w:cs="Times New Roman"/>
                <w:color w:val="000000"/>
                <w:sz w:val="20"/>
                <w:szCs w:val="20"/>
              </w:rPr>
              <w:t>9%</w:t>
            </w:r>
          </w:p>
        </w:tc>
      </w:tr>
      <w:tr w:rsidR="00D16147" w:rsidRPr="00C076B6" w14:paraId="0620C2DB"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73046FF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0C494189"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Zaporosh'ye</w:t>
            </w:r>
            <w:proofErr w:type="spellEnd"/>
            <w:r w:rsidRPr="00C076B6">
              <w:rPr>
                <w:rFonts w:ascii="Calibri" w:eastAsia="Times New Roman" w:hAnsi="Calibri" w:cs="Times New Roman"/>
                <w:color w:val="000000"/>
                <w:sz w:val="20"/>
                <w:szCs w:val="20"/>
              </w:rPr>
              <w:t xml:space="preserve"> Oblast</w:t>
            </w:r>
          </w:p>
        </w:tc>
        <w:tc>
          <w:tcPr>
            <w:tcW w:w="1420" w:type="dxa"/>
            <w:tcBorders>
              <w:top w:val="single" w:sz="4" w:space="0" w:color="95B3D7"/>
              <w:left w:val="single" w:sz="4" w:space="0" w:color="auto"/>
              <w:bottom w:val="single" w:sz="4" w:space="0" w:color="95B3D7"/>
              <w:right w:val="nil"/>
            </w:tcBorders>
            <w:shd w:val="clear" w:color="auto" w:fill="auto"/>
            <w:noWrap/>
            <w:vAlign w:val="bottom"/>
            <w:hideMark/>
          </w:tcPr>
          <w:p w14:paraId="7163EBB9"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366</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215718F0"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r w:rsidRPr="00C076B6">
              <w:rPr>
                <w:rFonts w:ascii="Calibri" w:eastAsia="Times New Roman" w:hAnsi="Calibri" w:cs="Times New Roman"/>
                <w:color w:val="000000"/>
                <w:sz w:val="20"/>
                <w:szCs w:val="20"/>
              </w:rPr>
              <w:t>1%</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25646510"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r w:rsidRPr="00C076B6">
              <w:rPr>
                <w:rFonts w:ascii="Calibri" w:eastAsia="Times New Roman" w:hAnsi="Calibri" w:cs="Times New Roman"/>
                <w:color w:val="000000"/>
                <w:sz w:val="20"/>
                <w:szCs w:val="20"/>
              </w:rPr>
              <w:t>7%</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1785E14B"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11.</w:t>
            </w:r>
            <w:r w:rsidRPr="00C076B6">
              <w:rPr>
                <w:rFonts w:ascii="Calibri" w:eastAsia="Times New Roman" w:hAnsi="Calibri" w:cs="Times New Roman"/>
                <w:color w:val="000000"/>
                <w:sz w:val="20"/>
                <w:szCs w:val="20"/>
              </w:rPr>
              <w:t>3%</w:t>
            </w:r>
          </w:p>
        </w:tc>
      </w:tr>
      <w:tr w:rsidR="00D16147" w:rsidRPr="00C076B6" w14:paraId="11E0EB11"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DCE6F1" w:fill="DCE6F1"/>
            <w:noWrap/>
            <w:vAlign w:val="center"/>
            <w:hideMark/>
          </w:tcPr>
          <w:p w14:paraId="31DFFF69"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DCE6F1" w:fill="DCE6F1"/>
            <w:noWrap/>
            <w:vAlign w:val="center"/>
            <w:hideMark/>
          </w:tcPr>
          <w:p w14:paraId="79562D4B"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Donetsk Oblast</w:t>
            </w:r>
          </w:p>
        </w:tc>
        <w:tc>
          <w:tcPr>
            <w:tcW w:w="1420" w:type="dxa"/>
            <w:tcBorders>
              <w:top w:val="single" w:sz="4" w:space="0" w:color="95B3D7"/>
              <w:left w:val="single" w:sz="4" w:space="0" w:color="auto"/>
              <w:bottom w:val="single" w:sz="4" w:space="0" w:color="95B3D7"/>
              <w:right w:val="nil"/>
            </w:tcBorders>
            <w:shd w:val="clear" w:color="DCE6F1" w:fill="DCE6F1"/>
            <w:noWrap/>
            <w:vAlign w:val="bottom"/>
            <w:hideMark/>
          </w:tcPr>
          <w:p w14:paraId="7A148164"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437</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FB4CFF0"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8.</w:t>
            </w:r>
            <w:r w:rsidRPr="00C076B6">
              <w:rPr>
                <w:rFonts w:ascii="Calibri" w:eastAsia="Times New Roman" w:hAnsi="Calibri" w:cs="Times New Roman"/>
                <w:color w:val="000000"/>
                <w:sz w:val="20"/>
                <w:szCs w:val="20"/>
              </w:rPr>
              <w:t>6%</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569A18B5"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w:t>
            </w:r>
            <w:r w:rsidRPr="00C076B6">
              <w:rPr>
                <w:rFonts w:ascii="Calibri" w:eastAsia="Times New Roman" w:hAnsi="Calibri" w:cs="Times New Roman"/>
                <w:color w:val="000000"/>
                <w:sz w:val="20"/>
                <w:szCs w:val="20"/>
              </w:rPr>
              <w:t>3%</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0B2AE98"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19.</w:t>
            </w:r>
            <w:r w:rsidRPr="00C076B6">
              <w:rPr>
                <w:rFonts w:ascii="Calibri" w:eastAsia="Times New Roman" w:hAnsi="Calibri" w:cs="Times New Roman"/>
                <w:color w:val="000000"/>
                <w:sz w:val="20"/>
                <w:szCs w:val="20"/>
              </w:rPr>
              <w:t>0%</w:t>
            </w:r>
          </w:p>
        </w:tc>
      </w:tr>
      <w:tr w:rsidR="00D16147" w:rsidRPr="00C076B6" w14:paraId="6F06DC18" w14:textId="77777777" w:rsidTr="008242B5">
        <w:trPr>
          <w:trHeight w:val="280"/>
        </w:trPr>
        <w:tc>
          <w:tcPr>
            <w:tcW w:w="1300" w:type="dxa"/>
            <w:tcBorders>
              <w:top w:val="single" w:sz="4" w:space="0" w:color="95B3D7"/>
              <w:left w:val="single" w:sz="4" w:space="0" w:color="auto"/>
              <w:bottom w:val="single" w:sz="4" w:space="0" w:color="95B3D7"/>
              <w:right w:val="nil"/>
            </w:tcBorders>
            <w:shd w:val="clear" w:color="auto" w:fill="auto"/>
            <w:noWrap/>
            <w:vAlign w:val="center"/>
            <w:hideMark/>
          </w:tcPr>
          <w:p w14:paraId="7CA6A9BD"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p>
        </w:tc>
        <w:tc>
          <w:tcPr>
            <w:tcW w:w="2520" w:type="dxa"/>
            <w:tcBorders>
              <w:top w:val="single" w:sz="4" w:space="0" w:color="95B3D7"/>
              <w:left w:val="single" w:sz="4" w:space="0" w:color="auto"/>
              <w:bottom w:val="single" w:sz="4" w:space="0" w:color="95B3D7"/>
              <w:right w:val="nil"/>
            </w:tcBorders>
            <w:shd w:val="clear" w:color="auto" w:fill="auto"/>
            <w:noWrap/>
            <w:vAlign w:val="center"/>
            <w:hideMark/>
          </w:tcPr>
          <w:p w14:paraId="20CAAB34"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Crimea</w:t>
            </w:r>
            <w:proofErr w:type="spellEnd"/>
            <w:r w:rsidRPr="00C076B6">
              <w:rPr>
                <w:rFonts w:ascii="Calibri" w:eastAsia="Times New Roman" w:hAnsi="Calibri" w:cs="Times New Roman"/>
                <w:color w:val="000000"/>
                <w:sz w:val="20"/>
                <w:szCs w:val="20"/>
              </w:rPr>
              <w:t xml:space="preserve"> </w:t>
            </w:r>
            <w:proofErr w:type="spellStart"/>
            <w:r w:rsidRPr="00C076B6">
              <w:rPr>
                <w:rFonts w:ascii="Calibri" w:eastAsia="Times New Roman" w:hAnsi="Calibri" w:cs="Times New Roman"/>
                <w:color w:val="000000"/>
                <w:sz w:val="20"/>
                <w:szCs w:val="20"/>
              </w:rPr>
              <w:t>Republic</w:t>
            </w:r>
            <w:proofErr w:type="spellEnd"/>
          </w:p>
        </w:tc>
        <w:tc>
          <w:tcPr>
            <w:tcW w:w="1420" w:type="dxa"/>
            <w:tcBorders>
              <w:top w:val="single" w:sz="4" w:space="0" w:color="95B3D7"/>
              <w:left w:val="single" w:sz="4" w:space="0" w:color="auto"/>
              <w:bottom w:val="single" w:sz="4" w:space="0" w:color="95B3D7"/>
              <w:right w:val="nil"/>
            </w:tcBorders>
            <w:shd w:val="clear" w:color="auto" w:fill="auto"/>
            <w:noWrap/>
            <w:vAlign w:val="bottom"/>
            <w:hideMark/>
          </w:tcPr>
          <w:p w14:paraId="1A16A0F7"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332</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129EA9C"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5.</w:t>
            </w:r>
            <w:r w:rsidRPr="00C076B6">
              <w:rPr>
                <w:rFonts w:ascii="Calibri" w:eastAsia="Times New Roman" w:hAnsi="Calibri" w:cs="Times New Roman"/>
                <w:color w:val="000000"/>
                <w:sz w:val="20"/>
                <w:szCs w:val="20"/>
              </w:rPr>
              <w:t>2%</w:t>
            </w:r>
          </w:p>
        </w:tc>
        <w:tc>
          <w:tcPr>
            <w:tcW w:w="18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701A5C6E"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6.</w:t>
            </w:r>
            <w:r w:rsidRPr="00C076B6">
              <w:rPr>
                <w:rFonts w:ascii="Calibri" w:eastAsia="Times New Roman" w:hAnsi="Calibri" w:cs="Times New Roman"/>
                <w:color w:val="000000"/>
                <w:sz w:val="20"/>
                <w:szCs w:val="20"/>
              </w:rPr>
              <w:t>5%</w:t>
            </w:r>
          </w:p>
        </w:tc>
        <w:tc>
          <w:tcPr>
            <w:tcW w:w="1620" w:type="dxa"/>
            <w:tcBorders>
              <w:top w:val="single" w:sz="4" w:space="0" w:color="95B3D7"/>
              <w:left w:val="single" w:sz="4" w:space="0" w:color="auto"/>
              <w:bottom w:val="single" w:sz="4" w:space="0" w:color="95B3D7"/>
              <w:right w:val="single" w:sz="4" w:space="0" w:color="auto"/>
            </w:tcBorders>
            <w:shd w:val="clear" w:color="auto" w:fill="auto"/>
            <w:noWrap/>
            <w:vAlign w:val="bottom"/>
            <w:hideMark/>
          </w:tcPr>
          <w:p w14:paraId="3E58C83F"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12.</w:t>
            </w:r>
            <w:r w:rsidRPr="00C076B6">
              <w:rPr>
                <w:rFonts w:ascii="Calibri" w:eastAsia="Times New Roman" w:hAnsi="Calibri" w:cs="Times New Roman"/>
                <w:color w:val="000000"/>
                <w:sz w:val="20"/>
                <w:szCs w:val="20"/>
              </w:rPr>
              <w:t>2%</w:t>
            </w:r>
          </w:p>
        </w:tc>
      </w:tr>
      <w:tr w:rsidR="00D16147" w:rsidRPr="00C076B6" w14:paraId="3B8C5542" w14:textId="77777777" w:rsidTr="008242B5">
        <w:trPr>
          <w:trHeight w:val="280"/>
        </w:trPr>
        <w:tc>
          <w:tcPr>
            <w:tcW w:w="1300" w:type="dxa"/>
            <w:tcBorders>
              <w:top w:val="single" w:sz="4" w:space="0" w:color="95B3D7"/>
              <w:left w:val="single" w:sz="4" w:space="0" w:color="auto"/>
              <w:bottom w:val="single" w:sz="4" w:space="0" w:color="auto"/>
              <w:right w:val="nil"/>
            </w:tcBorders>
            <w:shd w:val="clear" w:color="DCE6F1" w:fill="DCE6F1"/>
            <w:noWrap/>
            <w:vAlign w:val="center"/>
            <w:hideMark/>
          </w:tcPr>
          <w:p w14:paraId="7536824C"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 </w:t>
            </w:r>
          </w:p>
        </w:tc>
        <w:tc>
          <w:tcPr>
            <w:tcW w:w="2520" w:type="dxa"/>
            <w:tcBorders>
              <w:top w:val="single" w:sz="4" w:space="0" w:color="95B3D7"/>
              <w:left w:val="single" w:sz="4" w:space="0" w:color="auto"/>
              <w:bottom w:val="single" w:sz="4" w:space="0" w:color="auto"/>
              <w:right w:val="nil"/>
            </w:tcBorders>
            <w:shd w:val="clear" w:color="DCE6F1" w:fill="DCE6F1"/>
            <w:noWrap/>
            <w:vAlign w:val="center"/>
            <w:hideMark/>
          </w:tcPr>
          <w:p w14:paraId="473187EF"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proofErr w:type="spellStart"/>
            <w:r w:rsidRPr="00C076B6">
              <w:rPr>
                <w:rFonts w:ascii="Calibri" w:eastAsia="Times New Roman" w:hAnsi="Calibri" w:cs="Times New Roman"/>
                <w:color w:val="000000"/>
                <w:sz w:val="20"/>
                <w:szCs w:val="20"/>
              </w:rPr>
              <w:t>Sevastopol</w:t>
            </w:r>
            <w:proofErr w:type="spellEnd"/>
          </w:p>
        </w:tc>
        <w:tc>
          <w:tcPr>
            <w:tcW w:w="1420" w:type="dxa"/>
            <w:tcBorders>
              <w:top w:val="single" w:sz="4" w:space="0" w:color="95B3D7"/>
              <w:left w:val="single" w:sz="4" w:space="0" w:color="auto"/>
              <w:bottom w:val="single" w:sz="4" w:space="0" w:color="auto"/>
              <w:right w:val="nil"/>
            </w:tcBorders>
            <w:shd w:val="clear" w:color="DCE6F1" w:fill="DCE6F1"/>
            <w:noWrap/>
            <w:vAlign w:val="bottom"/>
            <w:hideMark/>
          </w:tcPr>
          <w:p w14:paraId="5238AC12"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362</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632E1CFB"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7.</w:t>
            </w:r>
            <w:r w:rsidRPr="00C076B6">
              <w:rPr>
                <w:rFonts w:ascii="Calibri" w:eastAsia="Times New Roman" w:hAnsi="Calibri" w:cs="Times New Roman"/>
                <w:color w:val="000000"/>
                <w:sz w:val="20"/>
                <w:szCs w:val="20"/>
              </w:rPr>
              <w:t>1%</w:t>
            </w:r>
          </w:p>
        </w:tc>
        <w:tc>
          <w:tcPr>
            <w:tcW w:w="18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7B1ABF58"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4.</w:t>
            </w:r>
            <w:r w:rsidRPr="00C076B6">
              <w:rPr>
                <w:rFonts w:ascii="Calibri" w:eastAsia="Times New Roman" w:hAnsi="Calibri" w:cs="Times New Roman"/>
                <w:color w:val="000000"/>
                <w:sz w:val="20"/>
                <w:szCs w:val="20"/>
              </w:rPr>
              <w:t>8%</w:t>
            </w:r>
          </w:p>
        </w:tc>
        <w:tc>
          <w:tcPr>
            <w:tcW w:w="1620" w:type="dxa"/>
            <w:tcBorders>
              <w:top w:val="single" w:sz="4" w:space="0" w:color="95B3D7"/>
              <w:left w:val="single" w:sz="4" w:space="0" w:color="auto"/>
              <w:bottom w:val="single" w:sz="4" w:space="0" w:color="95B3D7"/>
              <w:right w:val="single" w:sz="4" w:space="0" w:color="auto"/>
            </w:tcBorders>
            <w:shd w:val="clear" w:color="DCE6F1" w:fill="DCE6F1"/>
            <w:noWrap/>
            <w:vAlign w:val="bottom"/>
            <w:hideMark/>
          </w:tcPr>
          <w:p w14:paraId="4C2B7DF7" w14:textId="77777777" w:rsidR="00D16147" w:rsidRPr="00C076B6" w:rsidRDefault="00D16147" w:rsidP="008242B5">
            <w:pPr>
              <w:spacing w:before="120" w:after="0" w:line="252" w:lineRule="auto"/>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18.</w:t>
            </w:r>
            <w:r w:rsidRPr="00C076B6">
              <w:rPr>
                <w:rFonts w:ascii="Calibri" w:eastAsia="Times New Roman" w:hAnsi="Calibri" w:cs="Times New Roman"/>
                <w:color w:val="000000"/>
                <w:sz w:val="20"/>
                <w:szCs w:val="20"/>
              </w:rPr>
              <w:t>0%</w:t>
            </w:r>
          </w:p>
        </w:tc>
      </w:tr>
      <w:tr w:rsidR="00D16147" w:rsidRPr="00C076B6" w14:paraId="29396A63" w14:textId="77777777" w:rsidTr="008242B5">
        <w:trPr>
          <w:trHeight w:val="300"/>
        </w:trPr>
        <w:tc>
          <w:tcPr>
            <w:tcW w:w="1300" w:type="dxa"/>
            <w:tcBorders>
              <w:top w:val="single" w:sz="4" w:space="0" w:color="95B3D7"/>
              <w:left w:val="single" w:sz="4" w:space="0" w:color="auto"/>
              <w:bottom w:val="single" w:sz="4" w:space="0" w:color="auto"/>
              <w:right w:val="single" w:sz="4" w:space="0" w:color="auto"/>
            </w:tcBorders>
            <w:shd w:val="clear" w:color="auto" w:fill="auto"/>
            <w:noWrap/>
            <w:vAlign w:val="center"/>
            <w:hideMark/>
          </w:tcPr>
          <w:p w14:paraId="11AF875E" w14:textId="77777777" w:rsidR="00D16147" w:rsidRPr="00C076B6" w:rsidRDefault="00D16147" w:rsidP="008242B5">
            <w:pPr>
              <w:spacing w:before="120" w:after="0" w:line="252" w:lineRule="auto"/>
              <w:rPr>
                <w:rFonts w:ascii="Calibri" w:eastAsia="Times New Roman" w:hAnsi="Calibri" w:cs="Times New Roman"/>
                <w:b/>
                <w:bCs/>
                <w:color w:val="000000"/>
                <w:sz w:val="20"/>
                <w:szCs w:val="20"/>
              </w:rPr>
            </w:pPr>
            <w:r w:rsidRPr="00C076B6">
              <w:rPr>
                <w:rFonts w:ascii="Calibri" w:eastAsia="Times New Roman" w:hAnsi="Calibri" w:cs="Times New Roman"/>
                <w:b/>
                <w:bCs/>
                <w:color w:val="000000"/>
                <w:sz w:val="20"/>
                <w:szCs w:val="20"/>
              </w:rPr>
              <w:t>AVERAGE</w:t>
            </w:r>
          </w:p>
        </w:tc>
        <w:tc>
          <w:tcPr>
            <w:tcW w:w="2520" w:type="dxa"/>
            <w:tcBorders>
              <w:top w:val="single" w:sz="4" w:space="0" w:color="95B3D7"/>
              <w:left w:val="single" w:sz="4" w:space="0" w:color="auto"/>
              <w:bottom w:val="single" w:sz="4" w:space="0" w:color="auto"/>
              <w:right w:val="nil"/>
            </w:tcBorders>
            <w:shd w:val="clear" w:color="auto" w:fill="auto"/>
            <w:noWrap/>
            <w:vAlign w:val="center"/>
            <w:hideMark/>
          </w:tcPr>
          <w:p w14:paraId="15E8D214" w14:textId="77777777" w:rsidR="00D16147" w:rsidRPr="00C076B6" w:rsidRDefault="00D16147" w:rsidP="008242B5">
            <w:pPr>
              <w:spacing w:before="120" w:after="0" w:line="252" w:lineRule="auto"/>
              <w:jc w:val="both"/>
              <w:rPr>
                <w:rFonts w:ascii="Calibri" w:eastAsia="Times New Roman" w:hAnsi="Calibri" w:cs="Times New Roman"/>
                <w:color w:val="000000"/>
                <w:sz w:val="20"/>
                <w:szCs w:val="20"/>
              </w:rPr>
            </w:pPr>
            <w:r w:rsidRPr="00C076B6">
              <w:rPr>
                <w:rFonts w:ascii="Calibri" w:eastAsia="Times New Roman" w:hAnsi="Calibri" w:cs="Times New Roman"/>
                <w:color w:val="000000"/>
                <w:sz w:val="20"/>
                <w:szCs w:val="20"/>
              </w:rPr>
              <w:t> </w:t>
            </w:r>
          </w:p>
        </w:tc>
        <w:tc>
          <w:tcPr>
            <w:tcW w:w="1420" w:type="dxa"/>
            <w:tcBorders>
              <w:top w:val="single" w:sz="4" w:space="0" w:color="95B3D7"/>
              <w:left w:val="single" w:sz="4" w:space="0" w:color="auto"/>
              <w:bottom w:val="single" w:sz="4" w:space="0" w:color="auto"/>
              <w:right w:val="nil"/>
            </w:tcBorders>
            <w:shd w:val="clear" w:color="auto" w:fill="auto"/>
            <w:noWrap/>
            <w:vAlign w:val="center"/>
            <w:hideMark/>
          </w:tcPr>
          <w:p w14:paraId="1FD01432" w14:textId="6D5DAE01" w:rsidR="00D16147" w:rsidRPr="00C076B6" w:rsidRDefault="00D16147" w:rsidP="008242B5">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5</w:t>
            </w:r>
            <w:r w:rsidR="00370805">
              <w:rPr>
                <w:rFonts w:ascii="Calibri" w:eastAsia="Times New Roman" w:hAnsi="Calibri" w:cs="Times New Roman"/>
                <w:b/>
                <w:bCs/>
                <w:color w:val="000000"/>
                <w:sz w:val="20"/>
                <w:szCs w:val="20"/>
              </w:rPr>
              <w:t>02</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38E38" w14:textId="3DE95AD8" w:rsidR="00D16147" w:rsidRPr="00C076B6" w:rsidRDefault="00D16147" w:rsidP="008242B5">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9.</w:t>
            </w:r>
            <w:r w:rsidR="004F72C1">
              <w:rPr>
                <w:rFonts w:ascii="Calibri" w:eastAsia="Times New Roman" w:hAnsi="Calibri" w:cs="Times New Roman"/>
                <w:b/>
                <w:bCs/>
                <w:color w:val="000000"/>
                <w:sz w:val="20"/>
                <w:szCs w:val="20"/>
              </w:rPr>
              <w:t>6</w:t>
            </w:r>
            <w:r w:rsidRPr="00C076B6">
              <w:rPr>
                <w:rFonts w:ascii="Calibri" w:eastAsia="Times New Roman" w:hAnsi="Calibri" w:cs="Times New Roman"/>
                <w:b/>
                <w:bCs/>
                <w:color w:val="000000"/>
                <w:sz w:val="20"/>
                <w:szCs w:val="20"/>
              </w:rPr>
              <w:t>%</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3BBD4" w14:textId="3C4EDB53" w:rsidR="00D16147" w:rsidRPr="00C076B6" w:rsidRDefault="00D16147" w:rsidP="008242B5">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10.</w:t>
            </w:r>
            <w:r w:rsidR="002E5458">
              <w:rPr>
                <w:rFonts w:ascii="Calibri" w:eastAsia="Times New Roman" w:hAnsi="Calibri" w:cs="Times New Roman"/>
                <w:b/>
                <w:bCs/>
                <w:color w:val="000000"/>
                <w:sz w:val="20"/>
                <w:szCs w:val="20"/>
              </w:rPr>
              <w:t>1</w:t>
            </w:r>
            <w:r w:rsidRPr="00C076B6">
              <w:rPr>
                <w:rFonts w:ascii="Calibri" w:eastAsia="Times New Roman" w:hAnsi="Calibri" w:cs="Times New Roman"/>
                <w:b/>
                <w:bCs/>
                <w:color w:val="000000"/>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9AAC7" w14:textId="27B51DC5" w:rsidR="00D16147" w:rsidRPr="00C076B6" w:rsidRDefault="00D16147" w:rsidP="008242B5">
            <w:pPr>
              <w:spacing w:before="120" w:after="0" w:line="252" w:lineRule="auto"/>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2</w:t>
            </w:r>
            <w:r w:rsidR="002E5458">
              <w:rPr>
                <w:rFonts w:ascii="Calibri" w:eastAsia="Times New Roman" w:hAnsi="Calibri" w:cs="Times New Roman"/>
                <w:b/>
                <w:bCs/>
                <w:color w:val="000000"/>
                <w:sz w:val="20"/>
                <w:szCs w:val="20"/>
              </w:rPr>
              <w:t>1</w:t>
            </w:r>
            <w:r>
              <w:rPr>
                <w:rFonts w:ascii="Calibri" w:eastAsia="Times New Roman" w:hAnsi="Calibri" w:cs="Times New Roman"/>
                <w:b/>
                <w:bCs/>
                <w:color w:val="000000"/>
                <w:sz w:val="20"/>
                <w:szCs w:val="20"/>
              </w:rPr>
              <w:t>.</w:t>
            </w:r>
            <w:r w:rsidR="002E5458">
              <w:rPr>
                <w:rFonts w:ascii="Calibri" w:eastAsia="Times New Roman" w:hAnsi="Calibri" w:cs="Times New Roman"/>
                <w:b/>
                <w:bCs/>
                <w:color w:val="000000"/>
                <w:sz w:val="20"/>
                <w:szCs w:val="20"/>
              </w:rPr>
              <w:t>8</w:t>
            </w:r>
            <w:r w:rsidRPr="00C076B6">
              <w:rPr>
                <w:rFonts w:ascii="Calibri" w:eastAsia="Times New Roman" w:hAnsi="Calibri" w:cs="Times New Roman"/>
                <w:b/>
                <w:bCs/>
                <w:color w:val="000000"/>
                <w:sz w:val="20"/>
                <w:szCs w:val="20"/>
              </w:rPr>
              <w:t>%</w:t>
            </w:r>
          </w:p>
        </w:tc>
      </w:tr>
    </w:tbl>
    <w:p w14:paraId="1AB3267E" w14:textId="77777777" w:rsidR="00D16147" w:rsidRPr="004B58D3" w:rsidRDefault="00D16147" w:rsidP="00D16147">
      <w:pPr>
        <w:pStyle w:val="Caption"/>
        <w:spacing w:before="120" w:after="0" w:line="252" w:lineRule="auto"/>
        <w:jc w:val="left"/>
        <w:rPr>
          <w:sz w:val="22"/>
          <w:szCs w:val="22"/>
          <w:lang w:val="en-GB"/>
        </w:rPr>
      </w:pPr>
      <w:proofErr w:type="gramStart"/>
      <w:r>
        <w:rPr>
          <w:sz w:val="22"/>
          <w:szCs w:val="22"/>
          <w:lang w:val="en-GB"/>
        </w:rPr>
        <w:t>Table 4</w:t>
      </w:r>
      <w:r w:rsidRPr="004B58D3">
        <w:rPr>
          <w:sz w:val="22"/>
          <w:szCs w:val="22"/>
          <w:lang w:val="en-GB"/>
        </w:rPr>
        <w:t>.</w:t>
      </w:r>
      <w:proofErr w:type="gramEnd"/>
      <w:r w:rsidRPr="004B58D3">
        <w:rPr>
          <w:sz w:val="22"/>
          <w:szCs w:val="22"/>
          <w:lang w:val="en-GB"/>
        </w:rPr>
        <w:t xml:space="preserve"> Overview of wages and unemployment rates in the Black Sea Basin eligible areas</w:t>
      </w:r>
      <w:r>
        <w:rPr>
          <w:rStyle w:val="EndnoteReference"/>
          <w:sz w:val="22"/>
          <w:szCs w:val="22"/>
          <w:lang w:val="en-GB"/>
        </w:rPr>
        <w:endnoteReference w:id="67"/>
      </w:r>
    </w:p>
    <w:p w14:paraId="65D87109" w14:textId="6A43DE96" w:rsidR="00D16147" w:rsidRDefault="00D16147" w:rsidP="00D16147">
      <w:pPr>
        <w:spacing w:before="120" w:after="0" w:line="252" w:lineRule="auto"/>
        <w:jc w:val="both"/>
        <w:rPr>
          <w:sz w:val="22"/>
          <w:szCs w:val="22"/>
          <w:lang w:val="en-GB"/>
        </w:rPr>
      </w:pPr>
      <w:r w:rsidRPr="004B58D3">
        <w:rPr>
          <w:sz w:val="22"/>
          <w:szCs w:val="22"/>
          <w:lang w:val="en-GB"/>
        </w:rPr>
        <w:t xml:space="preserve">Statistics reveal that the Black Sea Basin eligible areas have very different unemployment challenges. While Azerbaijan, Moldova, Romania, some Ukrainian regions (Crimea, Sevastopol, </w:t>
      </w:r>
      <w:proofErr w:type="spellStart"/>
      <w:r w:rsidRPr="004B58D3">
        <w:rPr>
          <w:sz w:val="22"/>
          <w:szCs w:val="22"/>
          <w:lang w:val="en-GB"/>
        </w:rPr>
        <w:t>Odeska</w:t>
      </w:r>
      <w:proofErr w:type="spellEnd"/>
      <w:r w:rsidRPr="004B58D3">
        <w:rPr>
          <w:sz w:val="22"/>
          <w:szCs w:val="22"/>
          <w:lang w:val="en-GB"/>
        </w:rPr>
        <w:t xml:space="preserve">) and Turkish rural regions experience low or moderate levels of unemployment (&lt; 7%), Armenia, Georgia, both Greek regions and the Bulgarian region of </w:t>
      </w:r>
      <w:proofErr w:type="spellStart"/>
      <w:r w:rsidRPr="004B58D3">
        <w:rPr>
          <w:sz w:val="22"/>
          <w:szCs w:val="22"/>
          <w:lang w:val="en-GB"/>
        </w:rPr>
        <w:t>Zeveroiztochen</w:t>
      </w:r>
      <w:proofErr w:type="spellEnd"/>
      <w:r w:rsidRPr="004B58D3">
        <w:rPr>
          <w:sz w:val="22"/>
          <w:szCs w:val="22"/>
          <w:lang w:val="en-GB"/>
        </w:rPr>
        <w:t xml:space="preserve"> have unemployment rates of above 1</w:t>
      </w:r>
      <w:r w:rsidR="00235483">
        <w:rPr>
          <w:sz w:val="22"/>
          <w:szCs w:val="22"/>
          <w:lang w:val="en-GB"/>
        </w:rPr>
        <w:t>3</w:t>
      </w:r>
      <w:r w:rsidRPr="004B58D3">
        <w:rPr>
          <w:sz w:val="22"/>
          <w:szCs w:val="22"/>
          <w:lang w:val="en-GB"/>
        </w:rPr>
        <w:t xml:space="preserve">% (see table </w:t>
      </w:r>
      <w:r>
        <w:rPr>
          <w:sz w:val="22"/>
          <w:szCs w:val="22"/>
          <w:lang w:val="en-GB"/>
        </w:rPr>
        <w:t xml:space="preserve">4 </w:t>
      </w:r>
      <w:r w:rsidRPr="004B58D3">
        <w:rPr>
          <w:sz w:val="22"/>
          <w:szCs w:val="22"/>
          <w:lang w:val="en-GB"/>
        </w:rPr>
        <w:t xml:space="preserve">above). </w:t>
      </w:r>
    </w:p>
    <w:p w14:paraId="3B754820" w14:textId="34BCFB12" w:rsidR="00D16147" w:rsidRPr="000D3441" w:rsidRDefault="00D16147" w:rsidP="00D16147">
      <w:pPr>
        <w:spacing w:before="120" w:after="0" w:line="252" w:lineRule="auto"/>
        <w:jc w:val="both"/>
        <w:rPr>
          <w:sz w:val="22"/>
          <w:szCs w:val="22"/>
          <w:lang w:val="en-GB"/>
        </w:rPr>
      </w:pPr>
      <w:r w:rsidRPr="000D3441">
        <w:rPr>
          <w:sz w:val="22"/>
          <w:szCs w:val="22"/>
          <w:lang w:val="en-GB"/>
        </w:rPr>
        <w:t>In regard to gender influence and unemployment rates, female u</w:t>
      </w:r>
      <w:r w:rsidR="00691562">
        <w:rPr>
          <w:sz w:val="22"/>
          <w:szCs w:val="22"/>
          <w:lang w:val="en-GB"/>
        </w:rPr>
        <w:t xml:space="preserve">nemployment tends to be higher </w:t>
      </w:r>
      <w:r w:rsidRPr="000D3441">
        <w:rPr>
          <w:sz w:val="22"/>
          <w:szCs w:val="22"/>
          <w:lang w:val="en-GB"/>
        </w:rPr>
        <w:t>in Armenia, Azerbaijan, Greece and most Turkish regions (</w:t>
      </w:r>
      <w:r w:rsidR="00640502">
        <w:rPr>
          <w:sz w:val="22"/>
          <w:szCs w:val="22"/>
          <w:lang w:val="en-GB"/>
        </w:rPr>
        <w:t xml:space="preserve">except </w:t>
      </w:r>
      <w:r w:rsidR="00640502" w:rsidRPr="000D3441">
        <w:rPr>
          <w:sz w:val="22"/>
          <w:szCs w:val="22"/>
          <w:lang w:val="en-GB"/>
        </w:rPr>
        <w:t>T</w:t>
      </w:r>
      <w:r w:rsidR="00640502">
        <w:rPr>
          <w:sz w:val="22"/>
          <w:szCs w:val="22"/>
          <w:lang w:val="en-GB"/>
        </w:rPr>
        <w:t>R90</w:t>
      </w:r>
      <w:r w:rsidRPr="000D3441">
        <w:rPr>
          <w:sz w:val="22"/>
          <w:szCs w:val="22"/>
          <w:lang w:val="en-GB"/>
        </w:rPr>
        <w:t xml:space="preserve">) and lower in the other countries (see table 4 above). </w:t>
      </w:r>
    </w:p>
    <w:p w14:paraId="1D5CD602" w14:textId="6F42408A" w:rsidR="00D16147" w:rsidRDefault="00D16147" w:rsidP="00D16147">
      <w:pPr>
        <w:spacing w:before="120" w:after="0" w:line="252" w:lineRule="auto"/>
        <w:jc w:val="both"/>
        <w:rPr>
          <w:sz w:val="22"/>
          <w:szCs w:val="22"/>
          <w:lang w:val="en-GB"/>
        </w:rPr>
      </w:pPr>
      <w:r w:rsidRPr="000D3441">
        <w:rPr>
          <w:sz w:val="22"/>
          <w:szCs w:val="22"/>
          <w:lang w:val="en-GB"/>
        </w:rPr>
        <w:t>Youth unemployment is a particularly acute issue, reaching 2</w:t>
      </w:r>
      <w:r w:rsidR="00235483">
        <w:rPr>
          <w:sz w:val="22"/>
          <w:szCs w:val="22"/>
          <w:lang w:val="en-GB"/>
        </w:rPr>
        <w:t>2</w:t>
      </w:r>
      <w:r w:rsidRPr="000D3441">
        <w:rPr>
          <w:sz w:val="22"/>
          <w:szCs w:val="22"/>
          <w:lang w:val="en-GB"/>
        </w:rPr>
        <w:t>% on average in the Black Sea Basin area</w:t>
      </w:r>
      <w:r w:rsidRPr="000D3441">
        <w:rPr>
          <w:rStyle w:val="EndnoteReference"/>
          <w:sz w:val="22"/>
          <w:szCs w:val="22"/>
        </w:rPr>
        <w:endnoteReference w:id="68"/>
      </w:r>
      <w:r w:rsidRPr="000D3441">
        <w:rPr>
          <w:sz w:val="22"/>
          <w:szCs w:val="22"/>
          <w:lang w:val="en-GB"/>
        </w:rPr>
        <w:t>,</w:t>
      </w:r>
      <w:r w:rsidRPr="004B58D3">
        <w:rPr>
          <w:sz w:val="22"/>
          <w:szCs w:val="22"/>
          <w:lang w:val="en-GB"/>
        </w:rPr>
        <w:t xml:space="preserve"> and </w:t>
      </w:r>
      <w:r>
        <w:rPr>
          <w:sz w:val="22"/>
          <w:szCs w:val="22"/>
          <w:lang w:val="en-GB"/>
        </w:rPr>
        <w:t xml:space="preserve">was </w:t>
      </w:r>
      <w:r w:rsidRPr="004B58D3">
        <w:rPr>
          <w:sz w:val="22"/>
          <w:szCs w:val="22"/>
          <w:lang w:val="en-GB"/>
        </w:rPr>
        <w:t>visibly most affected by the aftermath of the 2008 crisis</w:t>
      </w:r>
      <w:r w:rsidR="002D5853">
        <w:rPr>
          <w:sz w:val="22"/>
          <w:szCs w:val="22"/>
          <w:lang w:val="en-GB"/>
        </w:rPr>
        <w:t xml:space="preserve"> (see figure 14</w:t>
      </w:r>
      <w:r w:rsidRPr="004B58D3">
        <w:rPr>
          <w:sz w:val="22"/>
          <w:szCs w:val="22"/>
          <w:lang w:val="en-GB"/>
        </w:rPr>
        <w:t xml:space="preserve"> below). Common to all the Black Sea Basin regions, youth unemployment varies from 10</w:t>
      </w:r>
      <w:r>
        <w:rPr>
          <w:sz w:val="22"/>
          <w:szCs w:val="22"/>
          <w:lang w:val="en-GB"/>
        </w:rPr>
        <w:t>.</w:t>
      </w:r>
      <w:r w:rsidRPr="004B58D3">
        <w:rPr>
          <w:sz w:val="22"/>
          <w:szCs w:val="22"/>
          <w:lang w:val="en-GB"/>
        </w:rPr>
        <w:t xml:space="preserve">7% in the </w:t>
      </w:r>
      <w:proofErr w:type="spellStart"/>
      <w:r w:rsidRPr="004B58D3">
        <w:rPr>
          <w:sz w:val="22"/>
          <w:szCs w:val="22"/>
          <w:lang w:val="en-GB"/>
        </w:rPr>
        <w:t>Odeska</w:t>
      </w:r>
      <w:proofErr w:type="spellEnd"/>
      <w:r w:rsidRPr="004B58D3">
        <w:rPr>
          <w:sz w:val="22"/>
          <w:szCs w:val="22"/>
          <w:lang w:val="en-GB"/>
        </w:rPr>
        <w:t xml:space="preserve"> region (Ukraine) to 66% in </w:t>
      </w:r>
      <w:proofErr w:type="spellStart"/>
      <w:r w:rsidRPr="004B58D3">
        <w:rPr>
          <w:sz w:val="22"/>
          <w:szCs w:val="22"/>
          <w:lang w:val="en-GB"/>
        </w:rPr>
        <w:t>Anatoli</w:t>
      </w:r>
      <w:r w:rsidR="00640502">
        <w:rPr>
          <w:sz w:val="22"/>
          <w:szCs w:val="22"/>
          <w:lang w:val="en-GB"/>
        </w:rPr>
        <w:t>ki</w:t>
      </w:r>
      <w:proofErr w:type="spellEnd"/>
      <w:r w:rsidRPr="004B58D3">
        <w:rPr>
          <w:sz w:val="22"/>
          <w:szCs w:val="22"/>
          <w:lang w:val="en-GB"/>
        </w:rPr>
        <w:t xml:space="preserve"> Makedonia </w:t>
      </w:r>
      <w:proofErr w:type="spellStart"/>
      <w:r w:rsidRPr="004B58D3">
        <w:rPr>
          <w:sz w:val="22"/>
          <w:szCs w:val="22"/>
          <w:lang w:val="en-GB"/>
        </w:rPr>
        <w:t>Thraki</w:t>
      </w:r>
      <w:proofErr w:type="spellEnd"/>
      <w:r w:rsidRPr="004B58D3">
        <w:rPr>
          <w:sz w:val="22"/>
          <w:szCs w:val="22"/>
          <w:lang w:val="en-GB"/>
        </w:rPr>
        <w:t xml:space="preserve"> (Greece). </w:t>
      </w:r>
    </w:p>
    <w:p w14:paraId="0D8AD12A" w14:textId="77777777" w:rsidR="00B53C93" w:rsidRPr="004B58D3" w:rsidRDefault="00B53C93" w:rsidP="00D16147">
      <w:pPr>
        <w:spacing w:before="120" w:after="0" w:line="252" w:lineRule="auto"/>
        <w:jc w:val="both"/>
        <w:rPr>
          <w:sz w:val="22"/>
          <w:szCs w:val="22"/>
          <w:lang w:val="en-GB"/>
        </w:rPr>
      </w:pPr>
    </w:p>
    <w:p w14:paraId="2186E1D8" w14:textId="77777777" w:rsidR="00D16147" w:rsidRDefault="00D16147" w:rsidP="00D16147">
      <w:pPr>
        <w:keepNext/>
        <w:spacing w:before="120" w:after="0" w:line="252" w:lineRule="auto"/>
      </w:pPr>
      <w:r>
        <w:rPr>
          <w:noProof/>
          <w:lang w:val="en-GB" w:eastAsia="en-GB"/>
        </w:rPr>
        <w:drawing>
          <wp:inline distT="0" distB="0" distL="0" distR="0" wp14:anchorId="00EEB12B" wp14:editId="5DBC2B4B">
            <wp:extent cx="6854463" cy="2324505"/>
            <wp:effectExtent l="0" t="0" r="3810" b="1270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410" cy="2325843"/>
                    </a:xfrm>
                    <a:prstGeom prst="rect">
                      <a:avLst/>
                    </a:prstGeom>
                    <a:noFill/>
                    <a:ln>
                      <a:noFill/>
                    </a:ln>
                  </pic:spPr>
                </pic:pic>
              </a:graphicData>
            </a:graphic>
          </wp:inline>
        </w:drawing>
      </w:r>
    </w:p>
    <w:p w14:paraId="4E92EE0A" w14:textId="77777777" w:rsidR="00D16147" w:rsidRPr="004B58D3" w:rsidRDefault="00957F9B" w:rsidP="005A12B9">
      <w:pPr>
        <w:pStyle w:val="Caption"/>
        <w:spacing w:after="0" w:line="252" w:lineRule="auto"/>
        <w:jc w:val="left"/>
        <w:rPr>
          <w:sz w:val="22"/>
          <w:szCs w:val="22"/>
          <w:lang w:val="en-GB"/>
        </w:rPr>
      </w:pPr>
      <w:proofErr w:type="gramStart"/>
      <w:r>
        <w:rPr>
          <w:sz w:val="22"/>
          <w:szCs w:val="22"/>
          <w:lang w:val="en-GB"/>
        </w:rPr>
        <w:t>Figure 14</w:t>
      </w:r>
      <w:r w:rsidR="00D16147" w:rsidRPr="000D3441">
        <w:rPr>
          <w:sz w:val="22"/>
          <w:szCs w:val="22"/>
          <w:lang w:val="en-GB"/>
        </w:rPr>
        <w:t>.</w:t>
      </w:r>
      <w:proofErr w:type="gramEnd"/>
      <w:r w:rsidR="00D16147" w:rsidRPr="000D3441">
        <w:rPr>
          <w:sz w:val="22"/>
          <w:szCs w:val="22"/>
          <w:lang w:val="en-GB"/>
        </w:rPr>
        <w:t xml:space="preserve"> Unemployment, youth, 2005-2011 (national level as a % of total </w:t>
      </w:r>
      <w:proofErr w:type="spellStart"/>
      <w:r w:rsidR="00D16147" w:rsidRPr="000D3441">
        <w:rPr>
          <w:sz w:val="22"/>
          <w:szCs w:val="22"/>
          <w:lang w:val="en-GB"/>
        </w:rPr>
        <w:t>labor</w:t>
      </w:r>
      <w:proofErr w:type="spellEnd"/>
      <w:r w:rsidR="00D16147" w:rsidRPr="000D3441">
        <w:rPr>
          <w:sz w:val="22"/>
          <w:szCs w:val="22"/>
          <w:lang w:val="en-GB"/>
        </w:rPr>
        <w:t xml:space="preserve"> force ages 15-24)</w:t>
      </w:r>
      <w:r w:rsidR="00D16147" w:rsidRPr="000D3441">
        <w:rPr>
          <w:rStyle w:val="EndnoteReference"/>
          <w:sz w:val="22"/>
          <w:szCs w:val="22"/>
        </w:rPr>
        <w:endnoteReference w:id="69"/>
      </w:r>
      <w:r w:rsidR="00D16147" w:rsidRPr="000D3441">
        <w:rPr>
          <w:sz w:val="22"/>
          <w:szCs w:val="22"/>
          <w:lang w:val="en-GB"/>
        </w:rPr>
        <w:t xml:space="preserve"> – impact of 2008 crisis</w:t>
      </w:r>
    </w:p>
    <w:p w14:paraId="75C2D5EA" w14:textId="77777777" w:rsidR="00D02D24" w:rsidRPr="00650794" w:rsidRDefault="00D02D24" w:rsidP="00D9190A">
      <w:pPr>
        <w:spacing w:before="360" w:after="0"/>
        <w:rPr>
          <w:rStyle w:val="Strong"/>
          <w:bCs w:val="0"/>
          <w:lang w:val="en-GB"/>
        </w:rPr>
      </w:pPr>
      <w:bookmarkStart w:id="34" w:name="_Toc246127431"/>
      <w:r>
        <w:rPr>
          <w:b/>
          <w:lang w:val="en-GB"/>
        </w:rPr>
        <w:t>Research and development, research</w:t>
      </w:r>
      <w:r w:rsidRPr="000D36B6">
        <w:rPr>
          <w:b/>
          <w:lang w:val="en-GB"/>
        </w:rPr>
        <w:t xml:space="preserve"> </w:t>
      </w:r>
    </w:p>
    <w:p w14:paraId="4E955B82" w14:textId="7A75EDEA" w:rsidR="00D16147" w:rsidRPr="00E70CD2" w:rsidRDefault="00663F9D" w:rsidP="003A01F9">
      <w:pPr>
        <w:rPr>
          <w:sz w:val="28"/>
          <w:szCs w:val="28"/>
          <w:lang w:val="en-US"/>
        </w:rPr>
      </w:pPr>
      <w:r w:rsidRPr="00663F9D">
        <w:rPr>
          <w:noProof/>
          <w:lang w:val="en-GB" w:eastAsia="en-GB"/>
        </w:rPr>
        <w:drawing>
          <wp:inline distT="0" distB="0" distL="0" distR="0" wp14:anchorId="6EC39AEA" wp14:editId="073C5F1F">
            <wp:extent cx="4339863" cy="2580682"/>
            <wp:effectExtent l="0" t="0" r="3810" b="10160"/>
            <wp:docPr id="115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41400" cy="2581596"/>
                    </a:xfrm>
                    <a:prstGeom prst="rect">
                      <a:avLst/>
                    </a:prstGeom>
                    <a:noFill/>
                    <a:ln>
                      <a:noFill/>
                    </a:ln>
                  </pic:spPr>
                </pic:pic>
              </a:graphicData>
            </a:graphic>
          </wp:inline>
        </w:drawing>
      </w:r>
      <w:bookmarkEnd w:id="34"/>
    </w:p>
    <w:p w14:paraId="52E45A79" w14:textId="19352318" w:rsidR="00D16147" w:rsidRPr="004B58D3"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957F9B">
        <w:rPr>
          <w:sz w:val="22"/>
          <w:szCs w:val="22"/>
          <w:lang w:val="en-GB"/>
        </w:rPr>
        <w:t>15</w:t>
      </w:r>
      <w:r w:rsidRPr="004B58D3">
        <w:rPr>
          <w:sz w:val="22"/>
          <w:szCs w:val="22"/>
          <w:lang w:val="en-GB"/>
        </w:rPr>
        <w:t>.</w:t>
      </w:r>
      <w:proofErr w:type="gramEnd"/>
      <w:r w:rsidRPr="004B58D3">
        <w:rPr>
          <w:sz w:val="22"/>
          <w:szCs w:val="22"/>
          <w:lang w:val="en-GB"/>
        </w:rPr>
        <w:t xml:space="preserve"> Research and Development expenditure (% of GDP), 20</w:t>
      </w:r>
      <w:r w:rsidR="00CB0480">
        <w:rPr>
          <w:sz w:val="22"/>
          <w:szCs w:val="22"/>
          <w:lang w:val="en-GB"/>
        </w:rPr>
        <w:t>11 (except Georgia, 2005)</w:t>
      </w:r>
      <w:r>
        <w:rPr>
          <w:rStyle w:val="EndnoteReference"/>
          <w:sz w:val="22"/>
          <w:szCs w:val="22"/>
        </w:rPr>
        <w:endnoteReference w:id="70"/>
      </w:r>
    </w:p>
    <w:p w14:paraId="1D6FC267" w14:textId="77777777" w:rsidR="00D16147" w:rsidRPr="004B58D3" w:rsidRDefault="00D16147" w:rsidP="00E35FB1">
      <w:pPr>
        <w:spacing w:before="240" w:after="120" w:line="252" w:lineRule="auto"/>
        <w:jc w:val="both"/>
        <w:rPr>
          <w:sz w:val="22"/>
          <w:szCs w:val="22"/>
          <w:lang w:val="en-GB"/>
        </w:rPr>
      </w:pPr>
      <w:r w:rsidRPr="004B58D3">
        <w:rPr>
          <w:sz w:val="22"/>
          <w:szCs w:val="22"/>
          <w:lang w:val="en-GB"/>
        </w:rPr>
        <w:t xml:space="preserve">The Black Sea Basin area has a rich scientific potential, if considering the large numbers of universities and research </w:t>
      </w:r>
      <w:proofErr w:type="spellStart"/>
      <w:r w:rsidRPr="004B58D3">
        <w:rPr>
          <w:sz w:val="22"/>
          <w:szCs w:val="22"/>
          <w:lang w:val="en-GB"/>
        </w:rPr>
        <w:t>centers</w:t>
      </w:r>
      <w:proofErr w:type="spellEnd"/>
      <w:r w:rsidRPr="00E70CD2">
        <w:rPr>
          <w:rStyle w:val="FootnoteReference"/>
          <w:sz w:val="22"/>
          <w:szCs w:val="22"/>
        </w:rPr>
        <w:footnoteReference w:id="37"/>
      </w:r>
      <w:r w:rsidRPr="004B58D3">
        <w:rPr>
          <w:sz w:val="22"/>
          <w:szCs w:val="22"/>
          <w:lang w:val="en-GB"/>
        </w:rPr>
        <w:t xml:space="preserve"> in the area, although it faces difficulties in fostering research and innovation and keeping up with the pace of technological progress as is reflected in the structure of exports and in rather low research and development expenditures (see figure 15 above). Research and Innovation is therefore another potential area for cooperation.</w:t>
      </w:r>
    </w:p>
    <w:p w14:paraId="6381B937" w14:textId="77777777" w:rsidR="00D16147" w:rsidRDefault="00D16147" w:rsidP="00D9190A">
      <w:pPr>
        <w:spacing w:before="120" w:after="120" w:line="252" w:lineRule="auto"/>
        <w:jc w:val="both"/>
        <w:rPr>
          <w:sz w:val="22"/>
          <w:szCs w:val="22"/>
          <w:lang w:val="en-GB"/>
        </w:rPr>
      </w:pPr>
      <w:r w:rsidRPr="004B58D3">
        <w:rPr>
          <w:sz w:val="22"/>
          <w:szCs w:val="22"/>
          <w:lang w:val="en-GB"/>
        </w:rPr>
        <w:t xml:space="preserve">Research and networking in science and technology in the Black Sea Basin region among some or all of the countries is supported and active under the EU 7th framework programme and Black Sea Basin ENPI CBC programme, as </w:t>
      </w:r>
      <w:r w:rsidRPr="000D3441">
        <w:rPr>
          <w:sz w:val="22"/>
          <w:szCs w:val="22"/>
          <w:lang w:val="en-GB"/>
        </w:rPr>
        <w:t xml:space="preserve">well as within a variety of other European and Black Sea initiatives and organisations, </w:t>
      </w:r>
      <w:r w:rsidRPr="000D3441">
        <w:rPr>
          <w:sz w:val="22"/>
          <w:szCs w:val="22"/>
          <w:lang w:val="en-GB"/>
        </w:rPr>
        <w:lastRenderedPageBreak/>
        <w:t>sometimes specialising on a specific field. Collaborative work on marine environment notably involves 43 research centres and universities in Black Sea riparian countries within a Black Sea Scientific Network (SCENE), and a strategic research agenda towards integrated marine research strategies and programme has been developed under the SEAS-ERA project. Considering the Black Sea Basin ENI CBC programme eligible area, it seems important to underline that key research centres for this collaborative work are sometimes located in capital cities.</w:t>
      </w:r>
    </w:p>
    <w:p w14:paraId="02AB5DFB" w14:textId="77777777" w:rsidR="00EC0F3B" w:rsidRDefault="00EC0F3B" w:rsidP="00D16147">
      <w:pPr>
        <w:spacing w:before="120" w:after="0" w:line="252" w:lineRule="auto"/>
        <w:jc w:val="both"/>
        <w:rPr>
          <w:sz w:val="22"/>
          <w:szCs w:val="22"/>
          <w:lang w:val="en-GB"/>
        </w:rPr>
      </w:pPr>
    </w:p>
    <w:tbl>
      <w:tblPr>
        <w:tblStyle w:val="ColorfulList"/>
        <w:tblW w:w="0" w:type="auto"/>
        <w:tblBorders>
          <w:top w:val="single" w:sz="18" w:space="0" w:color="983620" w:themeColor="accent2"/>
          <w:left w:val="single" w:sz="18" w:space="0" w:color="983620" w:themeColor="accent2"/>
          <w:bottom w:val="single" w:sz="18" w:space="0" w:color="983620" w:themeColor="accent2"/>
          <w:right w:val="single" w:sz="18" w:space="0" w:color="983620" w:themeColor="accent2"/>
        </w:tblBorders>
        <w:tblLayout w:type="fixed"/>
        <w:tblLook w:val="04A0" w:firstRow="1" w:lastRow="0" w:firstColumn="1" w:lastColumn="0" w:noHBand="0" w:noVBand="1"/>
      </w:tblPr>
      <w:tblGrid>
        <w:gridCol w:w="4077"/>
        <w:gridCol w:w="6946"/>
      </w:tblGrid>
      <w:tr w:rsidR="00EC0F3B" w:rsidRPr="00BC2A16" w14:paraId="75B5A0B8" w14:textId="77777777" w:rsidTr="00DD5204">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1023" w:type="dxa"/>
            <w:gridSpan w:val="2"/>
            <w:tcBorders>
              <w:bottom w:val="none" w:sz="0" w:space="0" w:color="auto"/>
            </w:tcBorders>
            <w:noWrap/>
            <w:hideMark/>
          </w:tcPr>
          <w:p w14:paraId="03412859" w14:textId="77777777" w:rsidR="00EC0F3B" w:rsidRPr="00BC2A16" w:rsidRDefault="00EC0F3B" w:rsidP="002F1780">
            <w:pPr>
              <w:jc w:val="center"/>
            </w:pPr>
            <w:r w:rsidRPr="00BC2A16">
              <w:t>SWOT – EDUCATION, EMPLOYMENT, RESEARCH</w:t>
            </w:r>
          </w:p>
        </w:tc>
      </w:tr>
      <w:tr w:rsidR="003425A9" w:rsidRPr="00BC2A16" w14:paraId="2623F094"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077" w:type="dxa"/>
            <w:tcBorders>
              <w:right w:val="single" w:sz="4" w:space="0" w:color="983620" w:themeColor="accent2"/>
            </w:tcBorders>
            <w:shd w:val="clear" w:color="auto" w:fill="A6A6A6" w:themeFill="background1" w:themeFillShade="A6"/>
            <w:noWrap/>
            <w:hideMark/>
          </w:tcPr>
          <w:p w14:paraId="53E3A122" w14:textId="77777777" w:rsidR="00EC0F3B" w:rsidRPr="00BC2A16" w:rsidRDefault="00EC0F3B" w:rsidP="00DD5204">
            <w:pPr>
              <w:jc w:val="center"/>
              <w:rPr>
                <w:sz w:val="22"/>
                <w:szCs w:val="22"/>
              </w:rPr>
            </w:pPr>
            <w:r w:rsidRPr="00BC2A16">
              <w:rPr>
                <w:sz w:val="22"/>
                <w:szCs w:val="22"/>
              </w:rPr>
              <w:t>STRENGTHS</w:t>
            </w:r>
          </w:p>
        </w:tc>
        <w:tc>
          <w:tcPr>
            <w:tcW w:w="6946" w:type="dxa"/>
            <w:tcBorders>
              <w:left w:val="single" w:sz="4" w:space="0" w:color="983620" w:themeColor="accent2"/>
              <w:right w:val="single" w:sz="18" w:space="0" w:color="983620" w:themeColor="accent2"/>
            </w:tcBorders>
            <w:shd w:val="clear" w:color="auto" w:fill="A6A6A6" w:themeFill="background1" w:themeFillShade="A6"/>
            <w:hideMark/>
          </w:tcPr>
          <w:p w14:paraId="5EA97615" w14:textId="77777777" w:rsidR="00EC0F3B" w:rsidRPr="00BC2A16" w:rsidRDefault="00EC0F3B" w:rsidP="00DD520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C2A16">
              <w:rPr>
                <w:b/>
                <w:sz w:val="22"/>
                <w:szCs w:val="22"/>
              </w:rPr>
              <w:t>WEAKNESSES</w:t>
            </w:r>
          </w:p>
        </w:tc>
      </w:tr>
      <w:tr w:rsidR="003425A9" w:rsidRPr="00B71347" w14:paraId="11A7DAD8" w14:textId="77777777" w:rsidTr="000C49D0">
        <w:trPr>
          <w:trHeight w:val="1120"/>
        </w:trPr>
        <w:tc>
          <w:tcPr>
            <w:cnfStyle w:val="001000000000" w:firstRow="0" w:lastRow="0" w:firstColumn="1" w:lastColumn="0" w:oddVBand="0" w:evenVBand="0" w:oddHBand="0" w:evenHBand="0" w:firstRowFirstColumn="0" w:firstRowLastColumn="0" w:lastRowFirstColumn="0" w:lastRowLastColumn="0"/>
            <w:tcW w:w="4077" w:type="dxa"/>
            <w:tcBorders>
              <w:right w:val="single" w:sz="4" w:space="0" w:color="983620" w:themeColor="accent2"/>
            </w:tcBorders>
            <w:hideMark/>
          </w:tcPr>
          <w:tbl>
            <w:tblPr>
              <w:tblW w:w="3828" w:type="dxa"/>
              <w:tblLayout w:type="fixed"/>
              <w:tblCellMar>
                <w:left w:w="70" w:type="dxa"/>
                <w:right w:w="70" w:type="dxa"/>
              </w:tblCellMar>
              <w:tblLook w:val="04A0" w:firstRow="1" w:lastRow="0" w:firstColumn="1" w:lastColumn="0" w:noHBand="0" w:noVBand="1"/>
            </w:tblPr>
            <w:tblGrid>
              <w:gridCol w:w="3828"/>
            </w:tblGrid>
            <w:tr w:rsidR="00EC0F3B" w:rsidRPr="00B71347" w14:paraId="20A0C23E" w14:textId="77777777" w:rsidTr="003425A9">
              <w:trPr>
                <w:trHeight w:val="3640"/>
              </w:trPr>
              <w:tc>
                <w:tcPr>
                  <w:tcW w:w="3828" w:type="dxa"/>
                  <w:tcBorders>
                    <w:top w:val="nil"/>
                    <w:left w:val="nil"/>
                    <w:right w:val="nil"/>
                  </w:tcBorders>
                  <w:shd w:val="clear" w:color="auto" w:fill="auto"/>
                  <w:vAlign w:val="center"/>
                  <w:hideMark/>
                </w:tcPr>
                <w:p w14:paraId="4BD11549"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High level of education of BSB </w:t>
                  </w:r>
                  <w:proofErr w:type="spellStart"/>
                  <w:r w:rsidRPr="00682784">
                    <w:rPr>
                      <w:rFonts w:eastAsia="Times New Roman" w:cs="Times New Roman"/>
                      <w:color w:val="000000"/>
                      <w:sz w:val="22"/>
                      <w:szCs w:val="22"/>
                      <w:lang w:val="en-GB"/>
                    </w:rPr>
                    <w:t>worforce</w:t>
                  </w:r>
                  <w:proofErr w:type="spellEnd"/>
                  <w:r w:rsidRPr="00682784">
                    <w:rPr>
                      <w:rFonts w:eastAsia="Times New Roman" w:cs="Times New Roman"/>
                      <w:color w:val="000000"/>
                      <w:sz w:val="22"/>
                      <w:szCs w:val="22"/>
                      <w:lang w:val="en-GB"/>
                    </w:rPr>
                    <w:t xml:space="preserve"> overall</w:t>
                  </w:r>
                </w:p>
                <w:p w14:paraId="2F2A8237"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Gap in average wages among the BSB areas has considerably reduced</w:t>
                  </w:r>
                </w:p>
                <w:p w14:paraId="0CD232A7"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Large numbers of universities and research </w:t>
                  </w:r>
                  <w:proofErr w:type="spellStart"/>
                  <w:r w:rsidRPr="00682784">
                    <w:rPr>
                      <w:rFonts w:eastAsia="Times New Roman" w:cs="Times New Roman"/>
                      <w:color w:val="000000"/>
                      <w:sz w:val="22"/>
                      <w:szCs w:val="22"/>
                      <w:lang w:val="en-GB"/>
                    </w:rPr>
                    <w:t>centers</w:t>
                  </w:r>
                  <w:proofErr w:type="spellEnd"/>
                </w:p>
                <w:p w14:paraId="76EDECC2"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Collaborative work on marine environment notably involves 43 research centres and universities in Black Sea riparian countries </w:t>
                  </w:r>
                </w:p>
              </w:tc>
            </w:tr>
          </w:tbl>
          <w:p w14:paraId="5248906D" w14:textId="77777777" w:rsidR="00EC0F3B" w:rsidRPr="00682784" w:rsidRDefault="00EC0F3B" w:rsidP="00EC0F3B">
            <w:pPr>
              <w:pStyle w:val="ListParagraph"/>
              <w:rPr>
                <w:b w:val="0"/>
                <w:sz w:val="22"/>
                <w:szCs w:val="22"/>
                <w:lang w:val="en-GB"/>
              </w:rPr>
            </w:pPr>
          </w:p>
        </w:tc>
        <w:tc>
          <w:tcPr>
            <w:tcW w:w="6946" w:type="dxa"/>
            <w:tcBorders>
              <w:left w:val="single" w:sz="4" w:space="0" w:color="983620" w:themeColor="accent2"/>
            </w:tcBorders>
            <w:hideMark/>
          </w:tcPr>
          <w:tbl>
            <w:tblPr>
              <w:tblW w:w="6696" w:type="dxa"/>
              <w:tblLayout w:type="fixed"/>
              <w:tblCellMar>
                <w:left w:w="70" w:type="dxa"/>
                <w:right w:w="70" w:type="dxa"/>
              </w:tblCellMar>
              <w:tblLook w:val="04A0" w:firstRow="1" w:lastRow="0" w:firstColumn="1" w:lastColumn="0" w:noHBand="0" w:noVBand="1"/>
            </w:tblPr>
            <w:tblGrid>
              <w:gridCol w:w="6696"/>
            </w:tblGrid>
            <w:tr w:rsidR="00EC0F3B" w:rsidRPr="00B71347" w14:paraId="112ADE85" w14:textId="77777777" w:rsidTr="000C49D0">
              <w:trPr>
                <w:trHeight w:val="4024"/>
              </w:trPr>
              <w:tc>
                <w:tcPr>
                  <w:tcW w:w="6696" w:type="dxa"/>
                  <w:tcBorders>
                    <w:top w:val="nil"/>
                    <w:right w:val="nil"/>
                  </w:tcBorders>
                  <w:shd w:val="clear" w:color="auto" w:fill="auto"/>
                  <w:vAlign w:val="center"/>
                  <w:hideMark/>
                </w:tcPr>
                <w:p w14:paraId="44D97F83"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Great regional disparities of levels of education </w:t>
                  </w:r>
                </w:p>
                <w:p w14:paraId="66FD9D3A"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Education systems challenge </w:t>
                  </w:r>
                  <w:r w:rsidR="00E516C4" w:rsidRPr="00682784">
                    <w:rPr>
                      <w:rFonts w:eastAsia="Times New Roman" w:cs="Times New Roman"/>
                      <w:color w:val="000000"/>
                      <w:sz w:val="22"/>
                      <w:szCs w:val="22"/>
                      <w:lang w:val="en-GB"/>
                    </w:rPr>
                    <w:t>to adapt</w:t>
                  </w:r>
                  <w:r w:rsidRPr="00682784">
                    <w:rPr>
                      <w:rFonts w:eastAsia="Times New Roman" w:cs="Times New Roman"/>
                      <w:color w:val="000000"/>
                      <w:sz w:val="22"/>
                      <w:szCs w:val="22"/>
                      <w:lang w:val="en-GB"/>
                    </w:rPr>
                    <w:t xml:space="preserve"> their training to match the changing needs of the economy </w:t>
                  </w:r>
                </w:p>
                <w:p w14:paraId="2A85B5B4"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Wage and salary earners only represent around 40% of all workers in Georgia and Azerbaijan (majority is self-employed, mostly in low-productive agriculture or small-scale informal activities)</w:t>
                  </w:r>
                </w:p>
                <w:p w14:paraId="669888FD"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Armenia, Georgia, both Greek regions and the Bulgarian region of </w:t>
                  </w:r>
                  <w:proofErr w:type="spellStart"/>
                  <w:r w:rsidRPr="00682784">
                    <w:rPr>
                      <w:rFonts w:eastAsia="Times New Roman" w:cs="Times New Roman"/>
                      <w:color w:val="000000"/>
                      <w:sz w:val="22"/>
                      <w:szCs w:val="22"/>
                      <w:lang w:val="en-GB"/>
                    </w:rPr>
                    <w:t>Zeveroiztochen</w:t>
                  </w:r>
                  <w:proofErr w:type="spellEnd"/>
                  <w:r w:rsidRPr="00682784">
                    <w:rPr>
                      <w:rFonts w:eastAsia="Times New Roman" w:cs="Times New Roman"/>
                      <w:color w:val="000000"/>
                      <w:sz w:val="22"/>
                      <w:szCs w:val="22"/>
                      <w:lang w:val="en-GB"/>
                    </w:rPr>
                    <w:t xml:space="preserve"> h</w:t>
                  </w:r>
                  <w:r w:rsidR="00052CA2" w:rsidRPr="00682784">
                    <w:rPr>
                      <w:rFonts w:eastAsia="Times New Roman" w:cs="Times New Roman"/>
                      <w:color w:val="000000"/>
                      <w:sz w:val="22"/>
                      <w:szCs w:val="22"/>
                      <w:lang w:val="en-GB"/>
                    </w:rPr>
                    <w:t xml:space="preserve">ave unemployment rates of above </w:t>
                  </w:r>
                  <w:r w:rsidRPr="00682784">
                    <w:rPr>
                      <w:rFonts w:eastAsia="Times New Roman" w:cs="Times New Roman"/>
                      <w:color w:val="000000"/>
                      <w:sz w:val="22"/>
                      <w:szCs w:val="22"/>
                      <w:lang w:val="en-GB"/>
                    </w:rPr>
                    <w:t>15%</w:t>
                  </w:r>
                </w:p>
                <w:p w14:paraId="04CC4082"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Youth unemployment is a particularly acute issue, reaching 24% on average</w:t>
                  </w:r>
                </w:p>
                <w:p w14:paraId="2AD3729A"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Female une</w:t>
                  </w:r>
                  <w:r w:rsidR="00052CA2" w:rsidRPr="00682784">
                    <w:rPr>
                      <w:rFonts w:eastAsia="Times New Roman" w:cs="Times New Roman"/>
                      <w:color w:val="000000"/>
                      <w:sz w:val="22"/>
                      <w:szCs w:val="22"/>
                      <w:lang w:val="en-GB"/>
                    </w:rPr>
                    <w:t xml:space="preserve">mployment is higher in Armenia, </w:t>
                  </w:r>
                  <w:r w:rsidRPr="00682784">
                    <w:rPr>
                      <w:rFonts w:eastAsia="Times New Roman" w:cs="Times New Roman"/>
                      <w:color w:val="000000"/>
                      <w:sz w:val="22"/>
                      <w:szCs w:val="22"/>
                      <w:lang w:val="en-GB"/>
                    </w:rPr>
                    <w:t>Azerbaijan, Greece and most Turkish regions</w:t>
                  </w:r>
                </w:p>
                <w:p w14:paraId="0CE03A57" w14:textId="77777777" w:rsidR="00EC0F3B" w:rsidRPr="00682784" w:rsidRDefault="00EC0F3B" w:rsidP="0028075A">
                  <w:pPr>
                    <w:pStyle w:val="ListParagraph"/>
                    <w:numPr>
                      <w:ilvl w:val="0"/>
                      <w:numId w:val="34"/>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Rather low research and development expenditures</w:t>
                  </w:r>
                </w:p>
              </w:tc>
            </w:tr>
          </w:tbl>
          <w:p w14:paraId="34A74FA9" w14:textId="77777777" w:rsidR="00EC0F3B" w:rsidRPr="00682784" w:rsidRDefault="00EC0F3B" w:rsidP="00EC0F3B">
            <w:pPr>
              <w:pStyle w:val="ListParagraph"/>
              <w:cnfStyle w:val="000000000000" w:firstRow="0" w:lastRow="0" w:firstColumn="0" w:lastColumn="0" w:oddVBand="0" w:evenVBand="0" w:oddHBand="0" w:evenHBand="0" w:firstRowFirstColumn="0" w:firstRowLastColumn="0" w:lastRowFirstColumn="0" w:lastRowLastColumn="0"/>
              <w:rPr>
                <w:sz w:val="22"/>
                <w:szCs w:val="22"/>
                <w:lang w:val="en-GB"/>
              </w:rPr>
            </w:pPr>
          </w:p>
        </w:tc>
      </w:tr>
      <w:tr w:rsidR="003425A9" w:rsidRPr="00BC2A16" w14:paraId="09A0EE40"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077" w:type="dxa"/>
            <w:tcBorders>
              <w:right w:val="single" w:sz="4" w:space="0" w:color="983620" w:themeColor="accent2"/>
            </w:tcBorders>
            <w:shd w:val="clear" w:color="auto" w:fill="A6A6A6" w:themeFill="background1" w:themeFillShade="A6"/>
            <w:noWrap/>
            <w:hideMark/>
          </w:tcPr>
          <w:p w14:paraId="6F8338C7" w14:textId="77777777" w:rsidR="00EC0F3B" w:rsidRPr="00BC2A16" w:rsidRDefault="00EC0F3B" w:rsidP="002F1780">
            <w:pPr>
              <w:jc w:val="center"/>
              <w:rPr>
                <w:sz w:val="22"/>
                <w:szCs w:val="22"/>
              </w:rPr>
            </w:pPr>
            <w:r w:rsidRPr="00BC2A16">
              <w:rPr>
                <w:sz w:val="22"/>
                <w:szCs w:val="22"/>
              </w:rPr>
              <w:t>OPPORTUNITIES</w:t>
            </w:r>
          </w:p>
        </w:tc>
        <w:tc>
          <w:tcPr>
            <w:tcW w:w="6946" w:type="dxa"/>
            <w:tcBorders>
              <w:left w:val="single" w:sz="4" w:space="0" w:color="983620" w:themeColor="accent2"/>
              <w:right w:val="single" w:sz="18" w:space="0" w:color="983620" w:themeColor="accent2"/>
            </w:tcBorders>
            <w:shd w:val="clear" w:color="auto" w:fill="A6A6A6" w:themeFill="background1" w:themeFillShade="A6"/>
            <w:hideMark/>
          </w:tcPr>
          <w:p w14:paraId="18261FDC" w14:textId="77777777" w:rsidR="00EC0F3B" w:rsidRPr="00BC2A16" w:rsidRDefault="00EC0F3B" w:rsidP="002F178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BC2A16">
              <w:rPr>
                <w:b/>
                <w:sz w:val="22"/>
                <w:szCs w:val="22"/>
              </w:rPr>
              <w:t>THREATS</w:t>
            </w:r>
          </w:p>
        </w:tc>
      </w:tr>
      <w:tr w:rsidR="003425A9" w:rsidRPr="00B71347" w14:paraId="3F232B1B" w14:textId="77777777" w:rsidTr="000C49D0">
        <w:trPr>
          <w:trHeight w:val="1076"/>
        </w:trPr>
        <w:tc>
          <w:tcPr>
            <w:cnfStyle w:val="001000000000" w:firstRow="0" w:lastRow="0" w:firstColumn="1" w:lastColumn="0" w:oddVBand="0" w:evenVBand="0" w:oddHBand="0" w:evenHBand="0" w:firstRowFirstColumn="0" w:firstRowLastColumn="0" w:lastRowFirstColumn="0" w:lastRowLastColumn="0"/>
            <w:tcW w:w="4077" w:type="dxa"/>
            <w:tcBorders>
              <w:right w:val="single" w:sz="4" w:space="0" w:color="983620" w:themeColor="accent2"/>
            </w:tcBorders>
            <w:hideMark/>
          </w:tcPr>
          <w:p w14:paraId="7DE0D0FB" w14:textId="77777777" w:rsidR="00EC0F3B" w:rsidRPr="00682784" w:rsidRDefault="00824166" w:rsidP="0028075A">
            <w:pPr>
              <w:pStyle w:val="ListParagraph"/>
              <w:numPr>
                <w:ilvl w:val="0"/>
                <w:numId w:val="34"/>
              </w:numPr>
              <w:spacing w:after="120"/>
              <w:ind w:left="714" w:hanging="357"/>
              <w:rPr>
                <w:rFonts w:eastAsia="Times New Roman" w:cs="Times New Roman"/>
                <w:b w:val="0"/>
                <w:color w:val="000000"/>
                <w:sz w:val="22"/>
                <w:szCs w:val="22"/>
                <w:lang w:val="en-GB"/>
              </w:rPr>
            </w:pPr>
            <w:r w:rsidRPr="00682784">
              <w:rPr>
                <w:rFonts w:eastAsia="Times New Roman" w:cs="Times New Roman"/>
                <w:b w:val="0"/>
                <w:color w:val="000000"/>
                <w:sz w:val="22"/>
                <w:szCs w:val="22"/>
                <w:lang w:val="en-GB"/>
              </w:rPr>
              <w:t>Research and networking in science and technology variety of European and Black Sea initiatives and organisations (especially in maritime, environmental, energy and transport areas)</w:t>
            </w:r>
          </w:p>
        </w:tc>
        <w:tc>
          <w:tcPr>
            <w:tcW w:w="6946" w:type="dxa"/>
            <w:tcBorders>
              <w:left w:val="single" w:sz="4" w:space="0" w:color="983620" w:themeColor="accent2"/>
            </w:tcBorders>
            <w:hideMark/>
          </w:tcPr>
          <w:p w14:paraId="34BE352E" w14:textId="77777777" w:rsidR="00824166" w:rsidRPr="00682784" w:rsidRDefault="00824166" w:rsidP="0028075A">
            <w:pPr>
              <w:pStyle w:val="ListParagraph"/>
              <w:numPr>
                <w:ilvl w:val="0"/>
                <w:numId w:val="34"/>
              </w:numPr>
              <w:spacing w:after="120"/>
              <w:ind w:left="714" w:hanging="357"/>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val="en-GB"/>
              </w:rPr>
            </w:pPr>
            <w:r w:rsidRPr="00682784">
              <w:rPr>
                <w:rFonts w:eastAsia="Times New Roman" w:cs="Times New Roman"/>
                <w:color w:val="000000"/>
                <w:sz w:val="22"/>
                <w:szCs w:val="22"/>
                <w:lang w:val="en-GB"/>
              </w:rPr>
              <w:t>Brain drain from the region (incl. brain waste - highly educated migrants working in low-skill jobs)</w:t>
            </w:r>
          </w:p>
          <w:p w14:paraId="000AF344" w14:textId="77777777" w:rsidR="00EC0F3B" w:rsidRPr="00682784" w:rsidRDefault="00EC0F3B" w:rsidP="00824166">
            <w:pPr>
              <w:cnfStyle w:val="000000000000" w:firstRow="0" w:lastRow="0" w:firstColumn="0" w:lastColumn="0" w:oddVBand="0" w:evenVBand="0" w:oddHBand="0" w:evenHBand="0" w:firstRowFirstColumn="0" w:firstRowLastColumn="0" w:lastRowFirstColumn="0" w:lastRowLastColumn="0"/>
              <w:rPr>
                <w:sz w:val="22"/>
                <w:szCs w:val="22"/>
                <w:lang w:val="en-GB"/>
              </w:rPr>
            </w:pPr>
          </w:p>
        </w:tc>
      </w:tr>
    </w:tbl>
    <w:p w14:paraId="43397583" w14:textId="77777777" w:rsidR="00EC0F3B" w:rsidRPr="004B58D3" w:rsidRDefault="00EC0F3B" w:rsidP="00D16147">
      <w:pPr>
        <w:spacing w:before="120" w:after="0" w:line="252" w:lineRule="auto"/>
        <w:jc w:val="both"/>
        <w:rPr>
          <w:sz w:val="22"/>
          <w:szCs w:val="22"/>
          <w:lang w:val="en-GB"/>
        </w:rPr>
      </w:pPr>
    </w:p>
    <w:p w14:paraId="0E5E0DBE" w14:textId="77777777" w:rsidR="00D16147" w:rsidRPr="006E3288" w:rsidRDefault="002B5D28" w:rsidP="006E3288">
      <w:pPr>
        <w:pStyle w:val="Heading3"/>
        <w:rPr>
          <w:b/>
          <w:sz w:val="28"/>
          <w:szCs w:val="28"/>
          <w:lang w:val="en-GB"/>
        </w:rPr>
      </w:pPr>
      <w:bookmarkStart w:id="35" w:name="_Toc246127432"/>
      <w:bookmarkStart w:id="36" w:name="_Toc423436276"/>
      <w:r>
        <w:rPr>
          <w:b/>
          <w:sz w:val="28"/>
          <w:szCs w:val="28"/>
          <w:lang w:val="en-GB"/>
        </w:rPr>
        <w:t xml:space="preserve">3.4 </w:t>
      </w:r>
      <w:r w:rsidR="00D16147" w:rsidRPr="006E3288">
        <w:rPr>
          <w:b/>
          <w:sz w:val="28"/>
          <w:szCs w:val="28"/>
          <w:lang w:val="en-GB"/>
        </w:rPr>
        <w:t>Environment</w:t>
      </w:r>
      <w:bookmarkEnd w:id="35"/>
      <w:bookmarkEnd w:id="36"/>
    </w:p>
    <w:p w14:paraId="4941DBC2" w14:textId="77777777" w:rsidR="00D16147" w:rsidRPr="000D36B6" w:rsidRDefault="00D16147" w:rsidP="000D36B6">
      <w:pPr>
        <w:spacing w:before="240" w:after="120"/>
        <w:rPr>
          <w:b/>
          <w:lang w:val="en-GB"/>
        </w:rPr>
      </w:pPr>
      <w:bookmarkStart w:id="37" w:name="_Toc246127433"/>
      <w:r w:rsidRPr="000D36B6">
        <w:rPr>
          <w:b/>
          <w:lang w:val="en-GB"/>
        </w:rPr>
        <w:t>Overview of Black Sea Basin key environmental challenges</w:t>
      </w:r>
      <w:bookmarkEnd w:id="37"/>
      <w:r w:rsidRPr="000D36B6">
        <w:rPr>
          <w:b/>
          <w:lang w:val="en-GB"/>
        </w:rPr>
        <w:t xml:space="preserve"> </w:t>
      </w:r>
    </w:p>
    <w:p w14:paraId="7E9881FB"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The Black Sea Basin environment is of paramount importance both in terms of regional development and of quality of life for its inhabitants. The Black Sea ecosystem is known to be rich and diverse but is also considered to be vulnerable as it experiences notably significant pressure from land-based pollution, through its large catchment area including the Azov Sea and three main river basins, the Danube, the Dnipro and the Don.</w:t>
      </w:r>
    </w:p>
    <w:p w14:paraId="050E7FC5" w14:textId="3957903B" w:rsidR="00092BFD" w:rsidRDefault="00D16147" w:rsidP="00092BFD">
      <w:pPr>
        <w:spacing w:before="120" w:after="0" w:line="252" w:lineRule="auto"/>
        <w:jc w:val="both"/>
        <w:rPr>
          <w:sz w:val="22"/>
          <w:szCs w:val="22"/>
          <w:lang w:val="en-GB"/>
        </w:rPr>
      </w:pPr>
      <w:r w:rsidRPr="004B58D3">
        <w:rPr>
          <w:sz w:val="22"/>
          <w:szCs w:val="22"/>
          <w:lang w:val="en-GB"/>
        </w:rPr>
        <w:t>Inflows make the Black Sea very prone to eutrophication, a phenomenon made worse by the urban (sewage) and mostly agricultural discharges carried by the rivers and by direct discharges from numerable coastal ports, industrial zones and urb</w:t>
      </w:r>
      <w:r w:rsidR="00BB2CEF">
        <w:rPr>
          <w:sz w:val="22"/>
          <w:szCs w:val="22"/>
          <w:lang w:val="en-GB"/>
        </w:rPr>
        <w:t xml:space="preserve">an areas. </w:t>
      </w:r>
      <w:r w:rsidR="00BB2CEF" w:rsidRPr="00BB2CEF">
        <w:rPr>
          <w:sz w:val="22"/>
          <w:szCs w:val="22"/>
          <w:lang w:val="en-GB"/>
        </w:rPr>
        <w:t xml:space="preserve">A semi-closed sea, it </w:t>
      </w:r>
      <w:r w:rsidR="00D81DF6">
        <w:rPr>
          <w:sz w:val="22"/>
          <w:szCs w:val="22"/>
          <w:lang w:val="en-GB"/>
        </w:rPr>
        <w:t xml:space="preserve">has a </w:t>
      </w:r>
      <w:r w:rsidR="00BB2CEF" w:rsidRPr="00BB2CEF">
        <w:rPr>
          <w:sz w:val="22"/>
          <w:szCs w:val="22"/>
          <w:lang w:val="en-GB"/>
        </w:rPr>
        <w:t>low renewal rate</w:t>
      </w:r>
      <w:r w:rsidRPr="004B58D3">
        <w:rPr>
          <w:sz w:val="22"/>
          <w:szCs w:val="22"/>
          <w:lang w:val="en-GB"/>
        </w:rPr>
        <w:t xml:space="preserve">. In the coming years nutrient </w:t>
      </w:r>
      <w:r w:rsidRPr="004B58D3">
        <w:rPr>
          <w:sz w:val="22"/>
          <w:szCs w:val="22"/>
          <w:lang w:val="en-GB"/>
        </w:rPr>
        <w:lastRenderedPageBreak/>
        <w:t>pollution is likely to continue to decrease in the Danube Basin due to the implementation of EU environmental policy, but the Don and Dnipro may continue to carry heavy nutrient loads into the southwestern part of the coast, leading to the whole Black Sea ecosystem being further endangered if necessary efforts and cooperation are not undertaken at the level of t</w:t>
      </w:r>
      <w:r w:rsidR="008D26F4">
        <w:rPr>
          <w:sz w:val="22"/>
          <w:szCs w:val="22"/>
          <w:lang w:val="en-GB"/>
        </w:rPr>
        <w:t>he Black Sea Basin overall</w:t>
      </w:r>
      <w:r w:rsidRPr="006E06D1">
        <w:rPr>
          <w:rStyle w:val="EndnoteReference"/>
          <w:sz w:val="22"/>
          <w:szCs w:val="22"/>
        </w:rPr>
        <w:endnoteReference w:id="71"/>
      </w:r>
      <w:r w:rsidRPr="004B58D3">
        <w:rPr>
          <w:sz w:val="22"/>
          <w:szCs w:val="22"/>
          <w:lang w:val="en-GB"/>
        </w:rPr>
        <w:t>.</w:t>
      </w:r>
    </w:p>
    <w:p w14:paraId="1BFD2DDF" w14:textId="1CADE64A" w:rsidR="00D16147" w:rsidRPr="004B58D3" w:rsidRDefault="00D16147" w:rsidP="00092BFD">
      <w:pPr>
        <w:spacing w:before="120" w:after="0" w:line="252" w:lineRule="auto"/>
        <w:jc w:val="both"/>
        <w:rPr>
          <w:sz w:val="22"/>
          <w:szCs w:val="22"/>
          <w:lang w:val="en-GB"/>
        </w:rPr>
      </w:pPr>
      <w:r w:rsidRPr="004B58D3">
        <w:rPr>
          <w:sz w:val="22"/>
          <w:szCs w:val="22"/>
          <w:lang w:val="en-GB"/>
        </w:rPr>
        <w:t xml:space="preserve">In addition to eutrophication, other high priority transboundary ecological problems around the Black Sea include the decline in living resources (mostly fish stocks), chemical pollution, biodiversity change, </w:t>
      </w:r>
      <w:proofErr w:type="gramStart"/>
      <w:r w:rsidRPr="004B58D3">
        <w:rPr>
          <w:sz w:val="22"/>
          <w:szCs w:val="22"/>
          <w:lang w:val="en-GB"/>
        </w:rPr>
        <w:t>habitat</w:t>
      </w:r>
      <w:proofErr w:type="gramEnd"/>
      <w:r w:rsidRPr="004B58D3">
        <w:rPr>
          <w:sz w:val="22"/>
          <w:szCs w:val="22"/>
          <w:lang w:val="en-GB"/>
        </w:rPr>
        <w:t xml:space="preserve"> destruction, invasion by alien species, climate-change impacts, and mesoscale variability in the circulation system. Oil pollution enters the sea as a result of operational discharges by vessels and due to accidents as well as through land-based sources, and appears to be an ongoing concern in particular along major shipping routes and ports </w:t>
      </w:r>
      <w:r w:rsidR="00E16CE7">
        <w:rPr>
          <w:sz w:val="22"/>
          <w:szCs w:val="22"/>
          <w:lang w:val="en-GB"/>
        </w:rPr>
        <w:t>(see figure 16</w:t>
      </w:r>
      <w:r w:rsidRPr="004B58D3">
        <w:rPr>
          <w:sz w:val="22"/>
          <w:szCs w:val="22"/>
          <w:lang w:val="en-GB"/>
        </w:rPr>
        <w:t xml:space="preserve"> below). Discharge of insufficiently treated sewage introduced microbiological contaminants into the Black Sea and posed a threat to human health, development of sustainable tourism a</w:t>
      </w:r>
      <w:r w:rsidR="008D760C">
        <w:rPr>
          <w:sz w:val="22"/>
          <w:szCs w:val="22"/>
          <w:lang w:val="en-GB"/>
        </w:rPr>
        <w:t>nd aquaculture. The Black Sea i</w:t>
      </w:r>
      <w:r w:rsidRPr="004B58D3">
        <w:rPr>
          <w:sz w:val="22"/>
          <w:szCs w:val="22"/>
          <w:lang w:val="en-GB"/>
        </w:rPr>
        <w:t>s also particularly vulnerable to solid wastes dumped into the sea from ships and coastal towns (eventually washed ashore) and some beaches have had a high accumulation of garbage presenting a risk to marine animals and humans</w:t>
      </w:r>
      <w:r w:rsidRPr="006E06D1">
        <w:rPr>
          <w:rStyle w:val="EndnoteReference"/>
          <w:sz w:val="22"/>
          <w:szCs w:val="22"/>
        </w:rPr>
        <w:endnoteReference w:id="72"/>
      </w:r>
      <w:r w:rsidRPr="004B58D3">
        <w:rPr>
          <w:sz w:val="22"/>
          <w:szCs w:val="22"/>
          <w:lang w:val="en-GB"/>
        </w:rPr>
        <w:t>.</w:t>
      </w:r>
    </w:p>
    <w:p w14:paraId="5AD58845" w14:textId="77777777" w:rsidR="00D16147" w:rsidRDefault="00D16147" w:rsidP="00D16147">
      <w:pPr>
        <w:keepNext/>
        <w:widowControl w:val="0"/>
        <w:autoSpaceDE w:val="0"/>
        <w:autoSpaceDN w:val="0"/>
        <w:adjustRightInd w:val="0"/>
        <w:spacing w:before="120" w:after="0" w:line="252" w:lineRule="auto"/>
      </w:pPr>
      <w:r>
        <w:rPr>
          <w:rFonts w:ascii="Helvetica" w:hAnsi="Helvetica" w:cs="Helvetica"/>
          <w:noProof/>
          <w:lang w:val="en-GB" w:eastAsia="en-GB"/>
        </w:rPr>
        <w:drawing>
          <wp:inline distT="0" distB="0" distL="0" distR="0" wp14:anchorId="14C54C6C" wp14:editId="70118AD9">
            <wp:extent cx="5372100" cy="318148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3130" cy="3182090"/>
                    </a:xfrm>
                    <a:prstGeom prst="rect">
                      <a:avLst/>
                    </a:prstGeom>
                    <a:noFill/>
                    <a:ln>
                      <a:noFill/>
                    </a:ln>
                  </pic:spPr>
                </pic:pic>
              </a:graphicData>
            </a:graphic>
          </wp:inline>
        </w:drawing>
      </w:r>
    </w:p>
    <w:p w14:paraId="4CD9AB1D" w14:textId="13094C46" w:rsidR="00D16147" w:rsidRPr="004B58D3" w:rsidRDefault="00D16147" w:rsidP="005A12B9">
      <w:pPr>
        <w:pStyle w:val="Caption"/>
        <w:spacing w:after="0"/>
        <w:jc w:val="left"/>
        <w:rPr>
          <w:sz w:val="22"/>
          <w:szCs w:val="22"/>
          <w:lang w:val="en-GB"/>
        </w:rPr>
      </w:pPr>
      <w:proofErr w:type="gramStart"/>
      <w:r w:rsidRPr="004B58D3">
        <w:rPr>
          <w:sz w:val="22"/>
          <w:szCs w:val="22"/>
          <w:lang w:val="en-GB"/>
        </w:rPr>
        <w:t xml:space="preserve">Figure </w:t>
      </w:r>
      <w:r w:rsidR="00E16CE7">
        <w:rPr>
          <w:sz w:val="22"/>
          <w:szCs w:val="22"/>
          <w:lang w:val="en-GB"/>
        </w:rPr>
        <w:t>16</w:t>
      </w:r>
      <w:r w:rsidRPr="004B58D3">
        <w:rPr>
          <w:noProof/>
          <w:sz w:val="22"/>
          <w:szCs w:val="22"/>
          <w:lang w:val="en-GB"/>
        </w:rPr>
        <w:t>.</w:t>
      </w:r>
      <w:proofErr w:type="gramEnd"/>
      <w:r w:rsidRPr="004B58D3">
        <w:rPr>
          <w:sz w:val="22"/>
          <w:szCs w:val="22"/>
          <w:lang w:val="en-GB"/>
        </w:rPr>
        <w:t xml:space="preserve"> Composite map of oil spills anomalies (illicit vessel discharges) in the Black Sea during 2000-2004</w:t>
      </w:r>
      <w:r>
        <w:rPr>
          <w:rStyle w:val="EndnoteReference"/>
          <w:sz w:val="22"/>
          <w:szCs w:val="22"/>
        </w:rPr>
        <w:endnoteReference w:id="73"/>
      </w:r>
      <w:r w:rsidRPr="004B58D3">
        <w:rPr>
          <w:sz w:val="22"/>
          <w:szCs w:val="22"/>
          <w:lang w:val="en-GB"/>
        </w:rPr>
        <w:t>: the darker areas signify the high anomaly regions</w:t>
      </w:r>
    </w:p>
    <w:p w14:paraId="55864E87" w14:textId="77777777" w:rsidR="00D16147" w:rsidRPr="004B58D3" w:rsidRDefault="00D16147" w:rsidP="000C01ED">
      <w:pPr>
        <w:spacing w:before="240" w:after="0" w:line="252" w:lineRule="auto"/>
        <w:jc w:val="both"/>
        <w:rPr>
          <w:rStyle w:val="A5"/>
          <w:sz w:val="22"/>
          <w:szCs w:val="22"/>
          <w:lang w:val="en-GB"/>
        </w:rPr>
      </w:pPr>
      <w:r w:rsidRPr="004B58D3">
        <w:rPr>
          <w:rStyle w:val="A5"/>
          <w:sz w:val="22"/>
          <w:szCs w:val="22"/>
          <w:lang w:val="en-GB"/>
        </w:rPr>
        <w:t>Policy coordination on a range of issues including the management of marine resources, integrated coastal zone management, accidental pollution, pollution from ships and from land, hazardous substances, waste dumping and atmospheric pollution is carried out by the Black Sea Commission</w:t>
      </w:r>
      <w:r w:rsidRPr="006E06D1">
        <w:rPr>
          <w:rStyle w:val="FootnoteReference"/>
          <w:rFonts w:cs="Utopia Std"/>
          <w:color w:val="000000"/>
          <w:sz w:val="22"/>
          <w:szCs w:val="22"/>
        </w:rPr>
        <w:footnoteReference w:id="38"/>
      </w:r>
      <w:r w:rsidRPr="004B58D3">
        <w:rPr>
          <w:rStyle w:val="A5"/>
          <w:sz w:val="22"/>
          <w:szCs w:val="22"/>
          <w:lang w:val="en-GB"/>
        </w:rPr>
        <w:t xml:space="preserve"> (BSC). The BSC also carries out monitoring of oil pollution (with support from the EU</w:t>
      </w:r>
      <w:r w:rsidRPr="006E06D1">
        <w:rPr>
          <w:rStyle w:val="FootnoteReference"/>
          <w:rFonts w:cs="Utopia Std"/>
          <w:color w:val="000000"/>
          <w:sz w:val="22"/>
          <w:szCs w:val="22"/>
        </w:rPr>
        <w:footnoteReference w:id="39"/>
      </w:r>
      <w:r w:rsidRPr="004B58D3">
        <w:rPr>
          <w:rStyle w:val="A5"/>
          <w:sz w:val="22"/>
          <w:szCs w:val="22"/>
          <w:lang w:val="en-GB"/>
        </w:rPr>
        <w:t xml:space="preserve">) and international practical exercises for oil spill preparedness. </w:t>
      </w:r>
    </w:p>
    <w:p w14:paraId="1C7F6677" w14:textId="1D3754A8" w:rsidR="00093F8C" w:rsidRPr="00093F8C" w:rsidRDefault="00D16147" w:rsidP="000C01ED">
      <w:pPr>
        <w:spacing w:before="120" w:after="0" w:line="252" w:lineRule="auto"/>
        <w:jc w:val="both"/>
        <w:rPr>
          <w:rFonts w:cs="Utopia Std"/>
          <w:color w:val="000000"/>
          <w:sz w:val="22"/>
          <w:szCs w:val="22"/>
          <w:lang w:val="en-GB"/>
        </w:rPr>
      </w:pPr>
      <w:r w:rsidRPr="004B58D3">
        <w:rPr>
          <w:rStyle w:val="A5"/>
          <w:sz w:val="22"/>
          <w:szCs w:val="22"/>
          <w:lang w:val="en-GB"/>
        </w:rPr>
        <w:t>The</w:t>
      </w:r>
      <w:r w:rsidRPr="004B58D3">
        <w:rPr>
          <w:sz w:val="22"/>
          <w:szCs w:val="22"/>
          <w:lang w:val="en-GB"/>
        </w:rPr>
        <w:t xml:space="preserve"> importance of the </w:t>
      </w:r>
      <w:proofErr w:type="spellStart"/>
      <w:r w:rsidRPr="004B58D3">
        <w:rPr>
          <w:sz w:val="22"/>
          <w:szCs w:val="22"/>
          <w:lang w:val="en-GB"/>
        </w:rPr>
        <w:t>environnement</w:t>
      </w:r>
      <w:proofErr w:type="spellEnd"/>
      <w:r w:rsidRPr="004B58D3">
        <w:rPr>
          <w:sz w:val="22"/>
          <w:szCs w:val="22"/>
          <w:lang w:val="en-GB"/>
        </w:rPr>
        <w:t xml:space="preserve"> as a key challenge for the Black Sea Basin cooperation area is further emphasized by the </w:t>
      </w:r>
      <w:proofErr w:type="spellStart"/>
      <w:r w:rsidRPr="004B58D3">
        <w:rPr>
          <w:sz w:val="22"/>
          <w:szCs w:val="22"/>
          <w:lang w:val="en-GB"/>
        </w:rPr>
        <w:t>Environnement</w:t>
      </w:r>
      <w:proofErr w:type="spellEnd"/>
      <w:r w:rsidRPr="004B58D3">
        <w:rPr>
          <w:sz w:val="22"/>
          <w:szCs w:val="22"/>
          <w:lang w:val="en-GB"/>
        </w:rPr>
        <w:t xml:space="preserve"> Partnership of the Black Sea Synergy launched in March 2010.</w:t>
      </w:r>
      <w:bookmarkStart w:id="38" w:name="_Toc246127434"/>
    </w:p>
    <w:p w14:paraId="5E8A9967" w14:textId="1D3754A8" w:rsidR="00D16147" w:rsidRPr="00093F8C" w:rsidRDefault="00D16147" w:rsidP="000D36B6">
      <w:pPr>
        <w:spacing w:before="240" w:after="120"/>
        <w:rPr>
          <w:b/>
          <w:lang w:val="en-GB"/>
        </w:rPr>
      </w:pPr>
      <w:r w:rsidRPr="00093F8C">
        <w:rPr>
          <w:b/>
          <w:lang w:val="en-GB"/>
        </w:rPr>
        <w:lastRenderedPageBreak/>
        <w:t>Protected natural areas</w:t>
      </w:r>
      <w:bookmarkEnd w:id="38"/>
      <w:r w:rsidRPr="00093F8C">
        <w:rPr>
          <w:b/>
          <w:lang w:val="en-GB"/>
        </w:rPr>
        <w:t xml:space="preserve"> </w:t>
      </w:r>
    </w:p>
    <w:p w14:paraId="062BEAC6" w14:textId="009EBEB9" w:rsidR="00D16147" w:rsidRPr="006E06D1" w:rsidRDefault="00D16147" w:rsidP="00D16147">
      <w:pPr>
        <w:spacing w:after="120" w:line="252" w:lineRule="auto"/>
        <w:jc w:val="both"/>
        <w:rPr>
          <w:sz w:val="22"/>
          <w:szCs w:val="22"/>
          <w:lang w:val="en-US"/>
        </w:rPr>
      </w:pPr>
      <w:r w:rsidRPr="004B58D3">
        <w:rPr>
          <w:rStyle w:val="A5"/>
          <w:sz w:val="22"/>
          <w:szCs w:val="22"/>
          <w:lang w:val="en-GB"/>
        </w:rPr>
        <w:t>There are more than twenty nature reserves in the Black S</w:t>
      </w:r>
      <w:r w:rsidR="009E1F96">
        <w:rPr>
          <w:rStyle w:val="A5"/>
          <w:sz w:val="22"/>
          <w:szCs w:val="22"/>
          <w:lang w:val="en-GB"/>
        </w:rPr>
        <w:t>ea and eight in the Sea of Azov. T</w:t>
      </w:r>
      <w:r w:rsidRPr="004B58D3">
        <w:rPr>
          <w:rStyle w:val="A5"/>
          <w:sz w:val="22"/>
          <w:szCs w:val="22"/>
          <w:lang w:val="en-GB"/>
        </w:rPr>
        <w:t xml:space="preserve">hese have different status at local, national and international levels </w:t>
      </w:r>
      <w:r w:rsidR="00E16CE7">
        <w:rPr>
          <w:rStyle w:val="A5"/>
          <w:sz w:val="22"/>
          <w:szCs w:val="22"/>
          <w:lang w:val="en-GB"/>
        </w:rPr>
        <w:t>(see figure 17</w:t>
      </w:r>
      <w:r w:rsidRPr="004B58D3">
        <w:rPr>
          <w:rStyle w:val="A5"/>
          <w:sz w:val="22"/>
          <w:szCs w:val="22"/>
          <w:lang w:val="en-GB"/>
        </w:rPr>
        <w:t xml:space="preserve"> below). The four UNESCO biosphere reserves of international status protected by identical legislation are </w:t>
      </w:r>
      <w:proofErr w:type="spellStart"/>
      <w:r w:rsidR="00D803B2" w:rsidRPr="00D803B2">
        <w:rPr>
          <w:rStyle w:val="A5"/>
          <w:sz w:val="22"/>
          <w:szCs w:val="22"/>
          <w:lang w:val="en-GB"/>
        </w:rPr>
        <w:t>Kamchia</w:t>
      </w:r>
      <w:proofErr w:type="spellEnd"/>
      <w:r w:rsidR="00D803B2" w:rsidRPr="00D803B2">
        <w:rPr>
          <w:rStyle w:val="A5"/>
          <w:sz w:val="22"/>
          <w:szCs w:val="22"/>
          <w:lang w:val="en-GB"/>
        </w:rPr>
        <w:t xml:space="preserve"> Biosphere Reserve</w:t>
      </w:r>
      <w:r w:rsidR="00D803B2">
        <w:rPr>
          <w:rStyle w:val="A5"/>
          <w:sz w:val="22"/>
          <w:szCs w:val="22"/>
          <w:lang w:val="en-GB"/>
        </w:rPr>
        <w:t xml:space="preserve"> </w:t>
      </w:r>
      <w:r w:rsidRPr="004B58D3">
        <w:rPr>
          <w:rStyle w:val="A5"/>
          <w:sz w:val="22"/>
          <w:szCs w:val="22"/>
          <w:lang w:val="en-GB"/>
        </w:rPr>
        <w:t xml:space="preserve">(Bulgaria), </w:t>
      </w:r>
      <w:proofErr w:type="spellStart"/>
      <w:r w:rsidRPr="004B58D3">
        <w:rPr>
          <w:rStyle w:val="A5"/>
          <w:sz w:val="22"/>
          <w:szCs w:val="22"/>
          <w:lang w:val="en-GB"/>
        </w:rPr>
        <w:t>Chernomorsky</w:t>
      </w:r>
      <w:proofErr w:type="spellEnd"/>
      <w:r w:rsidRPr="004B58D3">
        <w:rPr>
          <w:rStyle w:val="A5"/>
          <w:sz w:val="22"/>
          <w:szCs w:val="22"/>
          <w:lang w:val="en-GB"/>
        </w:rPr>
        <w:t xml:space="preserve"> (Ukraine), Danube Delta (Romania) and </w:t>
      </w:r>
      <w:proofErr w:type="spellStart"/>
      <w:r w:rsidRPr="004B58D3">
        <w:rPr>
          <w:rStyle w:val="A5"/>
          <w:sz w:val="22"/>
          <w:szCs w:val="22"/>
          <w:lang w:val="en-GB"/>
        </w:rPr>
        <w:t>Dunaisky</w:t>
      </w:r>
      <w:proofErr w:type="spellEnd"/>
      <w:r w:rsidRPr="004B58D3">
        <w:rPr>
          <w:rStyle w:val="A5"/>
          <w:sz w:val="22"/>
          <w:szCs w:val="22"/>
          <w:lang w:val="en-GB"/>
        </w:rPr>
        <w:t xml:space="preserve"> (Ukraine). All Black Sea countries have ratified the </w:t>
      </w:r>
      <w:proofErr w:type="spellStart"/>
      <w:r w:rsidRPr="004B58D3">
        <w:rPr>
          <w:rStyle w:val="A5"/>
          <w:sz w:val="22"/>
          <w:szCs w:val="22"/>
          <w:lang w:val="en-GB"/>
        </w:rPr>
        <w:t>Ramsar</w:t>
      </w:r>
      <w:proofErr w:type="spellEnd"/>
      <w:r w:rsidRPr="004B58D3">
        <w:rPr>
          <w:rStyle w:val="A5"/>
          <w:sz w:val="22"/>
          <w:szCs w:val="22"/>
          <w:lang w:val="en-GB"/>
        </w:rPr>
        <w:t xml:space="preserve"> Convention on Wetlands of International Importance</w:t>
      </w:r>
      <w:r>
        <w:rPr>
          <w:rStyle w:val="A5"/>
          <w:sz w:val="22"/>
          <w:szCs w:val="22"/>
          <w:lang w:val="en-GB"/>
        </w:rPr>
        <w:t xml:space="preserve"> and</w:t>
      </w:r>
      <w:r w:rsidRPr="004B58D3">
        <w:rPr>
          <w:rStyle w:val="A5"/>
          <w:sz w:val="22"/>
          <w:szCs w:val="22"/>
          <w:lang w:val="en-GB"/>
        </w:rPr>
        <w:t xml:space="preserve"> the largest protected area of this kind in the coastal zone of the sea is in Ukraine</w:t>
      </w:r>
      <w:r w:rsidRPr="006E06D1">
        <w:rPr>
          <w:rStyle w:val="A5"/>
          <w:sz w:val="22"/>
          <w:szCs w:val="22"/>
          <w:vertAlign w:val="superscript"/>
        </w:rPr>
        <w:endnoteReference w:id="74"/>
      </w:r>
      <w:r w:rsidRPr="004B58D3">
        <w:rPr>
          <w:rStyle w:val="A5"/>
          <w:sz w:val="22"/>
          <w:szCs w:val="22"/>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2302"/>
      </w:tblGrid>
      <w:tr w:rsidR="00D16147" w14:paraId="29DA74C1" w14:textId="77777777" w:rsidTr="008242B5">
        <w:tc>
          <w:tcPr>
            <w:tcW w:w="7515" w:type="dxa"/>
          </w:tcPr>
          <w:p w14:paraId="5DDA660D" w14:textId="77777777" w:rsidR="00D16147" w:rsidRDefault="00D16147" w:rsidP="008242B5">
            <w:pPr>
              <w:spacing w:before="120" w:line="252" w:lineRule="auto"/>
            </w:pPr>
            <w:r>
              <w:rPr>
                <w:noProof/>
                <w:lang w:val="en-GB" w:eastAsia="en-GB"/>
              </w:rPr>
              <w:drawing>
                <wp:inline distT="0" distB="0" distL="0" distR="0" wp14:anchorId="6C0888D6" wp14:editId="1E766A10">
                  <wp:extent cx="4799965" cy="2485390"/>
                  <wp:effectExtent l="0" t="0" r="635"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01316" cy="2486090"/>
                          </a:xfrm>
                          <a:prstGeom prst="rect">
                            <a:avLst/>
                          </a:prstGeom>
                          <a:noFill/>
                          <a:ln>
                            <a:noFill/>
                          </a:ln>
                        </pic:spPr>
                      </pic:pic>
                    </a:graphicData>
                  </a:graphic>
                </wp:inline>
              </w:drawing>
            </w:r>
          </w:p>
        </w:tc>
        <w:tc>
          <w:tcPr>
            <w:tcW w:w="2061" w:type="dxa"/>
          </w:tcPr>
          <w:p w14:paraId="1E89DC70" w14:textId="77777777" w:rsidR="00D16147" w:rsidRDefault="00D16147" w:rsidP="008242B5">
            <w:pPr>
              <w:spacing w:before="120" w:line="252" w:lineRule="auto"/>
            </w:pPr>
            <w:r>
              <w:rPr>
                <w:noProof/>
                <w:lang w:val="en-GB" w:eastAsia="en-GB"/>
              </w:rPr>
              <w:drawing>
                <wp:inline distT="0" distB="0" distL="0" distR="0" wp14:anchorId="3FCFA614" wp14:editId="1C2324EF">
                  <wp:extent cx="1324610" cy="226250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4610" cy="2262505"/>
                          </a:xfrm>
                          <a:prstGeom prst="rect">
                            <a:avLst/>
                          </a:prstGeom>
                          <a:noFill/>
                          <a:ln>
                            <a:noFill/>
                          </a:ln>
                        </pic:spPr>
                      </pic:pic>
                    </a:graphicData>
                  </a:graphic>
                </wp:inline>
              </w:drawing>
            </w:r>
          </w:p>
        </w:tc>
      </w:tr>
    </w:tbl>
    <w:p w14:paraId="3CBDCF34" w14:textId="68978145" w:rsidR="00D16147" w:rsidRPr="004B58D3"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E16CE7">
        <w:rPr>
          <w:sz w:val="22"/>
          <w:szCs w:val="22"/>
          <w:lang w:val="en-GB"/>
        </w:rPr>
        <w:t>17</w:t>
      </w:r>
      <w:r w:rsidRPr="004B58D3">
        <w:rPr>
          <w:noProof/>
          <w:sz w:val="22"/>
          <w:szCs w:val="22"/>
          <w:lang w:val="en-GB"/>
        </w:rPr>
        <w:t>.</w:t>
      </w:r>
      <w:proofErr w:type="gramEnd"/>
      <w:r w:rsidRPr="004B58D3">
        <w:rPr>
          <w:sz w:val="22"/>
          <w:szCs w:val="22"/>
          <w:lang w:val="en-GB"/>
        </w:rPr>
        <w:t xml:space="preserve"> International nature protected areas in the Black Sea, compiled by European Environment Agency</w:t>
      </w:r>
      <w:r>
        <w:rPr>
          <w:rStyle w:val="EndnoteReference"/>
          <w:sz w:val="22"/>
          <w:szCs w:val="22"/>
        </w:rPr>
        <w:endnoteReference w:id="75"/>
      </w:r>
      <w:r w:rsidRPr="004B58D3">
        <w:rPr>
          <w:sz w:val="22"/>
          <w:szCs w:val="22"/>
          <w:lang w:val="en-GB"/>
        </w:rPr>
        <w:t xml:space="preserve"> </w:t>
      </w:r>
    </w:p>
    <w:p w14:paraId="58C2D57B" w14:textId="77777777" w:rsidR="00D16147" w:rsidRPr="004B58D3" w:rsidRDefault="00D16147" w:rsidP="004B2E04">
      <w:pPr>
        <w:spacing w:before="240" w:after="0" w:line="252" w:lineRule="auto"/>
        <w:jc w:val="both"/>
        <w:rPr>
          <w:rStyle w:val="A5"/>
          <w:sz w:val="22"/>
          <w:szCs w:val="22"/>
          <w:lang w:val="en-GB"/>
        </w:rPr>
      </w:pPr>
      <w:r w:rsidRPr="004B58D3">
        <w:rPr>
          <w:rStyle w:val="A5"/>
          <w:sz w:val="22"/>
          <w:szCs w:val="22"/>
          <w:lang w:val="en-GB"/>
        </w:rPr>
        <w:t>The overarching international framework for cooperation on protected areas remains the Convention on Biological Diversity and notably the Convention’s Programme of Work on Protected Areas. The ‘Environment for Europe’ process within UNECE</w:t>
      </w:r>
      <w:r>
        <w:rPr>
          <w:rStyle w:val="EndnoteReference"/>
          <w:rFonts w:cs="Utopia Std"/>
          <w:color w:val="000000"/>
          <w:sz w:val="22"/>
          <w:szCs w:val="22"/>
        </w:rPr>
        <w:endnoteReference w:id="76"/>
      </w:r>
      <w:r w:rsidRPr="004B58D3">
        <w:rPr>
          <w:rStyle w:val="A5"/>
          <w:sz w:val="22"/>
          <w:szCs w:val="22"/>
          <w:lang w:val="en-GB"/>
        </w:rPr>
        <w:t xml:space="preserve"> has been promoting integrated networks of protected areas towards the establishment of a Pan-European Ecological Network, which is being implemented in the EU via the ‘Natura 2000’ network and promoted in the other countries around the Black Sea through the ‘Emerald Network’</w:t>
      </w:r>
      <w:r w:rsidRPr="006E06D1">
        <w:rPr>
          <w:rStyle w:val="FootnoteReference"/>
          <w:rFonts w:cs="Utopia Std"/>
          <w:color w:val="000000"/>
          <w:sz w:val="22"/>
          <w:szCs w:val="22"/>
        </w:rPr>
        <w:footnoteReference w:id="40"/>
      </w:r>
      <w:r w:rsidRPr="004B58D3">
        <w:rPr>
          <w:rStyle w:val="A5"/>
          <w:sz w:val="22"/>
          <w:szCs w:val="22"/>
          <w:lang w:val="en-GB"/>
        </w:rPr>
        <w:t>. In addition to this global framework, the Black Sea Environment Programme</w:t>
      </w:r>
      <w:r w:rsidRPr="006E06D1">
        <w:rPr>
          <w:rStyle w:val="FootnoteReference"/>
          <w:rFonts w:cs="Utopia Std"/>
          <w:color w:val="000000"/>
          <w:sz w:val="22"/>
          <w:szCs w:val="22"/>
        </w:rPr>
        <w:footnoteReference w:id="41"/>
      </w:r>
      <w:r w:rsidRPr="004B58D3">
        <w:rPr>
          <w:rStyle w:val="A5"/>
          <w:sz w:val="22"/>
          <w:szCs w:val="22"/>
          <w:lang w:val="en-GB"/>
        </w:rPr>
        <w:t xml:space="preserve"> organises conservation work in habitats that are critical for populations of priority species.</w:t>
      </w:r>
    </w:p>
    <w:p w14:paraId="4584B67C" w14:textId="72E0F77F" w:rsidR="00D16147" w:rsidRPr="004B58D3" w:rsidRDefault="00D16147" w:rsidP="00D16147">
      <w:pPr>
        <w:spacing w:before="120" w:after="0" w:line="252" w:lineRule="auto"/>
        <w:jc w:val="both"/>
        <w:rPr>
          <w:rStyle w:val="A5"/>
          <w:sz w:val="22"/>
          <w:szCs w:val="22"/>
          <w:lang w:val="en-GB"/>
        </w:rPr>
      </w:pPr>
      <w:r w:rsidRPr="004B58D3">
        <w:rPr>
          <w:rStyle w:val="A5"/>
          <w:sz w:val="22"/>
          <w:szCs w:val="22"/>
          <w:lang w:val="en-GB"/>
        </w:rPr>
        <w:t>These efforts to recognize and protect the natural environment do, however, face serious limitations. Overall, the extent of terrestrial and marine protected areas varies (see fi</w:t>
      </w:r>
      <w:r w:rsidR="00E16CE7">
        <w:rPr>
          <w:rStyle w:val="A5"/>
          <w:sz w:val="22"/>
          <w:szCs w:val="22"/>
          <w:lang w:val="en-GB"/>
        </w:rPr>
        <w:t>gures 18 and 19</w:t>
      </w:r>
      <w:r w:rsidRPr="004B58D3">
        <w:rPr>
          <w:rStyle w:val="A5"/>
          <w:sz w:val="22"/>
          <w:szCs w:val="22"/>
          <w:lang w:val="en-GB"/>
        </w:rPr>
        <w:t xml:space="preserve"> below), but still falls significantly short (less than 2% in Moldova and Turkey) in comparison to the EU, where protected area</w:t>
      </w:r>
      <w:r>
        <w:rPr>
          <w:rStyle w:val="A5"/>
          <w:sz w:val="22"/>
          <w:szCs w:val="22"/>
          <w:lang w:val="en-GB"/>
        </w:rPr>
        <w:t>s</w:t>
      </w:r>
      <w:r w:rsidRPr="004B58D3">
        <w:rPr>
          <w:rStyle w:val="A5"/>
          <w:sz w:val="22"/>
          <w:szCs w:val="22"/>
          <w:lang w:val="en-GB"/>
        </w:rPr>
        <w:t xml:space="preserve"> cover 15.1% of the total territorial area. Many reserves also lack effective management plans and infrastructure</w:t>
      </w:r>
      <w:r w:rsidRPr="006E06D1">
        <w:rPr>
          <w:rStyle w:val="A5"/>
          <w:sz w:val="22"/>
          <w:szCs w:val="22"/>
          <w:vertAlign w:val="superscript"/>
        </w:rPr>
        <w:endnoteReference w:id="77"/>
      </w:r>
      <w:r w:rsidRPr="004B58D3">
        <w:rPr>
          <w:rStyle w:val="A5"/>
          <w:sz w:val="22"/>
          <w:szCs w:val="22"/>
          <w:lang w:val="en-GB"/>
        </w:rPr>
        <w:t xml:space="preserve">, so that reinforced cooperation in those areas would seem to be of crucial importance, considering the rich and vulnerable </w:t>
      </w:r>
      <w:proofErr w:type="spellStart"/>
      <w:r w:rsidRPr="004B58D3">
        <w:rPr>
          <w:rStyle w:val="A5"/>
          <w:sz w:val="22"/>
          <w:szCs w:val="22"/>
          <w:lang w:val="en-GB"/>
        </w:rPr>
        <w:t>environnement</w:t>
      </w:r>
      <w:proofErr w:type="spellEnd"/>
      <w:r w:rsidRPr="004B58D3">
        <w:rPr>
          <w:rStyle w:val="A5"/>
          <w:sz w:val="22"/>
          <w:szCs w:val="22"/>
          <w:lang w:val="en-GB"/>
        </w:rPr>
        <w:t xml:space="preserve"> of the Black Sea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5241"/>
      </w:tblGrid>
      <w:tr w:rsidR="00D16147" w:rsidRPr="00B71347" w14:paraId="51DD64BE" w14:textId="77777777" w:rsidTr="008242B5">
        <w:tc>
          <w:tcPr>
            <w:tcW w:w="4788" w:type="dxa"/>
          </w:tcPr>
          <w:p w14:paraId="0F5994FB" w14:textId="77777777" w:rsidR="00D16147" w:rsidRDefault="00D16147" w:rsidP="008242B5">
            <w:pPr>
              <w:keepNext/>
              <w:widowControl w:val="0"/>
              <w:autoSpaceDE w:val="0"/>
              <w:autoSpaceDN w:val="0"/>
              <w:adjustRightInd w:val="0"/>
              <w:spacing w:before="120" w:line="252" w:lineRule="auto"/>
              <w:jc w:val="both"/>
            </w:pPr>
            <w:r>
              <w:rPr>
                <w:noProof/>
                <w:lang w:val="en-GB" w:eastAsia="en-GB"/>
              </w:rPr>
              <w:lastRenderedPageBreak/>
              <w:drawing>
                <wp:inline distT="0" distB="0" distL="0" distR="0" wp14:anchorId="0B4CAC3C" wp14:editId="555F2346">
                  <wp:extent cx="3377119" cy="2250520"/>
                  <wp:effectExtent l="0" t="0" r="1270" b="1016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2">
                            <a:extLst>
                              <a:ext uri="{28A0092B-C50C-407E-A947-70E740481C1C}">
                                <a14:useLocalDpi xmlns:a14="http://schemas.microsoft.com/office/drawing/2010/main" val="0"/>
                              </a:ext>
                            </a:extLst>
                          </a:blip>
                          <a:srcRect l="23669" t="2329" r="26614"/>
                          <a:stretch/>
                        </pic:blipFill>
                        <pic:spPr bwMode="auto">
                          <a:xfrm>
                            <a:off x="0" y="0"/>
                            <a:ext cx="3378654" cy="2251543"/>
                          </a:xfrm>
                          <a:prstGeom prst="rect">
                            <a:avLst/>
                          </a:prstGeom>
                          <a:noFill/>
                          <a:ln>
                            <a:noFill/>
                          </a:ln>
                          <a:extLst>
                            <a:ext uri="{53640926-AAD7-44D8-BBD7-CCE9431645EC}">
                              <a14:shadowObscured xmlns:a14="http://schemas.microsoft.com/office/drawing/2010/main"/>
                            </a:ext>
                          </a:extLst>
                        </pic:spPr>
                      </pic:pic>
                    </a:graphicData>
                  </a:graphic>
                </wp:inline>
              </w:drawing>
            </w:r>
          </w:p>
          <w:p w14:paraId="7AB5242B" w14:textId="462C51E8" w:rsidR="00D16147" w:rsidRPr="004B58D3" w:rsidRDefault="00D16147" w:rsidP="008242B5">
            <w:pPr>
              <w:pStyle w:val="Caption"/>
              <w:spacing w:before="120" w:after="0" w:line="252" w:lineRule="auto"/>
              <w:jc w:val="both"/>
              <w:rPr>
                <w:sz w:val="22"/>
                <w:szCs w:val="22"/>
                <w:lang w:val="en-GB"/>
              </w:rPr>
            </w:pPr>
            <w:r w:rsidRPr="004B58D3">
              <w:rPr>
                <w:sz w:val="22"/>
                <w:szCs w:val="22"/>
                <w:lang w:val="en-GB"/>
              </w:rPr>
              <w:t>Figure</w:t>
            </w:r>
            <w:r w:rsidR="00E16CE7">
              <w:rPr>
                <w:sz w:val="22"/>
                <w:szCs w:val="22"/>
                <w:lang w:val="en-GB"/>
              </w:rPr>
              <w:t xml:space="preserve"> 18</w:t>
            </w:r>
            <w:r w:rsidRPr="004B58D3">
              <w:rPr>
                <w:sz w:val="22"/>
                <w:szCs w:val="22"/>
                <w:lang w:val="en-GB"/>
              </w:rPr>
              <w:t>. Terrestrial and marine protected areas (% of total territorial area of each country), 2010</w:t>
            </w:r>
            <w:r>
              <w:rPr>
                <w:rStyle w:val="EndnoteReference"/>
                <w:sz w:val="22"/>
                <w:szCs w:val="22"/>
              </w:rPr>
              <w:endnoteReference w:id="78"/>
            </w:r>
          </w:p>
        </w:tc>
        <w:tc>
          <w:tcPr>
            <w:tcW w:w="4788" w:type="dxa"/>
          </w:tcPr>
          <w:p w14:paraId="12396E4D" w14:textId="77777777" w:rsidR="00D16147" w:rsidRDefault="00D16147" w:rsidP="008242B5">
            <w:pPr>
              <w:keepNext/>
              <w:widowControl w:val="0"/>
              <w:autoSpaceDE w:val="0"/>
              <w:autoSpaceDN w:val="0"/>
              <w:adjustRightInd w:val="0"/>
              <w:spacing w:before="120" w:line="252" w:lineRule="auto"/>
              <w:jc w:val="both"/>
            </w:pPr>
            <w:r>
              <w:rPr>
                <w:noProof/>
                <w:lang w:val="en-GB" w:eastAsia="en-GB"/>
              </w:rPr>
              <w:drawing>
                <wp:inline distT="0" distB="0" distL="0" distR="0" wp14:anchorId="7906013E" wp14:editId="524053C2">
                  <wp:extent cx="3357263" cy="2250520"/>
                  <wp:effectExtent l="0" t="0" r="0" b="10160"/>
                  <wp:docPr id="18"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3">
                            <a:extLst>
                              <a:ext uri="{28A0092B-C50C-407E-A947-70E740481C1C}">
                                <a14:useLocalDpi xmlns:a14="http://schemas.microsoft.com/office/drawing/2010/main" val="0"/>
                              </a:ext>
                            </a:extLst>
                          </a:blip>
                          <a:srcRect l="21105" t="582" r="28588" b="1"/>
                          <a:stretch/>
                        </pic:blipFill>
                        <pic:spPr bwMode="auto">
                          <a:xfrm>
                            <a:off x="0" y="0"/>
                            <a:ext cx="3359212" cy="2251827"/>
                          </a:xfrm>
                          <a:prstGeom prst="rect">
                            <a:avLst/>
                          </a:prstGeom>
                          <a:noFill/>
                          <a:ln>
                            <a:noFill/>
                          </a:ln>
                          <a:extLst>
                            <a:ext uri="{53640926-AAD7-44D8-BBD7-CCE9431645EC}">
                              <a14:shadowObscured xmlns:a14="http://schemas.microsoft.com/office/drawing/2010/main"/>
                            </a:ext>
                          </a:extLst>
                        </pic:spPr>
                      </pic:pic>
                    </a:graphicData>
                  </a:graphic>
                </wp:inline>
              </w:drawing>
            </w:r>
          </w:p>
          <w:p w14:paraId="40492A02" w14:textId="4E9AFCB7" w:rsidR="00D16147" w:rsidRPr="004B58D3" w:rsidRDefault="00D16147" w:rsidP="008242B5">
            <w:pPr>
              <w:pStyle w:val="Caption"/>
              <w:spacing w:before="120" w:after="0" w:line="252" w:lineRule="auto"/>
              <w:jc w:val="both"/>
              <w:rPr>
                <w:sz w:val="22"/>
                <w:szCs w:val="22"/>
                <w:lang w:val="en-GB"/>
              </w:rPr>
            </w:pPr>
            <w:r w:rsidRPr="004B58D3">
              <w:rPr>
                <w:sz w:val="22"/>
                <w:szCs w:val="22"/>
                <w:lang w:val="en-GB"/>
              </w:rPr>
              <w:t xml:space="preserve">Figure </w:t>
            </w:r>
            <w:r w:rsidR="00E16CE7">
              <w:rPr>
                <w:sz w:val="22"/>
                <w:szCs w:val="22"/>
                <w:lang w:val="en-GB"/>
              </w:rPr>
              <w:t>19</w:t>
            </w:r>
            <w:r w:rsidRPr="004B58D3">
              <w:rPr>
                <w:sz w:val="22"/>
                <w:szCs w:val="22"/>
                <w:lang w:val="en-GB"/>
              </w:rPr>
              <w:t>. Marine protected areas (% of territorial waters of each country), 2010</w:t>
            </w:r>
            <w:r>
              <w:rPr>
                <w:rStyle w:val="EndnoteReference"/>
                <w:sz w:val="22"/>
                <w:szCs w:val="22"/>
              </w:rPr>
              <w:endnoteReference w:id="79"/>
            </w:r>
          </w:p>
        </w:tc>
      </w:tr>
    </w:tbl>
    <w:p w14:paraId="356EBAF2" w14:textId="77777777" w:rsidR="00D16147" w:rsidRPr="004B58D3" w:rsidRDefault="00D16147" w:rsidP="00D16147">
      <w:pPr>
        <w:spacing w:before="120" w:after="0" w:line="252" w:lineRule="auto"/>
        <w:jc w:val="both"/>
        <w:rPr>
          <w:rStyle w:val="A5"/>
          <w:sz w:val="22"/>
          <w:szCs w:val="22"/>
          <w:lang w:val="en-GB"/>
        </w:rPr>
      </w:pPr>
    </w:p>
    <w:p w14:paraId="74069B4B" w14:textId="77777777" w:rsidR="00D16147" w:rsidRPr="008242B5" w:rsidRDefault="00D16147" w:rsidP="000D36B6">
      <w:pPr>
        <w:spacing w:before="240" w:after="120"/>
        <w:rPr>
          <w:b/>
          <w:lang w:val="en-GB"/>
        </w:rPr>
      </w:pPr>
      <w:bookmarkStart w:id="39" w:name="_Toc246127435"/>
      <w:r w:rsidRPr="008242B5">
        <w:rPr>
          <w:b/>
          <w:lang w:val="en-GB"/>
        </w:rPr>
        <w:t>Water and waste-water</w:t>
      </w:r>
      <w:bookmarkEnd w:id="39"/>
    </w:p>
    <w:p w14:paraId="3C809417" w14:textId="77777777" w:rsidR="00D16147" w:rsidRPr="004B58D3" w:rsidRDefault="00D16147" w:rsidP="00D16147">
      <w:pPr>
        <w:widowControl w:val="0"/>
        <w:autoSpaceDE w:val="0"/>
        <w:autoSpaceDN w:val="0"/>
        <w:adjustRightInd w:val="0"/>
        <w:spacing w:before="120" w:after="0" w:line="252" w:lineRule="auto"/>
        <w:jc w:val="both"/>
        <w:rPr>
          <w:rFonts w:cs="Times New Roman"/>
          <w:sz w:val="22"/>
          <w:szCs w:val="22"/>
          <w:lang w:val="en-GB"/>
        </w:rPr>
      </w:pPr>
      <w:r w:rsidRPr="004B58D3">
        <w:rPr>
          <w:rFonts w:cs="Times New Roman"/>
          <w:sz w:val="22"/>
          <w:szCs w:val="22"/>
          <w:lang w:val="en-GB"/>
        </w:rPr>
        <w:t>The Black Sea region is generally well provided with freshwater resources, including those suitable for drinking water. However, pollution of rivers has led to a sharp decline in access to safe drinking water resources and necessitates the use of costly technologies for water treatment. Usage of groundwater for drinking purposes is not possible everywhere because of a lack of resources (this particularly applies to the southern part of the Black Sea region)</w:t>
      </w:r>
      <w:r w:rsidRPr="00450DA1">
        <w:rPr>
          <w:rStyle w:val="EndnoteReference"/>
          <w:rFonts w:cs="Times New Roman"/>
          <w:sz w:val="22"/>
          <w:szCs w:val="22"/>
        </w:rPr>
        <w:endnoteReference w:id="80"/>
      </w:r>
      <w:r w:rsidRPr="004B58D3">
        <w:rPr>
          <w:rFonts w:cs="Times New Roman"/>
          <w:sz w:val="22"/>
          <w:szCs w:val="22"/>
          <w:lang w:val="en-GB"/>
        </w:rPr>
        <w:t xml:space="preserve"> while groundwater may itself be polluted. As a result, the current access to safe drinking water in the region could be characterised as problematic</w:t>
      </w:r>
      <w:r>
        <w:rPr>
          <w:rFonts w:cs="Times New Roman"/>
          <w:sz w:val="22"/>
          <w:szCs w:val="22"/>
          <w:lang w:val="en-GB"/>
        </w:rPr>
        <w:t>,</w:t>
      </w:r>
      <w:r w:rsidRPr="004B58D3">
        <w:rPr>
          <w:rFonts w:cs="Times New Roman"/>
          <w:sz w:val="22"/>
          <w:szCs w:val="22"/>
          <w:lang w:val="en-GB"/>
        </w:rPr>
        <w:t xml:space="preserve"> particularly in rural areas.</w:t>
      </w:r>
    </w:p>
    <w:p w14:paraId="2BBE1C56" w14:textId="77777777" w:rsidR="00D16147" w:rsidRPr="004B58D3" w:rsidRDefault="00D16147" w:rsidP="00D16147">
      <w:pPr>
        <w:widowControl w:val="0"/>
        <w:autoSpaceDE w:val="0"/>
        <w:autoSpaceDN w:val="0"/>
        <w:adjustRightInd w:val="0"/>
        <w:spacing w:before="120" w:after="0" w:line="252" w:lineRule="auto"/>
        <w:jc w:val="both"/>
        <w:rPr>
          <w:rFonts w:cs="Times New Roman"/>
          <w:sz w:val="22"/>
          <w:szCs w:val="22"/>
          <w:lang w:val="en-GB"/>
        </w:rPr>
      </w:pPr>
      <w:r w:rsidRPr="004B58D3">
        <w:rPr>
          <w:rFonts w:cs="Times New Roman"/>
          <w:sz w:val="22"/>
          <w:szCs w:val="22"/>
          <w:lang w:val="en-GB"/>
        </w:rPr>
        <w:t>The large cities of the Black Sea Basin catchment area outside the coastal zone mostly have full biological treatment of wastewater, which in general operates with sufficient efficiency. Nonetheless, wastewater treatment is often not sufficient in the rural areas and in coastal cities - all the more so given that the treatment plants get overloaded in the summer when the population in coastal cities increases substantially. Untreated or insufficiently-treated sewage (mostly due to worn-out equipment) is the main source of pollution from coastal cities and villages. Moreover usually no structures exist to remove effluent far from the shore (for instance, 3 miles), thus the coastal area of the sea is polluted. Municipal wastewater contributes significantly to the load of organic materials and nutrients in the Black Sea, as well as to the spread of diseases, though microbiological pollution is primarily a local problem</w:t>
      </w:r>
      <w:r w:rsidRPr="00450DA1">
        <w:rPr>
          <w:rStyle w:val="EndnoteReference"/>
          <w:rFonts w:cs="Times New Roman"/>
          <w:sz w:val="22"/>
          <w:szCs w:val="22"/>
        </w:rPr>
        <w:endnoteReference w:id="81"/>
      </w:r>
      <w:r w:rsidRPr="004B58D3">
        <w:rPr>
          <w:rFonts w:cs="Times New Roman"/>
          <w:sz w:val="22"/>
          <w:szCs w:val="22"/>
          <w:lang w:val="en-GB"/>
        </w:rPr>
        <w:t xml:space="preserve">. </w:t>
      </w:r>
    </w:p>
    <w:p w14:paraId="3751CAE3" w14:textId="77777777" w:rsidR="00D16147" w:rsidRPr="004B58D3" w:rsidRDefault="00D16147" w:rsidP="00D16147">
      <w:pPr>
        <w:widowControl w:val="0"/>
        <w:autoSpaceDE w:val="0"/>
        <w:autoSpaceDN w:val="0"/>
        <w:adjustRightInd w:val="0"/>
        <w:spacing w:before="120" w:after="0" w:line="252" w:lineRule="auto"/>
        <w:jc w:val="both"/>
        <w:rPr>
          <w:rFonts w:cs="Times New Roman"/>
          <w:sz w:val="22"/>
          <w:szCs w:val="22"/>
          <w:lang w:val="en-GB"/>
        </w:rPr>
      </w:pPr>
      <w:r w:rsidRPr="004B58D3">
        <w:rPr>
          <w:rFonts w:cs="Times New Roman"/>
          <w:sz w:val="22"/>
          <w:szCs w:val="22"/>
          <w:lang w:val="en-GB"/>
        </w:rPr>
        <w:t>Difficulties faced are also sometimes linked to institutional causes, in particular when central state control was replaced by governance structures based on decentralisation and greater levels of autonomy at the regional level before the development of sufficient institutional capacity at regional level. Public authorities in Moldova, Ukraine, Georgia and Russia assessed the lack of practical knowledge and skills in water resources management at the same level as the lack of adequate finance as the principal reasons for their inability to carry out the needed management reforms and infrastructure development</w:t>
      </w:r>
      <w:r w:rsidRPr="00450DA1">
        <w:rPr>
          <w:rStyle w:val="EndnoteReference"/>
          <w:rFonts w:cs="Times New Roman"/>
          <w:sz w:val="22"/>
          <w:szCs w:val="22"/>
        </w:rPr>
        <w:endnoteReference w:id="82"/>
      </w:r>
      <w:r w:rsidRPr="004B58D3">
        <w:rPr>
          <w:rFonts w:cs="Times New Roman"/>
          <w:sz w:val="22"/>
          <w:szCs w:val="22"/>
          <w:lang w:val="en-GB"/>
        </w:rPr>
        <w:t>.</w:t>
      </w:r>
    </w:p>
    <w:p w14:paraId="57E1306B" w14:textId="77777777" w:rsidR="00A34868" w:rsidRDefault="00A34868">
      <w:pPr>
        <w:rPr>
          <w:b/>
          <w:lang w:val="en-GB"/>
        </w:rPr>
      </w:pPr>
      <w:bookmarkStart w:id="40" w:name="_Toc246127436"/>
      <w:r>
        <w:rPr>
          <w:b/>
          <w:lang w:val="en-GB"/>
        </w:rPr>
        <w:br w:type="page"/>
      </w:r>
    </w:p>
    <w:p w14:paraId="750B5D6C" w14:textId="77777777" w:rsidR="00D16147" w:rsidRPr="008242B5" w:rsidRDefault="00D16147" w:rsidP="000D36B6">
      <w:pPr>
        <w:spacing w:before="240" w:after="120"/>
        <w:rPr>
          <w:b/>
          <w:lang w:val="en-GB"/>
        </w:rPr>
      </w:pPr>
      <w:r w:rsidRPr="008242B5">
        <w:rPr>
          <w:b/>
          <w:lang w:val="en-GB"/>
        </w:rPr>
        <w:lastRenderedPageBreak/>
        <w:t>Sustainable energy development</w:t>
      </w:r>
      <w:bookmarkEnd w:id="40"/>
      <w:r w:rsidRPr="008242B5">
        <w:rPr>
          <w:b/>
          <w:lang w:val="en-GB"/>
        </w:rPr>
        <w:t xml:space="preserve"> </w:t>
      </w:r>
    </w:p>
    <w:p w14:paraId="500BEF4B"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 xml:space="preserve">The need to promote sustainable energy development </w:t>
      </w:r>
      <w:r>
        <w:rPr>
          <w:sz w:val="22"/>
          <w:szCs w:val="22"/>
          <w:lang w:val="en-GB"/>
        </w:rPr>
        <w:t>has been emphasised</w:t>
      </w:r>
      <w:r w:rsidRPr="004B58D3">
        <w:rPr>
          <w:sz w:val="22"/>
          <w:szCs w:val="22"/>
          <w:lang w:val="en-GB"/>
        </w:rPr>
        <w:t xml:space="preserve"> by the Ministers of Energy of BSEC Member States</w:t>
      </w:r>
      <w:r w:rsidRPr="003C35AD">
        <w:rPr>
          <w:rStyle w:val="FootnoteReference"/>
          <w:sz w:val="22"/>
          <w:szCs w:val="22"/>
        </w:rPr>
        <w:footnoteReference w:id="42"/>
      </w:r>
      <w:r w:rsidRPr="004B58D3">
        <w:rPr>
          <w:sz w:val="22"/>
          <w:szCs w:val="22"/>
          <w:lang w:val="en-GB"/>
        </w:rPr>
        <w:t xml:space="preserve"> </w:t>
      </w:r>
      <w:r>
        <w:rPr>
          <w:sz w:val="22"/>
          <w:szCs w:val="22"/>
          <w:lang w:val="en-GB"/>
        </w:rPr>
        <w:t>who</w:t>
      </w:r>
      <w:r w:rsidRPr="004B58D3">
        <w:rPr>
          <w:sz w:val="22"/>
          <w:szCs w:val="22"/>
          <w:lang w:val="en-GB"/>
        </w:rPr>
        <w:t xml:space="preserve"> have agreed to enhance cooperation and explore ways to promote Green Energy investments with an emphasis on energy efficiency, renewable energy sources and environmentally friendly energy technologies.</w:t>
      </w:r>
    </w:p>
    <w:p w14:paraId="74E80236" w14:textId="77777777" w:rsidR="00D16147" w:rsidRDefault="00D16147" w:rsidP="00D16147">
      <w:pPr>
        <w:keepNext/>
        <w:spacing w:before="120" w:after="0" w:line="252" w:lineRule="auto"/>
      </w:pPr>
      <w:r>
        <w:rPr>
          <w:noProof/>
          <w:lang w:val="en-GB" w:eastAsia="en-GB"/>
        </w:rPr>
        <w:drawing>
          <wp:inline distT="0" distB="0" distL="0" distR="0" wp14:anchorId="766368DC" wp14:editId="07ACCD78">
            <wp:extent cx="6499777" cy="2204222"/>
            <wp:effectExtent l="0" t="0" r="3175" b="571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00589" cy="2204497"/>
                    </a:xfrm>
                    <a:prstGeom prst="rect">
                      <a:avLst/>
                    </a:prstGeom>
                    <a:noFill/>
                    <a:ln>
                      <a:noFill/>
                    </a:ln>
                  </pic:spPr>
                </pic:pic>
              </a:graphicData>
            </a:graphic>
          </wp:inline>
        </w:drawing>
      </w:r>
    </w:p>
    <w:p w14:paraId="03A9B606" w14:textId="1B16C2BF" w:rsidR="00D16147" w:rsidRPr="004B58D3" w:rsidRDefault="00D16147" w:rsidP="00D16147">
      <w:pPr>
        <w:pStyle w:val="Caption"/>
        <w:spacing w:before="120" w:after="0" w:line="252" w:lineRule="auto"/>
        <w:jc w:val="left"/>
        <w:rPr>
          <w:sz w:val="22"/>
          <w:szCs w:val="22"/>
          <w:lang w:val="en-GB"/>
        </w:rPr>
      </w:pPr>
      <w:proofErr w:type="gramStart"/>
      <w:r w:rsidRPr="004B58D3">
        <w:rPr>
          <w:sz w:val="22"/>
          <w:szCs w:val="22"/>
          <w:lang w:val="en-GB"/>
        </w:rPr>
        <w:t xml:space="preserve">Figure </w:t>
      </w:r>
      <w:r w:rsidR="00E16CE7">
        <w:rPr>
          <w:sz w:val="22"/>
          <w:szCs w:val="22"/>
          <w:lang w:val="en-GB"/>
        </w:rPr>
        <w:t>20</w:t>
      </w:r>
      <w:r w:rsidRPr="004B58D3">
        <w:rPr>
          <w:sz w:val="22"/>
          <w:szCs w:val="22"/>
          <w:lang w:val="en-GB"/>
        </w:rPr>
        <w:t>.</w:t>
      </w:r>
      <w:proofErr w:type="gramEnd"/>
      <w:r w:rsidRPr="004B58D3">
        <w:rPr>
          <w:sz w:val="22"/>
          <w:szCs w:val="22"/>
          <w:lang w:val="en-GB"/>
        </w:rPr>
        <w:t xml:space="preserve"> Electricity production from </w:t>
      </w:r>
      <w:r>
        <w:rPr>
          <w:sz w:val="22"/>
          <w:szCs w:val="22"/>
          <w:lang w:val="en-GB"/>
        </w:rPr>
        <w:t xml:space="preserve">hydroelectric and </w:t>
      </w:r>
      <w:r w:rsidRPr="004B58D3">
        <w:rPr>
          <w:sz w:val="22"/>
          <w:szCs w:val="22"/>
          <w:lang w:val="en-GB"/>
        </w:rPr>
        <w:t>renewable sources, 2010</w:t>
      </w:r>
      <w:r>
        <w:rPr>
          <w:rStyle w:val="EndnoteReference"/>
          <w:sz w:val="22"/>
          <w:szCs w:val="22"/>
        </w:rPr>
        <w:endnoteReference w:id="83"/>
      </w:r>
    </w:p>
    <w:p w14:paraId="20B8C6F1" w14:textId="6FAAFB75" w:rsidR="00D16147" w:rsidRDefault="00D16147" w:rsidP="00D16147">
      <w:pPr>
        <w:spacing w:before="120" w:after="0" w:line="252" w:lineRule="auto"/>
        <w:jc w:val="both"/>
        <w:rPr>
          <w:sz w:val="22"/>
          <w:szCs w:val="22"/>
          <w:highlight w:val="yellow"/>
          <w:lang w:val="en-GB"/>
        </w:rPr>
      </w:pPr>
      <w:r w:rsidRPr="004B58D3">
        <w:rPr>
          <w:sz w:val="22"/>
          <w:szCs w:val="22"/>
          <w:lang w:val="en-GB"/>
        </w:rPr>
        <w:t xml:space="preserve">Each country in the Black Sea Region is distinct in terms of its energy use and potential for renewable energy, nonetheless several trends </w:t>
      </w:r>
      <w:proofErr w:type="gramStart"/>
      <w:r w:rsidRPr="004B58D3">
        <w:rPr>
          <w:sz w:val="22"/>
          <w:szCs w:val="22"/>
          <w:lang w:val="en-GB"/>
        </w:rPr>
        <w:t>appears</w:t>
      </w:r>
      <w:proofErr w:type="gramEnd"/>
      <w:r w:rsidRPr="004B58D3">
        <w:rPr>
          <w:sz w:val="22"/>
          <w:szCs w:val="22"/>
          <w:lang w:val="en-GB"/>
        </w:rPr>
        <w:t xml:space="preserve">. Hydropower is the most widespread source of energy, accounting for most of the electricity production in Georgia. Exploitation of renewables sources other than hydropower is still </w:t>
      </w:r>
      <w:r>
        <w:rPr>
          <w:sz w:val="22"/>
          <w:szCs w:val="22"/>
          <w:lang w:val="en-GB"/>
        </w:rPr>
        <w:t>in</w:t>
      </w:r>
      <w:r w:rsidRPr="004B58D3">
        <w:rPr>
          <w:sz w:val="22"/>
          <w:szCs w:val="22"/>
          <w:lang w:val="en-GB"/>
        </w:rPr>
        <w:t xml:space="preserve"> its early stages, representing at best 5.3% in Greece against 9.1% on averag</w:t>
      </w:r>
      <w:r w:rsidR="00E16CE7">
        <w:rPr>
          <w:sz w:val="22"/>
          <w:szCs w:val="22"/>
          <w:lang w:val="en-GB"/>
        </w:rPr>
        <w:t>e in the EU (see figure 20</w:t>
      </w:r>
      <w:r w:rsidRPr="004B58D3">
        <w:rPr>
          <w:sz w:val="22"/>
          <w:szCs w:val="22"/>
          <w:lang w:val="en-GB"/>
        </w:rPr>
        <w:t xml:space="preserve"> above), but has risen over the last few years</w:t>
      </w:r>
      <w:r w:rsidRPr="003C35AD">
        <w:rPr>
          <w:rStyle w:val="EndnoteReference"/>
          <w:sz w:val="22"/>
          <w:szCs w:val="22"/>
        </w:rPr>
        <w:endnoteReference w:id="84"/>
      </w:r>
      <w:r w:rsidRPr="004B58D3">
        <w:rPr>
          <w:sz w:val="22"/>
          <w:szCs w:val="22"/>
          <w:lang w:val="en-GB"/>
        </w:rPr>
        <w:t>. The massive growth in wind power seen globally is beginning to make itself felt in the regio</w:t>
      </w:r>
      <w:r w:rsidRPr="00850BF5">
        <w:rPr>
          <w:sz w:val="22"/>
          <w:szCs w:val="22"/>
          <w:lang w:val="en-GB"/>
        </w:rPr>
        <w:t>n</w:t>
      </w:r>
      <w:r w:rsidRPr="00850BF5">
        <w:rPr>
          <w:rStyle w:val="EndnoteReference"/>
          <w:sz w:val="22"/>
          <w:szCs w:val="22"/>
        </w:rPr>
        <w:endnoteReference w:id="85"/>
      </w:r>
      <w:r w:rsidRPr="00850BF5">
        <w:rPr>
          <w:sz w:val="22"/>
          <w:szCs w:val="22"/>
          <w:lang w:val="en-GB"/>
        </w:rPr>
        <w:t xml:space="preserve">. </w:t>
      </w:r>
    </w:p>
    <w:p w14:paraId="6BB4DF51" w14:textId="77777777" w:rsidR="00D16147" w:rsidRPr="00850BF5" w:rsidRDefault="00D16147" w:rsidP="00D16147">
      <w:pPr>
        <w:spacing w:before="120" w:after="0" w:line="252" w:lineRule="auto"/>
        <w:jc w:val="both"/>
        <w:rPr>
          <w:sz w:val="22"/>
          <w:szCs w:val="22"/>
          <w:lang w:val="en-GB"/>
        </w:rPr>
      </w:pPr>
      <w:r w:rsidRPr="000056F6">
        <w:rPr>
          <w:sz w:val="22"/>
          <w:szCs w:val="22"/>
          <w:lang w:val="en-GB"/>
        </w:rPr>
        <w:t>The Black Sea potential for marine renewable energy has not been fully investigated yet. In the Black Sea area tides are insignificant for energy extraction, but the offshore wind and wave power potential could be further assessed</w:t>
      </w:r>
      <w:r w:rsidRPr="000056F6">
        <w:rPr>
          <w:rStyle w:val="EndnoteReference"/>
          <w:sz w:val="22"/>
          <w:szCs w:val="22"/>
          <w:lang w:val="en-GB"/>
        </w:rPr>
        <w:endnoteReference w:id="86"/>
      </w:r>
      <w:r w:rsidRPr="000056F6">
        <w:rPr>
          <w:sz w:val="22"/>
          <w:szCs w:val="22"/>
          <w:lang w:val="en-GB"/>
        </w:rPr>
        <w:t>. Both Bulgaria and Romania recently began using, and exploring in detail, opportunities for marine renewable wind energy options.</w:t>
      </w:r>
    </w:p>
    <w:p w14:paraId="14E8297A" w14:textId="77777777" w:rsidR="00D16147" w:rsidRDefault="00D16147" w:rsidP="00D16147">
      <w:pPr>
        <w:spacing w:before="120" w:after="0" w:line="252" w:lineRule="auto"/>
        <w:jc w:val="both"/>
        <w:rPr>
          <w:sz w:val="22"/>
          <w:szCs w:val="22"/>
          <w:lang w:val="en-GB"/>
        </w:rPr>
      </w:pPr>
      <w:r w:rsidRPr="004B58D3">
        <w:rPr>
          <w:sz w:val="22"/>
          <w:szCs w:val="22"/>
          <w:lang w:val="en-GB"/>
        </w:rPr>
        <w:t>Therefore, except maybe in Azerbaijan where the abundance of oil and gas complicates the economic argument for alternatives, there appears to be a broad scope for further sustainable energy development in the region.</w:t>
      </w:r>
    </w:p>
    <w:p w14:paraId="298BFB53" w14:textId="77777777" w:rsidR="00A34868" w:rsidRDefault="00A34868">
      <w:pPr>
        <w:rPr>
          <w:sz w:val="22"/>
          <w:szCs w:val="22"/>
          <w:lang w:val="en-GB"/>
        </w:rPr>
      </w:pPr>
      <w:r>
        <w:rPr>
          <w:sz w:val="22"/>
          <w:szCs w:val="22"/>
          <w:lang w:val="en-GB"/>
        </w:rPr>
        <w:br w:type="page"/>
      </w:r>
    </w:p>
    <w:tbl>
      <w:tblPr>
        <w:tblStyle w:val="ColorfulList"/>
        <w:tblW w:w="0" w:type="auto"/>
        <w:tblLayout w:type="fixed"/>
        <w:tblLook w:val="04A0" w:firstRow="1" w:lastRow="0" w:firstColumn="1" w:lastColumn="0" w:noHBand="0" w:noVBand="1"/>
      </w:tblPr>
      <w:tblGrid>
        <w:gridCol w:w="3652"/>
        <w:gridCol w:w="7371"/>
      </w:tblGrid>
      <w:tr w:rsidR="00C21808" w:rsidRPr="009A6FAC" w14:paraId="6B311657" w14:textId="77777777" w:rsidTr="00C709E2">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tcBorders>
              <w:top w:val="single" w:sz="18" w:space="0" w:color="983620" w:themeColor="accent2"/>
              <w:left w:val="single" w:sz="18" w:space="0" w:color="983620" w:themeColor="accent2"/>
              <w:bottom w:val="none" w:sz="0" w:space="0" w:color="auto"/>
              <w:right w:val="single" w:sz="18" w:space="0" w:color="983620" w:themeColor="accent2"/>
            </w:tcBorders>
            <w:noWrap/>
            <w:hideMark/>
          </w:tcPr>
          <w:p w14:paraId="7A3555FF" w14:textId="77777777" w:rsidR="00C21808" w:rsidRPr="009A6FAC" w:rsidRDefault="00C21808" w:rsidP="00C21808">
            <w:pPr>
              <w:jc w:val="center"/>
            </w:pPr>
            <w:r w:rsidRPr="009A6FAC">
              <w:lastRenderedPageBreak/>
              <w:t xml:space="preserve">SWOT – </w:t>
            </w:r>
            <w:r w:rsidR="00037D9A" w:rsidRPr="009A6FAC">
              <w:t>ENVIRONMENT</w:t>
            </w:r>
          </w:p>
        </w:tc>
      </w:tr>
      <w:tr w:rsidR="000A5CAE" w:rsidRPr="009A6FAC" w14:paraId="2F4AB082"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52" w:type="dxa"/>
            <w:tcBorders>
              <w:left w:val="single" w:sz="18" w:space="0" w:color="983620" w:themeColor="accent2"/>
              <w:right w:val="single" w:sz="4" w:space="0" w:color="983620" w:themeColor="accent2"/>
            </w:tcBorders>
            <w:shd w:val="clear" w:color="auto" w:fill="A6A6A6" w:themeFill="background1" w:themeFillShade="A6"/>
            <w:noWrap/>
            <w:hideMark/>
          </w:tcPr>
          <w:p w14:paraId="5532E770" w14:textId="77777777" w:rsidR="00C21808" w:rsidRPr="009A6FAC" w:rsidRDefault="00C21808" w:rsidP="002F1780">
            <w:pPr>
              <w:jc w:val="center"/>
              <w:rPr>
                <w:sz w:val="22"/>
                <w:szCs w:val="22"/>
              </w:rPr>
            </w:pPr>
            <w:r w:rsidRPr="009A6FAC">
              <w:rPr>
                <w:sz w:val="22"/>
                <w:szCs w:val="22"/>
              </w:rPr>
              <w:t>STRENGTHS</w:t>
            </w:r>
          </w:p>
        </w:tc>
        <w:tc>
          <w:tcPr>
            <w:tcW w:w="7371" w:type="dxa"/>
            <w:tcBorders>
              <w:left w:val="single" w:sz="4" w:space="0" w:color="983620" w:themeColor="accent2"/>
              <w:right w:val="single" w:sz="18" w:space="0" w:color="983620" w:themeColor="accent2"/>
            </w:tcBorders>
            <w:shd w:val="clear" w:color="auto" w:fill="A6A6A6" w:themeFill="background1" w:themeFillShade="A6"/>
            <w:hideMark/>
          </w:tcPr>
          <w:p w14:paraId="1CE599D1" w14:textId="77777777" w:rsidR="00C21808" w:rsidRPr="009A6FAC" w:rsidRDefault="00C21808" w:rsidP="002F178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9A6FAC">
              <w:rPr>
                <w:b/>
                <w:sz w:val="22"/>
                <w:szCs w:val="22"/>
              </w:rPr>
              <w:t>WEAKNESSES</w:t>
            </w:r>
          </w:p>
        </w:tc>
      </w:tr>
      <w:tr w:rsidR="000A5CAE" w:rsidRPr="00B71347" w14:paraId="4F9534C7" w14:textId="77777777" w:rsidTr="00A17DF6">
        <w:trPr>
          <w:trHeight w:val="4126"/>
        </w:trPr>
        <w:tc>
          <w:tcPr>
            <w:cnfStyle w:val="001000000000" w:firstRow="0" w:lastRow="0" w:firstColumn="1" w:lastColumn="0" w:oddVBand="0" w:evenVBand="0" w:oddHBand="0" w:evenHBand="0" w:firstRowFirstColumn="0" w:firstRowLastColumn="0" w:lastRowFirstColumn="0" w:lastRowLastColumn="0"/>
            <w:tcW w:w="3652" w:type="dxa"/>
            <w:tcBorders>
              <w:left w:val="single" w:sz="18" w:space="0" w:color="983620" w:themeColor="accent2"/>
              <w:right w:val="single" w:sz="4" w:space="0" w:color="983620" w:themeColor="accent2"/>
            </w:tcBorders>
            <w:hideMark/>
          </w:tcPr>
          <w:tbl>
            <w:tblPr>
              <w:tblW w:w="3402" w:type="dxa"/>
              <w:tblLayout w:type="fixed"/>
              <w:tblCellMar>
                <w:left w:w="70" w:type="dxa"/>
                <w:right w:w="70" w:type="dxa"/>
              </w:tblCellMar>
              <w:tblLook w:val="04A0" w:firstRow="1" w:lastRow="0" w:firstColumn="1" w:lastColumn="0" w:noHBand="0" w:noVBand="1"/>
            </w:tblPr>
            <w:tblGrid>
              <w:gridCol w:w="3402"/>
            </w:tblGrid>
            <w:tr w:rsidR="003D57BB" w:rsidRPr="00B71347" w14:paraId="4ED1B91A" w14:textId="77777777" w:rsidTr="003D57BB">
              <w:trPr>
                <w:trHeight w:val="5600"/>
              </w:trPr>
              <w:tc>
                <w:tcPr>
                  <w:tcW w:w="3402" w:type="dxa"/>
                  <w:tcBorders>
                    <w:top w:val="nil"/>
                    <w:left w:val="nil"/>
                    <w:right w:val="nil"/>
                  </w:tcBorders>
                  <w:shd w:val="clear" w:color="auto" w:fill="auto"/>
                  <w:vAlign w:val="center"/>
                  <w:hideMark/>
                </w:tcPr>
                <w:p w14:paraId="5F622CF0"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Black Sea ecosystem is known to be rich and diverse</w:t>
                  </w:r>
                </w:p>
                <w:p w14:paraId="5462D87D"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Four UNESCO biosphere reserves of international status protected by identical legislation</w:t>
                  </w:r>
                </w:p>
                <w:p w14:paraId="6F18236D"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BSB region is generally well provided with freshwater resources</w:t>
                  </w:r>
                </w:p>
                <w:p w14:paraId="0C13FBA5"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Large cities outside the coastal zone mostly have full and sufficiently efficient biological treatment of wastewater</w:t>
                  </w:r>
                </w:p>
                <w:p w14:paraId="75A9A3E8"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Hydropower is the most widespread source of renewable energy (strong in Georgia)</w:t>
                  </w:r>
                </w:p>
                <w:p w14:paraId="0801F99D" w14:textId="77777777" w:rsidR="003D57BB" w:rsidRPr="00682784" w:rsidRDefault="003D57BB" w:rsidP="0028075A">
                  <w:pPr>
                    <w:pStyle w:val="ListParagraph"/>
                    <w:numPr>
                      <w:ilvl w:val="0"/>
                      <w:numId w:val="35"/>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Renewables sources other than hydropower have increased over the last few years</w:t>
                  </w:r>
                </w:p>
              </w:tc>
            </w:tr>
          </w:tbl>
          <w:p w14:paraId="5EB6F5B5" w14:textId="77777777" w:rsidR="00C21808" w:rsidRPr="00682784" w:rsidRDefault="00C21808" w:rsidP="002F1780">
            <w:pPr>
              <w:pStyle w:val="ListParagraph"/>
              <w:rPr>
                <w:b w:val="0"/>
                <w:sz w:val="22"/>
                <w:szCs w:val="22"/>
                <w:lang w:val="en-GB"/>
              </w:rPr>
            </w:pPr>
          </w:p>
        </w:tc>
        <w:tc>
          <w:tcPr>
            <w:tcW w:w="7371" w:type="dxa"/>
            <w:tcBorders>
              <w:left w:val="single" w:sz="4" w:space="0" w:color="983620" w:themeColor="accent2"/>
              <w:right w:val="single" w:sz="18" w:space="0" w:color="983620" w:themeColor="accent2"/>
            </w:tcBorders>
            <w:hideMark/>
          </w:tcPr>
          <w:tbl>
            <w:tblPr>
              <w:tblW w:w="6979" w:type="dxa"/>
              <w:tblLayout w:type="fixed"/>
              <w:tblCellMar>
                <w:left w:w="70" w:type="dxa"/>
                <w:right w:w="70" w:type="dxa"/>
              </w:tblCellMar>
              <w:tblLook w:val="04A0" w:firstRow="1" w:lastRow="0" w:firstColumn="1" w:lastColumn="0" w:noHBand="0" w:noVBand="1"/>
            </w:tblPr>
            <w:tblGrid>
              <w:gridCol w:w="6979"/>
            </w:tblGrid>
            <w:tr w:rsidR="00FC7277" w:rsidRPr="00B71347" w14:paraId="068C7996" w14:textId="77777777" w:rsidTr="00C709E2">
              <w:trPr>
                <w:trHeight w:val="5811"/>
              </w:trPr>
              <w:tc>
                <w:tcPr>
                  <w:tcW w:w="6979" w:type="dxa"/>
                  <w:tcBorders>
                    <w:top w:val="nil"/>
                  </w:tcBorders>
                  <w:shd w:val="clear" w:color="auto" w:fill="auto"/>
                  <w:vAlign w:val="center"/>
                  <w:hideMark/>
                </w:tcPr>
                <w:p w14:paraId="2BFD03BC"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Significant pressure from land-based pollution, through its large catchment area</w:t>
                  </w:r>
                </w:p>
                <w:p w14:paraId="24851B1D"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Black Sea low renewal rate and very prone to eutrophication</w:t>
                  </w:r>
                </w:p>
                <w:p w14:paraId="216DFCE1"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Complex of transboundary ecological problems around the Black Sea (decline in living resources, chemical pollution, biodiversity change, habitat destruction, invasion by alien species, climate-change impacts, and mesoscale variability in the circulation system)</w:t>
                  </w:r>
                </w:p>
                <w:p w14:paraId="138B194F"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Some beaches have had a high accumulation of garbage</w:t>
                  </w:r>
                </w:p>
                <w:p w14:paraId="5A56AFCF"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Extent of terrestrial and marine protected areas significantly less than that for the EU</w:t>
                  </w:r>
                </w:p>
                <w:p w14:paraId="4AA3764F"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Many nature reserves lack effective management plans and infrastructure</w:t>
                  </w:r>
                </w:p>
                <w:p w14:paraId="7BFE93EE" w14:textId="77777777" w:rsidR="00FC7277" w:rsidRPr="009A6FAC" w:rsidRDefault="00FC7277" w:rsidP="0028075A">
                  <w:pPr>
                    <w:pStyle w:val="ListParagraph"/>
                    <w:numPr>
                      <w:ilvl w:val="0"/>
                      <w:numId w:val="35"/>
                    </w:numPr>
                    <w:spacing w:after="0" w:line="240" w:lineRule="auto"/>
                    <w:rPr>
                      <w:rFonts w:eastAsia="Times New Roman" w:cs="Times New Roman"/>
                      <w:color w:val="000000"/>
                      <w:sz w:val="22"/>
                      <w:szCs w:val="22"/>
                    </w:rPr>
                  </w:pPr>
                  <w:r w:rsidRPr="00682784">
                    <w:rPr>
                      <w:rFonts w:eastAsia="Times New Roman" w:cs="Times New Roman"/>
                      <w:color w:val="000000"/>
                      <w:sz w:val="22"/>
                      <w:szCs w:val="22"/>
                      <w:lang w:val="en-GB"/>
                    </w:rPr>
                    <w:t xml:space="preserve">Current access to safe drinking water in the region could be characterised as problematic, particularly in rural areas. </w:t>
                  </w:r>
                  <w:r w:rsidRPr="009A6FAC">
                    <w:rPr>
                      <w:rFonts w:eastAsia="Times New Roman" w:cs="Times New Roman"/>
                      <w:color w:val="000000"/>
                      <w:sz w:val="22"/>
                      <w:szCs w:val="22"/>
                    </w:rPr>
                    <w:t xml:space="preserve">Usage of </w:t>
                  </w:r>
                  <w:proofErr w:type="spellStart"/>
                  <w:r w:rsidRPr="009A6FAC">
                    <w:rPr>
                      <w:rFonts w:eastAsia="Times New Roman" w:cs="Times New Roman"/>
                      <w:color w:val="000000"/>
                      <w:sz w:val="22"/>
                      <w:szCs w:val="22"/>
                    </w:rPr>
                    <w:t>groundwater</w:t>
                  </w:r>
                  <w:proofErr w:type="spellEnd"/>
                  <w:r w:rsidRPr="009A6FAC">
                    <w:rPr>
                      <w:rFonts w:eastAsia="Times New Roman" w:cs="Times New Roman"/>
                      <w:color w:val="000000"/>
                      <w:sz w:val="22"/>
                      <w:szCs w:val="22"/>
                    </w:rPr>
                    <w:t xml:space="preserve"> for </w:t>
                  </w:r>
                  <w:proofErr w:type="spellStart"/>
                  <w:r w:rsidRPr="009A6FAC">
                    <w:rPr>
                      <w:rFonts w:eastAsia="Times New Roman" w:cs="Times New Roman"/>
                      <w:color w:val="000000"/>
                      <w:sz w:val="22"/>
                      <w:szCs w:val="22"/>
                    </w:rPr>
                    <w:t>drinking</w:t>
                  </w:r>
                  <w:proofErr w:type="spellEnd"/>
                  <w:r w:rsidRPr="009A6FAC">
                    <w:rPr>
                      <w:rFonts w:eastAsia="Times New Roman" w:cs="Times New Roman"/>
                      <w:color w:val="000000"/>
                      <w:sz w:val="22"/>
                      <w:szCs w:val="22"/>
                    </w:rPr>
                    <w:t xml:space="preserve"> </w:t>
                  </w:r>
                  <w:proofErr w:type="spellStart"/>
                  <w:r w:rsidRPr="009A6FAC">
                    <w:rPr>
                      <w:rFonts w:eastAsia="Times New Roman" w:cs="Times New Roman"/>
                      <w:color w:val="000000"/>
                      <w:sz w:val="22"/>
                      <w:szCs w:val="22"/>
                    </w:rPr>
                    <w:t>purposes</w:t>
                  </w:r>
                  <w:proofErr w:type="spellEnd"/>
                  <w:r w:rsidRPr="009A6FAC">
                    <w:rPr>
                      <w:rFonts w:eastAsia="Times New Roman" w:cs="Times New Roman"/>
                      <w:color w:val="000000"/>
                      <w:sz w:val="22"/>
                      <w:szCs w:val="22"/>
                    </w:rPr>
                    <w:t xml:space="preserve"> </w:t>
                  </w:r>
                  <w:proofErr w:type="spellStart"/>
                  <w:r w:rsidRPr="009A6FAC">
                    <w:rPr>
                      <w:rFonts w:eastAsia="Times New Roman" w:cs="Times New Roman"/>
                      <w:color w:val="000000"/>
                      <w:sz w:val="22"/>
                      <w:szCs w:val="22"/>
                    </w:rPr>
                    <w:t>is</w:t>
                  </w:r>
                  <w:proofErr w:type="spellEnd"/>
                  <w:r w:rsidRPr="009A6FAC">
                    <w:rPr>
                      <w:rFonts w:eastAsia="Times New Roman" w:cs="Times New Roman"/>
                      <w:color w:val="000000"/>
                      <w:sz w:val="22"/>
                      <w:szCs w:val="22"/>
                    </w:rPr>
                    <w:t xml:space="preserve"> not possible </w:t>
                  </w:r>
                  <w:proofErr w:type="spellStart"/>
                  <w:r w:rsidRPr="009A6FAC">
                    <w:rPr>
                      <w:rFonts w:eastAsia="Times New Roman" w:cs="Times New Roman"/>
                      <w:color w:val="000000"/>
                      <w:sz w:val="22"/>
                      <w:szCs w:val="22"/>
                    </w:rPr>
                    <w:t>everywhere</w:t>
                  </w:r>
                  <w:proofErr w:type="spellEnd"/>
                  <w:r w:rsidRPr="009A6FAC">
                    <w:rPr>
                      <w:rFonts w:eastAsia="Times New Roman" w:cs="Times New Roman"/>
                      <w:color w:val="000000"/>
                      <w:sz w:val="22"/>
                      <w:szCs w:val="22"/>
                    </w:rPr>
                    <w:t xml:space="preserve"> </w:t>
                  </w:r>
                </w:p>
                <w:p w14:paraId="707E0C7E"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Coastal area of the sea is polluted (wastewater treatment often not sufficient in rural areas and coastal cities: worn-out equipment, no structures exist to remove effluent far from the shore, and insufficient institutional capacity at regional level </w:t>
                  </w:r>
                </w:p>
                <w:p w14:paraId="2EB22181"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Coastal wastewater treatment plants get overloaded in the summer</w:t>
                  </w:r>
                </w:p>
                <w:p w14:paraId="02BC22B7" w14:textId="77777777" w:rsidR="00FC7277" w:rsidRPr="00682784" w:rsidRDefault="00FC7277" w:rsidP="0028075A">
                  <w:pPr>
                    <w:pStyle w:val="ListParagraph"/>
                    <w:numPr>
                      <w:ilvl w:val="0"/>
                      <w:numId w:val="35"/>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Exploitation of renewables sources other than hydropower is still in its early stages</w:t>
                  </w:r>
                </w:p>
              </w:tc>
            </w:tr>
          </w:tbl>
          <w:p w14:paraId="56211E53" w14:textId="77777777" w:rsidR="00C21808" w:rsidRPr="00682784" w:rsidRDefault="00C21808" w:rsidP="002F1780">
            <w:pPr>
              <w:pStyle w:val="ListParagraph"/>
              <w:cnfStyle w:val="000000000000" w:firstRow="0" w:lastRow="0" w:firstColumn="0" w:lastColumn="0" w:oddVBand="0" w:evenVBand="0" w:oddHBand="0" w:evenHBand="0" w:firstRowFirstColumn="0" w:firstRowLastColumn="0" w:lastRowFirstColumn="0" w:lastRowLastColumn="0"/>
              <w:rPr>
                <w:sz w:val="22"/>
                <w:szCs w:val="22"/>
                <w:lang w:val="en-GB"/>
              </w:rPr>
            </w:pPr>
          </w:p>
        </w:tc>
      </w:tr>
      <w:tr w:rsidR="000A5CAE" w:rsidRPr="009A6FAC" w14:paraId="413FB6CE"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652" w:type="dxa"/>
            <w:tcBorders>
              <w:left w:val="single" w:sz="18" w:space="0" w:color="983620" w:themeColor="accent2"/>
              <w:right w:val="single" w:sz="4" w:space="0" w:color="983620" w:themeColor="accent2"/>
            </w:tcBorders>
            <w:shd w:val="clear" w:color="auto" w:fill="A6A6A6" w:themeFill="background1" w:themeFillShade="A6"/>
            <w:noWrap/>
            <w:hideMark/>
          </w:tcPr>
          <w:p w14:paraId="2A1690A8" w14:textId="77777777" w:rsidR="00C21808" w:rsidRPr="009A6FAC" w:rsidRDefault="00C21808" w:rsidP="002F1780">
            <w:pPr>
              <w:jc w:val="center"/>
              <w:rPr>
                <w:sz w:val="22"/>
                <w:szCs w:val="22"/>
              </w:rPr>
            </w:pPr>
            <w:r w:rsidRPr="009A6FAC">
              <w:rPr>
                <w:sz w:val="22"/>
                <w:szCs w:val="22"/>
              </w:rPr>
              <w:t>OPPORTUNITIES</w:t>
            </w:r>
          </w:p>
        </w:tc>
        <w:tc>
          <w:tcPr>
            <w:tcW w:w="7371" w:type="dxa"/>
            <w:tcBorders>
              <w:left w:val="single" w:sz="4" w:space="0" w:color="983620" w:themeColor="accent2"/>
              <w:right w:val="single" w:sz="18" w:space="0" w:color="983620" w:themeColor="accent2"/>
            </w:tcBorders>
            <w:shd w:val="clear" w:color="auto" w:fill="A6A6A6" w:themeFill="background1" w:themeFillShade="A6"/>
            <w:hideMark/>
          </w:tcPr>
          <w:p w14:paraId="3EB8591E" w14:textId="77777777" w:rsidR="00C21808" w:rsidRPr="009A6FAC" w:rsidRDefault="00C21808" w:rsidP="002F178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9A6FAC">
              <w:rPr>
                <w:b/>
                <w:sz w:val="22"/>
                <w:szCs w:val="22"/>
              </w:rPr>
              <w:t>THREATS</w:t>
            </w:r>
          </w:p>
        </w:tc>
      </w:tr>
      <w:tr w:rsidR="000A5CAE" w:rsidRPr="00B71347" w14:paraId="6FFFC764" w14:textId="77777777" w:rsidTr="00C709E2">
        <w:trPr>
          <w:trHeight w:val="1076"/>
        </w:trPr>
        <w:tc>
          <w:tcPr>
            <w:cnfStyle w:val="001000000000" w:firstRow="0" w:lastRow="0" w:firstColumn="1" w:lastColumn="0" w:oddVBand="0" w:evenVBand="0" w:oddHBand="0" w:evenHBand="0" w:firstRowFirstColumn="0" w:firstRowLastColumn="0" w:lastRowFirstColumn="0" w:lastRowLastColumn="0"/>
            <w:tcW w:w="3652" w:type="dxa"/>
            <w:tcBorders>
              <w:left w:val="single" w:sz="18" w:space="0" w:color="983620" w:themeColor="accent2"/>
              <w:bottom w:val="single" w:sz="18" w:space="0" w:color="983620" w:themeColor="accent2"/>
              <w:right w:val="single" w:sz="4" w:space="0" w:color="983620" w:themeColor="accent2"/>
            </w:tcBorders>
            <w:hideMark/>
          </w:tcPr>
          <w:tbl>
            <w:tblPr>
              <w:tblW w:w="3402" w:type="dxa"/>
              <w:tblLayout w:type="fixed"/>
              <w:tblCellMar>
                <w:left w:w="70" w:type="dxa"/>
                <w:right w:w="70" w:type="dxa"/>
              </w:tblCellMar>
              <w:tblLook w:val="04A0" w:firstRow="1" w:lastRow="0" w:firstColumn="1" w:lastColumn="0" w:noHBand="0" w:noVBand="1"/>
            </w:tblPr>
            <w:tblGrid>
              <w:gridCol w:w="3402"/>
            </w:tblGrid>
            <w:tr w:rsidR="003D57BB" w:rsidRPr="00B71347" w14:paraId="745DFCA5" w14:textId="77777777" w:rsidTr="003D57BB">
              <w:trPr>
                <w:trHeight w:val="3080"/>
              </w:trPr>
              <w:tc>
                <w:tcPr>
                  <w:tcW w:w="3402" w:type="dxa"/>
                  <w:tcBorders>
                    <w:top w:val="nil"/>
                    <w:left w:val="nil"/>
                    <w:right w:val="nil"/>
                  </w:tcBorders>
                  <w:shd w:val="clear" w:color="auto" w:fill="auto"/>
                  <w:vAlign w:val="center"/>
                  <w:hideMark/>
                </w:tcPr>
                <w:p w14:paraId="4454CDAF"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Nutrient pollution from Danube is likely to continue to decrease due to the implementation of EU environmental policy</w:t>
                  </w:r>
                </w:p>
                <w:p w14:paraId="04638C0B"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Massive growth in wind power seen globally</w:t>
                  </w:r>
                </w:p>
                <w:p w14:paraId="7A0030D3"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Calls for a more efficient EU energy policy towards the Black Sea; BSEC promotion of Green Energy investments</w:t>
                  </w:r>
                </w:p>
              </w:tc>
            </w:tr>
          </w:tbl>
          <w:p w14:paraId="54B238A8" w14:textId="77777777" w:rsidR="00C21808" w:rsidRPr="00682784" w:rsidRDefault="00C21808" w:rsidP="003D57BB">
            <w:pPr>
              <w:pStyle w:val="ListParagraph"/>
              <w:spacing w:after="120"/>
              <w:ind w:left="0"/>
              <w:rPr>
                <w:rFonts w:eastAsia="Times New Roman" w:cs="Times New Roman"/>
                <w:b w:val="0"/>
                <w:color w:val="000000"/>
                <w:sz w:val="22"/>
                <w:szCs w:val="22"/>
                <w:lang w:val="en-GB"/>
              </w:rPr>
            </w:pPr>
          </w:p>
        </w:tc>
        <w:tc>
          <w:tcPr>
            <w:tcW w:w="7371" w:type="dxa"/>
            <w:tcBorders>
              <w:left w:val="single" w:sz="4" w:space="0" w:color="983620" w:themeColor="accent2"/>
              <w:bottom w:val="single" w:sz="18" w:space="0" w:color="983620" w:themeColor="accent2"/>
              <w:right w:val="single" w:sz="18" w:space="0" w:color="983620" w:themeColor="accent2"/>
            </w:tcBorders>
            <w:hideMark/>
          </w:tcPr>
          <w:tbl>
            <w:tblPr>
              <w:tblW w:w="7121" w:type="dxa"/>
              <w:tblLayout w:type="fixed"/>
              <w:tblCellMar>
                <w:left w:w="70" w:type="dxa"/>
                <w:right w:w="70" w:type="dxa"/>
              </w:tblCellMar>
              <w:tblLook w:val="04A0" w:firstRow="1" w:lastRow="0" w:firstColumn="1" w:lastColumn="0" w:noHBand="0" w:noVBand="1"/>
            </w:tblPr>
            <w:tblGrid>
              <w:gridCol w:w="7121"/>
            </w:tblGrid>
            <w:tr w:rsidR="003D57BB" w:rsidRPr="00B71347" w14:paraId="75573D87" w14:textId="77777777" w:rsidTr="000A5CAE">
              <w:trPr>
                <w:trHeight w:val="2989"/>
              </w:trPr>
              <w:tc>
                <w:tcPr>
                  <w:tcW w:w="7121" w:type="dxa"/>
                  <w:tcBorders>
                    <w:top w:val="nil"/>
                    <w:left w:val="nil"/>
                  </w:tcBorders>
                  <w:shd w:val="clear" w:color="auto" w:fill="auto"/>
                  <w:vAlign w:val="center"/>
                  <w:hideMark/>
                </w:tcPr>
                <w:p w14:paraId="54346277"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Don and Dnipro may continue to carry heavy nutrient loadings into Black Sea </w:t>
                  </w:r>
                  <w:proofErr w:type="spellStart"/>
                  <w:r w:rsidRPr="00682784">
                    <w:rPr>
                      <w:rFonts w:eastAsia="Times New Roman" w:cs="Times New Roman"/>
                      <w:color w:val="000000"/>
                      <w:sz w:val="22"/>
                      <w:szCs w:val="22"/>
                      <w:lang w:val="en-GB"/>
                    </w:rPr>
                    <w:t>northwestern</w:t>
                  </w:r>
                  <w:proofErr w:type="spellEnd"/>
                  <w:r w:rsidRPr="00682784">
                    <w:rPr>
                      <w:rFonts w:eastAsia="Times New Roman" w:cs="Times New Roman"/>
                      <w:color w:val="000000"/>
                      <w:sz w:val="22"/>
                      <w:szCs w:val="22"/>
                      <w:lang w:val="en-GB"/>
                    </w:rPr>
                    <w:t xml:space="preserve"> part and Azov Sea</w:t>
                  </w:r>
                </w:p>
                <w:p w14:paraId="78B25C79"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Oil pollution enters the sea as a result of operational discharges by vessels and due to accidents</w:t>
                  </w:r>
                </w:p>
                <w:p w14:paraId="6D9287B7" w14:textId="77777777" w:rsidR="003D57BB" w:rsidRPr="009A6FAC" w:rsidRDefault="003D57BB" w:rsidP="0028075A">
                  <w:pPr>
                    <w:pStyle w:val="ListParagraph"/>
                    <w:numPr>
                      <w:ilvl w:val="0"/>
                      <w:numId w:val="36"/>
                    </w:numPr>
                    <w:spacing w:after="0" w:line="240" w:lineRule="auto"/>
                    <w:rPr>
                      <w:rFonts w:eastAsia="Times New Roman" w:cs="Times New Roman"/>
                      <w:color w:val="000000"/>
                      <w:sz w:val="22"/>
                      <w:szCs w:val="22"/>
                    </w:rPr>
                  </w:pPr>
                  <w:proofErr w:type="spellStart"/>
                  <w:r w:rsidRPr="009A6FAC">
                    <w:rPr>
                      <w:rFonts w:eastAsia="Times New Roman" w:cs="Times New Roman"/>
                      <w:color w:val="000000"/>
                      <w:sz w:val="22"/>
                      <w:szCs w:val="22"/>
                    </w:rPr>
                    <w:t>Discharge</w:t>
                  </w:r>
                  <w:proofErr w:type="spellEnd"/>
                  <w:r w:rsidRPr="009A6FAC">
                    <w:rPr>
                      <w:rFonts w:eastAsia="Times New Roman" w:cs="Times New Roman"/>
                      <w:color w:val="000000"/>
                      <w:sz w:val="22"/>
                      <w:szCs w:val="22"/>
                    </w:rPr>
                    <w:t xml:space="preserve"> of </w:t>
                  </w:r>
                  <w:proofErr w:type="spellStart"/>
                  <w:r w:rsidRPr="009A6FAC">
                    <w:rPr>
                      <w:rFonts w:eastAsia="Times New Roman" w:cs="Times New Roman"/>
                      <w:color w:val="000000"/>
                      <w:sz w:val="22"/>
                      <w:szCs w:val="22"/>
                    </w:rPr>
                    <w:t>insufficiently</w:t>
                  </w:r>
                  <w:proofErr w:type="spellEnd"/>
                  <w:r w:rsidRPr="009A6FAC">
                    <w:rPr>
                      <w:rFonts w:eastAsia="Times New Roman" w:cs="Times New Roman"/>
                      <w:color w:val="000000"/>
                      <w:sz w:val="22"/>
                      <w:szCs w:val="22"/>
                    </w:rPr>
                    <w:t xml:space="preserve"> </w:t>
                  </w:r>
                  <w:proofErr w:type="spellStart"/>
                  <w:r w:rsidRPr="009A6FAC">
                    <w:rPr>
                      <w:rFonts w:eastAsia="Times New Roman" w:cs="Times New Roman"/>
                      <w:color w:val="000000"/>
                      <w:sz w:val="22"/>
                      <w:szCs w:val="22"/>
                    </w:rPr>
                    <w:t>treated</w:t>
                  </w:r>
                  <w:proofErr w:type="spellEnd"/>
                  <w:r w:rsidRPr="009A6FAC">
                    <w:rPr>
                      <w:rFonts w:eastAsia="Times New Roman" w:cs="Times New Roman"/>
                      <w:color w:val="000000"/>
                      <w:sz w:val="22"/>
                      <w:szCs w:val="22"/>
                    </w:rPr>
                    <w:t xml:space="preserve"> </w:t>
                  </w:r>
                  <w:proofErr w:type="spellStart"/>
                  <w:r w:rsidRPr="009A6FAC">
                    <w:rPr>
                      <w:rFonts w:eastAsia="Times New Roman" w:cs="Times New Roman"/>
                      <w:color w:val="000000"/>
                      <w:sz w:val="22"/>
                      <w:szCs w:val="22"/>
                    </w:rPr>
                    <w:t>sewage</w:t>
                  </w:r>
                  <w:proofErr w:type="spellEnd"/>
                </w:p>
                <w:p w14:paraId="296D57C4"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Pollution of rivers has led to a sharp decline in access to safe drinking water resources</w:t>
                  </w:r>
                </w:p>
                <w:p w14:paraId="62CCBD69" w14:textId="5CDA9B17" w:rsidR="003D57BB" w:rsidRPr="00682784" w:rsidRDefault="00D77EC3" w:rsidP="0028075A">
                  <w:pPr>
                    <w:pStyle w:val="ListParagraph"/>
                    <w:numPr>
                      <w:ilvl w:val="0"/>
                      <w:numId w:val="36"/>
                    </w:numPr>
                    <w:spacing w:after="0" w:line="240" w:lineRule="auto"/>
                    <w:rPr>
                      <w:rFonts w:eastAsia="Times New Roman" w:cs="Times New Roman"/>
                      <w:color w:val="000000"/>
                      <w:sz w:val="22"/>
                      <w:szCs w:val="22"/>
                      <w:lang w:val="en-GB"/>
                    </w:rPr>
                  </w:pPr>
                  <w:r>
                    <w:rPr>
                      <w:rFonts w:eastAsia="Times New Roman" w:cs="Times New Roman"/>
                      <w:color w:val="000000"/>
                      <w:sz w:val="22"/>
                      <w:szCs w:val="22"/>
                      <w:lang w:val="en-GB"/>
                    </w:rPr>
                    <w:t>At least</w:t>
                  </w:r>
                  <w:r w:rsidR="00BC69E6">
                    <w:rPr>
                      <w:rFonts w:eastAsia="Times New Roman" w:cs="Times New Roman"/>
                      <w:color w:val="000000"/>
                      <w:sz w:val="22"/>
                      <w:szCs w:val="22"/>
                      <w:lang w:val="en-GB"/>
                    </w:rPr>
                    <w:t xml:space="preserve"> 50,000 ships </w:t>
                  </w:r>
                  <w:r w:rsidR="002234F2">
                    <w:rPr>
                      <w:rFonts w:eastAsia="Times New Roman" w:cs="Times New Roman"/>
                      <w:color w:val="000000"/>
                      <w:sz w:val="22"/>
                      <w:szCs w:val="22"/>
                      <w:lang w:val="en-GB"/>
                    </w:rPr>
                    <w:t>enter/exit</w:t>
                  </w:r>
                  <w:r w:rsidR="003D57BB" w:rsidRPr="00682784">
                    <w:rPr>
                      <w:rFonts w:eastAsia="Times New Roman" w:cs="Times New Roman"/>
                      <w:color w:val="000000"/>
                      <w:sz w:val="22"/>
                      <w:szCs w:val="22"/>
                      <w:lang w:val="en-GB"/>
                    </w:rPr>
                    <w:t xml:space="preserve"> the </w:t>
                  </w:r>
                  <w:r w:rsidR="00BC69E6">
                    <w:rPr>
                      <w:rFonts w:eastAsia="Times New Roman" w:cs="Times New Roman"/>
                      <w:color w:val="000000"/>
                      <w:sz w:val="22"/>
                      <w:szCs w:val="22"/>
                      <w:lang w:val="en-GB"/>
                    </w:rPr>
                    <w:t>Black Sea</w:t>
                  </w:r>
                  <w:r w:rsidR="00EB539D">
                    <w:rPr>
                      <w:rFonts w:eastAsia="Times New Roman" w:cs="Times New Roman"/>
                      <w:color w:val="000000"/>
                      <w:sz w:val="22"/>
                      <w:szCs w:val="22"/>
                      <w:lang w:val="en-GB"/>
                    </w:rPr>
                    <w:t xml:space="preserve"> </w:t>
                  </w:r>
                  <w:r w:rsidR="003D57BB" w:rsidRPr="00682784">
                    <w:rPr>
                      <w:rFonts w:eastAsia="Times New Roman" w:cs="Times New Roman"/>
                      <w:color w:val="000000"/>
                      <w:sz w:val="22"/>
                      <w:szCs w:val="22"/>
                      <w:lang w:val="en-GB"/>
                    </w:rPr>
                    <w:t>every year, including at least 10,000 oil tankers</w:t>
                  </w:r>
                </w:p>
                <w:p w14:paraId="638B62B9" w14:textId="77777777" w:rsidR="003D57BB" w:rsidRPr="00682784" w:rsidRDefault="003D57BB" w:rsidP="0028075A">
                  <w:pPr>
                    <w:pStyle w:val="ListParagraph"/>
                    <w:numPr>
                      <w:ilvl w:val="0"/>
                      <w:numId w:val="36"/>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The transport of oil and gas across the Black Sea is a major activity</w:t>
                  </w:r>
                </w:p>
              </w:tc>
            </w:tr>
          </w:tbl>
          <w:p w14:paraId="2EE05A95" w14:textId="77777777" w:rsidR="00C21808" w:rsidRPr="00682784" w:rsidRDefault="00C21808" w:rsidP="003D57BB">
            <w:pPr>
              <w:pStyle w:val="ListParagraph"/>
              <w:spacing w:after="120"/>
              <w:ind w:left="0"/>
              <w:cnfStyle w:val="000000000000" w:firstRow="0" w:lastRow="0" w:firstColumn="0" w:lastColumn="0" w:oddVBand="0" w:evenVBand="0" w:oddHBand="0" w:evenHBand="0" w:firstRowFirstColumn="0" w:firstRowLastColumn="0" w:lastRowFirstColumn="0" w:lastRowLastColumn="0"/>
              <w:rPr>
                <w:sz w:val="22"/>
                <w:szCs w:val="22"/>
                <w:lang w:val="en-GB"/>
              </w:rPr>
            </w:pPr>
          </w:p>
        </w:tc>
      </w:tr>
    </w:tbl>
    <w:p w14:paraId="4291292F" w14:textId="77777777" w:rsidR="00D90F8C" w:rsidRDefault="00D90F8C" w:rsidP="00037D9A">
      <w:pPr>
        <w:pStyle w:val="Heading3"/>
        <w:rPr>
          <w:b/>
          <w:sz w:val="28"/>
          <w:szCs w:val="28"/>
          <w:lang w:val="en-GB"/>
        </w:rPr>
      </w:pPr>
    </w:p>
    <w:p w14:paraId="55E5D29B" w14:textId="77777777" w:rsidR="00620154" w:rsidRDefault="00620154">
      <w:pPr>
        <w:rPr>
          <w:rFonts w:asciiTheme="majorHAnsi" w:eastAsiaTheme="majorEastAsia" w:hAnsiTheme="majorHAnsi" w:cstheme="majorBidi"/>
          <w:b/>
          <w:bCs/>
          <w:color w:val="983620" w:themeColor="accent2"/>
          <w:sz w:val="28"/>
          <w:szCs w:val="28"/>
          <w:lang w:val="en-GB"/>
        </w:rPr>
      </w:pPr>
      <w:r>
        <w:rPr>
          <w:b/>
          <w:sz w:val="28"/>
          <w:szCs w:val="28"/>
          <w:lang w:val="en-GB"/>
        </w:rPr>
        <w:br w:type="page"/>
      </w:r>
    </w:p>
    <w:p w14:paraId="6CCD58AD" w14:textId="77777777" w:rsidR="00037D9A" w:rsidRPr="00037D9A" w:rsidRDefault="002B5D28" w:rsidP="00037D9A">
      <w:pPr>
        <w:pStyle w:val="Heading3"/>
        <w:rPr>
          <w:b/>
          <w:sz w:val="28"/>
          <w:szCs w:val="28"/>
          <w:lang w:val="en-GB"/>
        </w:rPr>
      </w:pPr>
      <w:bookmarkStart w:id="41" w:name="_Toc423436277"/>
      <w:r>
        <w:rPr>
          <w:b/>
          <w:sz w:val="28"/>
          <w:szCs w:val="28"/>
          <w:lang w:val="en-GB"/>
        </w:rPr>
        <w:lastRenderedPageBreak/>
        <w:t xml:space="preserve">3.5 </w:t>
      </w:r>
      <w:r w:rsidR="00037D9A">
        <w:rPr>
          <w:b/>
          <w:sz w:val="28"/>
          <w:szCs w:val="28"/>
          <w:lang w:val="en-GB"/>
        </w:rPr>
        <w:t>Health, safety and security</w:t>
      </w:r>
      <w:bookmarkEnd w:id="41"/>
    </w:p>
    <w:p w14:paraId="1CCFD2EB" w14:textId="77777777" w:rsidR="00D16147" w:rsidRPr="008242B5" w:rsidRDefault="00D16147" w:rsidP="000D36B6">
      <w:pPr>
        <w:spacing w:before="240" w:after="120"/>
        <w:rPr>
          <w:b/>
          <w:lang w:val="en-GB"/>
        </w:rPr>
      </w:pPr>
      <w:bookmarkStart w:id="42" w:name="_Toc246127437"/>
      <w:r w:rsidRPr="008242B5">
        <w:rPr>
          <w:b/>
          <w:lang w:val="en-GB"/>
        </w:rPr>
        <w:t>Overview of key health challenges</w:t>
      </w:r>
      <w:bookmarkEnd w:id="42"/>
      <w:r w:rsidRPr="008242B5">
        <w:rPr>
          <w:b/>
          <w:lang w:val="en-GB"/>
        </w:rPr>
        <w:t xml:space="preserve"> </w:t>
      </w:r>
    </w:p>
    <w:p w14:paraId="6BDB54C4"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Though people in the Black Sea Basin countries still live on average seven years less than in the EU, the gap narrowed slightly from 2006 to 2010 as life expectancy has increased more quickly in the Black Sea Basin than in the EU, with a gain of 1.2 years (at 72.7) against a little less than 1 in the EU (at 79.6)</w:t>
      </w:r>
      <w:r w:rsidRPr="003C35AD">
        <w:rPr>
          <w:rStyle w:val="EndnoteReference"/>
          <w:sz w:val="22"/>
          <w:szCs w:val="22"/>
        </w:rPr>
        <w:endnoteReference w:id="87"/>
      </w:r>
      <w:r w:rsidRPr="004B58D3">
        <w:rPr>
          <w:sz w:val="22"/>
          <w:szCs w:val="22"/>
          <w:lang w:val="en-GB"/>
        </w:rPr>
        <w:t>. Great inequalities remain between and within countries in the Black Sea Basin area</w:t>
      </w:r>
      <w:r w:rsidR="00FF6D05">
        <w:rPr>
          <w:sz w:val="22"/>
          <w:szCs w:val="22"/>
          <w:lang w:val="en-GB"/>
        </w:rPr>
        <w:t xml:space="preserve"> (see figure 22</w:t>
      </w:r>
      <w:r w:rsidRPr="004B58D3">
        <w:rPr>
          <w:sz w:val="22"/>
          <w:szCs w:val="22"/>
          <w:lang w:val="en-GB"/>
        </w:rPr>
        <w:t xml:space="preserve"> below). Life expectancy for men in 2012 ranged</w:t>
      </w:r>
      <w:r w:rsidRPr="003C35AD">
        <w:rPr>
          <w:rStyle w:val="FootnoteReference"/>
          <w:sz w:val="22"/>
          <w:szCs w:val="22"/>
        </w:rPr>
        <w:footnoteReference w:id="43"/>
      </w:r>
      <w:r w:rsidRPr="004B58D3">
        <w:rPr>
          <w:sz w:val="22"/>
          <w:szCs w:val="22"/>
          <w:lang w:val="en-GB"/>
        </w:rPr>
        <w:t xml:space="preserve"> from 64</w:t>
      </w:r>
      <w:r>
        <w:rPr>
          <w:sz w:val="22"/>
          <w:szCs w:val="22"/>
          <w:lang w:val="en-GB"/>
        </w:rPr>
        <w:t>.</w:t>
      </w:r>
      <w:r w:rsidRPr="004B58D3">
        <w:rPr>
          <w:sz w:val="22"/>
          <w:szCs w:val="22"/>
          <w:lang w:val="en-GB"/>
        </w:rPr>
        <w:t xml:space="preserve">4 years in Donetsk oblast (Ukraine) to 78.2 in Greece, and for women from 75 years in Moldova and </w:t>
      </w:r>
      <w:proofErr w:type="spellStart"/>
      <w:r w:rsidRPr="004B58D3">
        <w:rPr>
          <w:sz w:val="22"/>
          <w:szCs w:val="22"/>
          <w:lang w:val="en-GB"/>
        </w:rPr>
        <w:t>Odeska</w:t>
      </w:r>
      <w:proofErr w:type="spellEnd"/>
      <w:r w:rsidRPr="004B58D3">
        <w:rPr>
          <w:sz w:val="22"/>
          <w:szCs w:val="22"/>
          <w:lang w:val="en-GB"/>
        </w:rPr>
        <w:t xml:space="preserve"> oblast (Ukraine) to 82.9 in Greece</w:t>
      </w:r>
      <w:r w:rsidRPr="003C35AD">
        <w:rPr>
          <w:rStyle w:val="EndnoteReference"/>
          <w:sz w:val="22"/>
          <w:szCs w:val="22"/>
        </w:rPr>
        <w:endnoteReference w:id="88"/>
      </w:r>
      <w:r w:rsidRPr="004B58D3">
        <w:rPr>
          <w:sz w:val="22"/>
          <w:szCs w:val="22"/>
          <w:lang w:val="en-GB"/>
        </w:rPr>
        <w:t>.</w:t>
      </w:r>
    </w:p>
    <w:p w14:paraId="584FC369" w14:textId="55CAD2DC" w:rsidR="00D16147" w:rsidRDefault="00F56F80" w:rsidP="00D16147">
      <w:pPr>
        <w:keepNext/>
        <w:spacing w:before="120" w:after="0" w:line="252" w:lineRule="auto"/>
      </w:pPr>
      <w:r w:rsidRPr="00F56F80">
        <w:rPr>
          <w:noProof/>
          <w:lang w:val="en-GB" w:eastAsia="en-GB"/>
        </w:rPr>
        <w:drawing>
          <wp:inline distT="0" distB="0" distL="0" distR="0" wp14:anchorId="29E746EE" wp14:editId="30AB8680">
            <wp:extent cx="5505049" cy="2498090"/>
            <wp:effectExtent l="0" t="0" r="6985" b="0"/>
            <wp:docPr id="116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05580" cy="2498331"/>
                    </a:xfrm>
                    <a:prstGeom prst="rect">
                      <a:avLst/>
                    </a:prstGeom>
                    <a:noFill/>
                    <a:ln>
                      <a:noFill/>
                    </a:ln>
                  </pic:spPr>
                </pic:pic>
              </a:graphicData>
            </a:graphic>
          </wp:inline>
        </w:drawing>
      </w:r>
    </w:p>
    <w:p w14:paraId="070875AE" w14:textId="294B5FF5" w:rsidR="00D16147" w:rsidRPr="004B58D3" w:rsidRDefault="00D16147" w:rsidP="005A12B9">
      <w:pPr>
        <w:pStyle w:val="Caption"/>
        <w:jc w:val="left"/>
        <w:rPr>
          <w:sz w:val="22"/>
          <w:szCs w:val="22"/>
          <w:lang w:val="en-GB"/>
        </w:rPr>
      </w:pPr>
      <w:proofErr w:type="gramStart"/>
      <w:r w:rsidRPr="004B58D3">
        <w:rPr>
          <w:sz w:val="22"/>
          <w:szCs w:val="22"/>
          <w:lang w:val="en-GB"/>
        </w:rPr>
        <w:t xml:space="preserve">Figure </w:t>
      </w:r>
      <w:r w:rsidR="00E16CE7">
        <w:rPr>
          <w:sz w:val="22"/>
          <w:szCs w:val="22"/>
          <w:lang w:val="en-GB"/>
        </w:rPr>
        <w:t>21</w:t>
      </w:r>
      <w:r w:rsidRPr="004B58D3">
        <w:rPr>
          <w:sz w:val="22"/>
          <w:szCs w:val="22"/>
          <w:lang w:val="en-GB"/>
        </w:rPr>
        <w:t>.</w:t>
      </w:r>
      <w:proofErr w:type="gramEnd"/>
      <w:r w:rsidRPr="004B58D3">
        <w:rPr>
          <w:sz w:val="22"/>
          <w:szCs w:val="22"/>
          <w:lang w:val="en-GB"/>
        </w:rPr>
        <w:t xml:space="preserve"> Life expectancy at birth, 201</w:t>
      </w:r>
      <w:r w:rsidR="00F56F80">
        <w:rPr>
          <w:sz w:val="22"/>
          <w:szCs w:val="22"/>
          <w:lang w:val="en-GB"/>
        </w:rPr>
        <w:t>3</w:t>
      </w:r>
      <w:r w:rsidRPr="00645879">
        <w:rPr>
          <w:rStyle w:val="EndnoteReference"/>
          <w:sz w:val="22"/>
          <w:szCs w:val="22"/>
        </w:rPr>
        <w:endnoteReference w:id="89"/>
      </w:r>
    </w:p>
    <w:p w14:paraId="6A974237" w14:textId="77777777" w:rsidR="00D16147" w:rsidRDefault="00D16147" w:rsidP="00D16147">
      <w:pPr>
        <w:spacing w:before="120" w:after="0" w:line="252" w:lineRule="auto"/>
        <w:jc w:val="both"/>
        <w:rPr>
          <w:sz w:val="22"/>
          <w:szCs w:val="22"/>
          <w:lang w:val="en-GB"/>
        </w:rPr>
      </w:pPr>
      <w:r w:rsidRPr="004B58D3">
        <w:rPr>
          <w:sz w:val="22"/>
          <w:szCs w:val="22"/>
          <w:lang w:val="en-GB"/>
        </w:rPr>
        <w:t>To sustain the average gains in life expectancy, continuous efforts are required to decrease mortality, particularly from diseases of the circulatory system, respiratory and infectious diseases, and external causes of injury and poisoning.</w:t>
      </w:r>
    </w:p>
    <w:p w14:paraId="47D4260D" w14:textId="77777777" w:rsidR="00D16147" w:rsidRDefault="00D16147" w:rsidP="00D16147">
      <w:pPr>
        <w:spacing w:before="120" w:after="0" w:line="252" w:lineRule="auto"/>
        <w:jc w:val="both"/>
        <w:rPr>
          <w:rFonts w:cs="Times New Roman"/>
          <w:sz w:val="22"/>
          <w:szCs w:val="22"/>
          <w:lang w:val="en-GB"/>
        </w:rPr>
      </w:pPr>
      <w:r w:rsidRPr="004B58D3">
        <w:rPr>
          <w:sz w:val="22"/>
          <w:szCs w:val="22"/>
          <w:lang w:val="en-GB"/>
        </w:rPr>
        <w:t>Cir</w:t>
      </w:r>
      <w:r>
        <w:rPr>
          <w:sz w:val="22"/>
          <w:szCs w:val="22"/>
          <w:lang w:val="en-GB"/>
        </w:rPr>
        <w:t>culatory system diseases remain</w:t>
      </w:r>
      <w:r w:rsidRPr="004B58D3">
        <w:rPr>
          <w:sz w:val="22"/>
          <w:szCs w:val="22"/>
          <w:lang w:val="en-GB"/>
        </w:rPr>
        <w:t xml:space="preserve"> by far the most important cause of premature death o</w:t>
      </w:r>
      <w:r>
        <w:rPr>
          <w:sz w:val="22"/>
          <w:szCs w:val="22"/>
          <w:lang w:val="en-GB"/>
        </w:rPr>
        <w:t>verall</w:t>
      </w:r>
      <w:r w:rsidRPr="004B58D3">
        <w:rPr>
          <w:sz w:val="22"/>
          <w:szCs w:val="22"/>
          <w:lang w:val="en-GB"/>
        </w:rPr>
        <w:t>, with higher rates for men than women, followed by cancer. However, mortality rates linked to circulatory system diseases vary widely between countries in the region,</w:t>
      </w:r>
      <w:r w:rsidRPr="004B58D3">
        <w:rPr>
          <w:rFonts w:cs="Times New Roman"/>
          <w:sz w:val="22"/>
          <w:szCs w:val="22"/>
          <w:lang w:val="en-GB"/>
        </w:rPr>
        <w:t xml:space="preserve"> from 245</w:t>
      </w:r>
      <w:r>
        <w:rPr>
          <w:rFonts w:cs="Times New Roman"/>
          <w:sz w:val="22"/>
          <w:szCs w:val="22"/>
          <w:lang w:val="en-GB"/>
        </w:rPr>
        <w:t xml:space="preserve"> deaths</w:t>
      </w:r>
      <w:r w:rsidRPr="004B58D3">
        <w:rPr>
          <w:rFonts w:cs="Times New Roman"/>
          <w:sz w:val="22"/>
          <w:szCs w:val="22"/>
          <w:lang w:val="en-GB"/>
        </w:rPr>
        <w:t xml:space="preserve"> (per 100,000 </w:t>
      </w:r>
      <w:proofErr w:type="gramStart"/>
      <w:r w:rsidRPr="004B58D3">
        <w:rPr>
          <w:rFonts w:cs="Times New Roman"/>
          <w:sz w:val="22"/>
          <w:szCs w:val="22"/>
          <w:lang w:val="en-GB"/>
        </w:rPr>
        <w:t>population</w:t>
      </w:r>
      <w:proofErr w:type="gramEnd"/>
      <w:r w:rsidRPr="004B58D3">
        <w:rPr>
          <w:rFonts w:cs="Times New Roman"/>
          <w:sz w:val="22"/>
          <w:szCs w:val="22"/>
          <w:lang w:val="en-GB"/>
        </w:rPr>
        <w:t>) in Greece to above 700 in Ukraine and Moldova</w:t>
      </w:r>
      <w:r w:rsidRPr="003C35AD">
        <w:rPr>
          <w:rStyle w:val="EndnoteReference"/>
          <w:rFonts w:cs="Times New Roman"/>
          <w:sz w:val="22"/>
          <w:szCs w:val="22"/>
        </w:rPr>
        <w:endnoteReference w:id="90"/>
      </w:r>
      <w:r w:rsidRPr="004B58D3">
        <w:rPr>
          <w:rFonts w:cs="Times New Roman"/>
          <w:sz w:val="22"/>
          <w:szCs w:val="22"/>
          <w:lang w:val="en-GB"/>
        </w:rPr>
        <w:t>. Evidence indicates that this challenge can be improved by countries addressing a combination of preventable factors, including high alcohol intake, obesity, high salt intake and physical inactivity</w:t>
      </w:r>
      <w:r w:rsidRPr="003C35AD">
        <w:rPr>
          <w:rStyle w:val="EndnoteReference"/>
          <w:rFonts w:cs="Times New Roman"/>
          <w:sz w:val="22"/>
          <w:szCs w:val="22"/>
        </w:rPr>
        <w:endnoteReference w:id="91"/>
      </w:r>
      <w:r w:rsidRPr="004B58D3">
        <w:rPr>
          <w:rFonts w:cs="Times New Roman"/>
          <w:sz w:val="22"/>
          <w:szCs w:val="22"/>
          <w:lang w:val="en-GB"/>
        </w:rPr>
        <w:t xml:space="preserve">. Promotion of healthy lifestyle appears thus as a priority for improving overall health and reducing premature mortality in the Black Sea Basin. </w:t>
      </w:r>
    </w:p>
    <w:p w14:paraId="30C4940B" w14:textId="77777777" w:rsidR="00D16147" w:rsidRPr="00E50E7D" w:rsidRDefault="00D16147" w:rsidP="00D16147">
      <w:pPr>
        <w:spacing w:before="120" w:after="0" w:line="252" w:lineRule="auto"/>
        <w:jc w:val="both"/>
        <w:rPr>
          <w:sz w:val="22"/>
          <w:szCs w:val="22"/>
          <w:lang w:val="en-GB"/>
        </w:rPr>
      </w:pPr>
      <w:r w:rsidRPr="0050052A">
        <w:rPr>
          <w:sz w:val="22"/>
          <w:szCs w:val="22"/>
          <w:lang w:val="en-GB"/>
        </w:rPr>
        <w:t xml:space="preserve">In regard to cancer, the mortality and incidence patterns vary according to the type of cancer with lung and colon neoplasms having the highest overall mortality. Men are also more affected than women by cancer with 172 against 96 deaths (per 100,000 </w:t>
      </w:r>
      <w:proofErr w:type="gramStart"/>
      <w:r w:rsidRPr="0050052A">
        <w:rPr>
          <w:sz w:val="22"/>
          <w:szCs w:val="22"/>
          <w:lang w:val="en-GB"/>
        </w:rPr>
        <w:t>population</w:t>
      </w:r>
      <w:proofErr w:type="gramEnd"/>
      <w:r w:rsidRPr="0050052A">
        <w:rPr>
          <w:sz w:val="22"/>
          <w:szCs w:val="22"/>
          <w:lang w:val="en-GB"/>
        </w:rPr>
        <w:t>) on average in 2008</w:t>
      </w:r>
      <w:r w:rsidRPr="0050052A">
        <w:rPr>
          <w:rStyle w:val="EndnoteReference"/>
          <w:sz w:val="22"/>
          <w:szCs w:val="22"/>
          <w:lang w:val="en-GB"/>
        </w:rPr>
        <w:endnoteReference w:id="92"/>
      </w:r>
      <w:r w:rsidRPr="0050052A">
        <w:rPr>
          <w:sz w:val="22"/>
          <w:szCs w:val="22"/>
          <w:lang w:val="en-GB"/>
        </w:rPr>
        <w:t>. Discrepancies also appear within the Black Sea Basin region with Armenia and Romania being the most affected and Turkey and Georgia the least</w:t>
      </w:r>
      <w:r w:rsidRPr="0050052A">
        <w:rPr>
          <w:rStyle w:val="FootnoteReference"/>
          <w:sz w:val="22"/>
          <w:szCs w:val="22"/>
          <w:lang w:val="en-GB"/>
        </w:rPr>
        <w:footnoteReference w:id="44"/>
      </w:r>
      <w:r w:rsidRPr="0050052A">
        <w:rPr>
          <w:sz w:val="22"/>
          <w:szCs w:val="22"/>
          <w:lang w:val="en-GB"/>
        </w:rPr>
        <w:t>.</w:t>
      </w:r>
    </w:p>
    <w:p w14:paraId="0070433D" w14:textId="77777777" w:rsidR="00A34868" w:rsidRDefault="00A34868">
      <w:pPr>
        <w:rPr>
          <w:sz w:val="22"/>
          <w:szCs w:val="22"/>
          <w:lang w:val="en-GB"/>
        </w:rPr>
      </w:pPr>
      <w:r>
        <w:rPr>
          <w:sz w:val="22"/>
          <w:szCs w:val="22"/>
          <w:lang w:val="en-GB"/>
        </w:rPr>
        <w:br w:type="page"/>
      </w:r>
    </w:p>
    <w:p w14:paraId="6DD03B72" w14:textId="0DDBE800" w:rsidR="00D16147" w:rsidRDefault="00832462" w:rsidP="00DF4ADE">
      <w:pPr>
        <w:keepNext/>
        <w:spacing w:after="0" w:line="252" w:lineRule="auto"/>
      </w:pPr>
      <w:r w:rsidRPr="00832462">
        <w:rPr>
          <w:noProof/>
          <w:lang w:val="en-GB" w:eastAsia="en-GB"/>
        </w:rPr>
        <w:lastRenderedPageBreak/>
        <w:drawing>
          <wp:inline distT="0" distB="0" distL="0" distR="0" wp14:anchorId="7B693D08" wp14:editId="51B0AAC5">
            <wp:extent cx="6538595" cy="2538238"/>
            <wp:effectExtent l="0" t="0" r="0" b="1905"/>
            <wp:docPr id="117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38595" cy="2538238"/>
                    </a:xfrm>
                    <a:prstGeom prst="rect">
                      <a:avLst/>
                    </a:prstGeom>
                    <a:noFill/>
                    <a:ln>
                      <a:noFill/>
                    </a:ln>
                  </pic:spPr>
                </pic:pic>
              </a:graphicData>
            </a:graphic>
          </wp:inline>
        </w:drawing>
      </w:r>
    </w:p>
    <w:p w14:paraId="68857EC5" w14:textId="4552EB84" w:rsidR="00D16147" w:rsidRPr="004B58D3"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E16CE7">
        <w:rPr>
          <w:sz w:val="22"/>
          <w:szCs w:val="22"/>
          <w:lang w:val="en-GB"/>
        </w:rPr>
        <w:t>22</w:t>
      </w:r>
      <w:r w:rsidRPr="004B58D3">
        <w:rPr>
          <w:sz w:val="22"/>
          <w:szCs w:val="22"/>
          <w:lang w:val="en-GB"/>
        </w:rPr>
        <w:t>.</w:t>
      </w:r>
      <w:proofErr w:type="gramEnd"/>
      <w:r w:rsidRPr="004B58D3">
        <w:rPr>
          <w:sz w:val="22"/>
          <w:szCs w:val="22"/>
          <w:lang w:val="en-GB"/>
        </w:rPr>
        <w:t xml:space="preserve"> Cause of death (% of total deaths), 20</w:t>
      </w:r>
      <w:r w:rsidR="00100065">
        <w:rPr>
          <w:sz w:val="22"/>
          <w:szCs w:val="22"/>
          <w:lang w:val="en-GB"/>
        </w:rPr>
        <w:t>12</w:t>
      </w:r>
      <w:r>
        <w:rPr>
          <w:rStyle w:val="EndnoteReference"/>
          <w:sz w:val="22"/>
          <w:szCs w:val="22"/>
        </w:rPr>
        <w:endnoteReference w:id="93"/>
      </w:r>
    </w:p>
    <w:p w14:paraId="645D48C5" w14:textId="4B5C7CB3" w:rsidR="00D16147" w:rsidRPr="004B58D3" w:rsidRDefault="00D16147" w:rsidP="00DF4ADE">
      <w:pPr>
        <w:spacing w:before="240" w:after="0" w:line="252" w:lineRule="auto"/>
        <w:jc w:val="both"/>
        <w:rPr>
          <w:sz w:val="22"/>
          <w:szCs w:val="22"/>
          <w:lang w:val="en-GB"/>
        </w:rPr>
      </w:pPr>
      <w:r w:rsidRPr="004B58D3">
        <w:rPr>
          <w:sz w:val="22"/>
          <w:szCs w:val="22"/>
          <w:lang w:val="en-GB"/>
        </w:rPr>
        <w:t xml:space="preserve">External causes of injury and poisoning are also important causes of mortality in the region, again with higher rates among men </w:t>
      </w:r>
      <w:proofErr w:type="spellStart"/>
      <w:r w:rsidRPr="004B58D3">
        <w:rPr>
          <w:sz w:val="22"/>
          <w:szCs w:val="22"/>
          <w:lang w:val="en-GB"/>
        </w:rPr>
        <w:t>then</w:t>
      </w:r>
      <w:proofErr w:type="spellEnd"/>
      <w:r w:rsidRPr="004B58D3">
        <w:rPr>
          <w:sz w:val="22"/>
          <w:szCs w:val="22"/>
          <w:lang w:val="en-GB"/>
        </w:rPr>
        <w:t xml:space="preserve"> women, and comprise a constellation of causes, including transport and motor vehicle accidents, falls, suicides and homicides. With a three-fold disparity appearing</w:t>
      </w:r>
      <w:r w:rsidR="00E16CE7">
        <w:rPr>
          <w:sz w:val="22"/>
          <w:szCs w:val="22"/>
          <w:lang w:val="en-GB"/>
        </w:rPr>
        <w:t xml:space="preserve"> at country level (see figure 22</w:t>
      </w:r>
      <w:r w:rsidRPr="004B58D3">
        <w:rPr>
          <w:sz w:val="22"/>
          <w:szCs w:val="22"/>
          <w:lang w:val="en-GB"/>
        </w:rPr>
        <w:t xml:space="preserve"> above), best practices could be shared between countries to tackle deaths from these causes</w:t>
      </w:r>
      <w:r w:rsidRPr="003C35AD">
        <w:rPr>
          <w:rStyle w:val="EndnoteReference"/>
          <w:sz w:val="22"/>
          <w:szCs w:val="22"/>
        </w:rPr>
        <w:endnoteReference w:id="94"/>
      </w:r>
      <w:r w:rsidRPr="004B58D3">
        <w:rPr>
          <w:sz w:val="22"/>
          <w:szCs w:val="22"/>
          <w:lang w:val="en-GB"/>
        </w:rPr>
        <w:t>.</w:t>
      </w:r>
    </w:p>
    <w:p w14:paraId="69BD9B69" w14:textId="52321ADD" w:rsidR="00D16147" w:rsidRPr="004B58D3" w:rsidRDefault="00D16147" w:rsidP="00DF4ADE">
      <w:pPr>
        <w:spacing w:before="120" w:after="0" w:line="252" w:lineRule="auto"/>
        <w:jc w:val="both"/>
        <w:rPr>
          <w:sz w:val="22"/>
          <w:szCs w:val="22"/>
          <w:lang w:val="en-GB"/>
        </w:rPr>
      </w:pPr>
      <w:r w:rsidRPr="004B58D3">
        <w:rPr>
          <w:sz w:val="22"/>
          <w:szCs w:val="22"/>
          <w:lang w:val="en-GB"/>
        </w:rPr>
        <w:t>Within communicable diseases, tuberculosis remains a significant cause of mortality, however prevalence and mortality rates have both decreased over t</w:t>
      </w:r>
      <w:r w:rsidR="00E16CE7">
        <w:rPr>
          <w:sz w:val="22"/>
          <w:szCs w:val="22"/>
          <w:lang w:val="en-GB"/>
        </w:rPr>
        <w:t>he last few years (see figure 23</w:t>
      </w:r>
      <w:r w:rsidRPr="004B58D3">
        <w:rPr>
          <w:sz w:val="22"/>
          <w:szCs w:val="22"/>
          <w:lang w:val="en-GB"/>
        </w:rPr>
        <w:t xml:space="preserve"> below)</w:t>
      </w:r>
      <w:r w:rsidRPr="004320D6">
        <w:rPr>
          <w:rStyle w:val="EndnoteReference"/>
          <w:sz w:val="22"/>
          <w:szCs w:val="22"/>
        </w:rPr>
        <w:endnoteReference w:id="95"/>
      </w:r>
      <w:r w:rsidRPr="004B58D3">
        <w:rPr>
          <w:sz w:val="22"/>
          <w:szCs w:val="22"/>
          <w:lang w:val="en-GB"/>
        </w:rPr>
        <w:t>.</w:t>
      </w:r>
    </w:p>
    <w:p w14:paraId="29FFEFED" w14:textId="77777777" w:rsidR="00D16147" w:rsidRDefault="00D16147" w:rsidP="00DF4ADE">
      <w:pPr>
        <w:keepNext/>
        <w:spacing w:before="120" w:after="0" w:line="252" w:lineRule="auto"/>
      </w:pPr>
      <w:r>
        <w:rPr>
          <w:rFonts w:hAnsi="Verdana"/>
          <w:noProof/>
          <w:color w:val="000000" w:themeColor="dark1"/>
          <w:kern w:val="24"/>
          <w:sz w:val="32"/>
          <w:szCs w:val="32"/>
          <w:lang w:val="en-GB" w:eastAsia="en-GB"/>
        </w:rPr>
        <w:drawing>
          <wp:inline distT="0" distB="0" distL="0" distR="0" wp14:anchorId="2CE1EFA3" wp14:editId="72B318DA">
            <wp:extent cx="6694661" cy="2269490"/>
            <wp:effectExtent l="0" t="0" r="1143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95280" cy="2269700"/>
                    </a:xfrm>
                    <a:prstGeom prst="rect">
                      <a:avLst/>
                    </a:prstGeom>
                    <a:noFill/>
                    <a:ln>
                      <a:noFill/>
                    </a:ln>
                  </pic:spPr>
                </pic:pic>
              </a:graphicData>
            </a:graphic>
          </wp:inline>
        </w:drawing>
      </w:r>
    </w:p>
    <w:p w14:paraId="5AA41656" w14:textId="3C75E445" w:rsidR="00D16147" w:rsidRPr="004B58D3"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E16CE7">
        <w:rPr>
          <w:sz w:val="22"/>
          <w:szCs w:val="22"/>
          <w:lang w:val="en-GB"/>
        </w:rPr>
        <w:t>23</w:t>
      </w:r>
      <w:r w:rsidRPr="004B58D3">
        <w:rPr>
          <w:sz w:val="22"/>
          <w:szCs w:val="22"/>
          <w:lang w:val="en-GB"/>
        </w:rPr>
        <w:t>.</w:t>
      </w:r>
      <w:proofErr w:type="gramEnd"/>
      <w:r w:rsidRPr="004B58D3">
        <w:rPr>
          <w:sz w:val="22"/>
          <w:szCs w:val="22"/>
          <w:lang w:val="en-GB"/>
        </w:rPr>
        <w:t xml:space="preserve"> Tuberculosis prevalence rate (per 100.000 </w:t>
      </w:r>
      <w:proofErr w:type="gramStart"/>
      <w:r w:rsidRPr="004B58D3">
        <w:rPr>
          <w:sz w:val="22"/>
          <w:szCs w:val="22"/>
          <w:lang w:val="en-GB"/>
        </w:rPr>
        <w:t>population</w:t>
      </w:r>
      <w:proofErr w:type="gramEnd"/>
      <w:r w:rsidRPr="004B58D3">
        <w:rPr>
          <w:sz w:val="22"/>
          <w:szCs w:val="22"/>
          <w:lang w:val="en-GB"/>
        </w:rPr>
        <w:t>), 2005-2011</w:t>
      </w:r>
      <w:r>
        <w:rPr>
          <w:rStyle w:val="EndnoteReference"/>
          <w:sz w:val="22"/>
          <w:szCs w:val="22"/>
        </w:rPr>
        <w:endnoteReference w:id="96"/>
      </w:r>
    </w:p>
    <w:p w14:paraId="63F9C6C5" w14:textId="3D85EEF6" w:rsidR="00D16147" w:rsidRPr="004B58D3" w:rsidRDefault="00D16147" w:rsidP="00DF4ADE">
      <w:pPr>
        <w:spacing w:before="240" w:after="0" w:line="252" w:lineRule="auto"/>
        <w:jc w:val="both"/>
        <w:rPr>
          <w:sz w:val="22"/>
          <w:szCs w:val="22"/>
          <w:lang w:val="en-GB"/>
        </w:rPr>
      </w:pPr>
      <w:r w:rsidRPr="004B58D3">
        <w:rPr>
          <w:sz w:val="22"/>
          <w:szCs w:val="22"/>
          <w:lang w:val="en-GB"/>
        </w:rPr>
        <w:t>In regard to HIV, the rates in Ukraine and Moldova are far beyond the EU average of 0</w:t>
      </w:r>
      <w:r>
        <w:rPr>
          <w:sz w:val="22"/>
          <w:szCs w:val="22"/>
          <w:lang w:val="en-GB"/>
        </w:rPr>
        <w:t>.</w:t>
      </w:r>
      <w:r w:rsidRPr="004B58D3">
        <w:rPr>
          <w:sz w:val="22"/>
          <w:szCs w:val="22"/>
          <w:lang w:val="en-GB"/>
        </w:rPr>
        <w:t>3% of the 15-49 age group infected, nonetheless HIV prevalence over the last few years appears to have decreased in Ukraine while only marginally increasing overall in the other countries (</w:t>
      </w:r>
      <w:r w:rsidR="00E16CE7">
        <w:rPr>
          <w:sz w:val="22"/>
          <w:szCs w:val="22"/>
          <w:lang w:val="en-GB"/>
        </w:rPr>
        <w:t>see figure 24</w:t>
      </w:r>
      <w:r w:rsidRPr="004B58D3">
        <w:rPr>
          <w:sz w:val="22"/>
          <w:szCs w:val="22"/>
          <w:lang w:val="en-GB"/>
        </w:rPr>
        <w:t xml:space="preserve"> below). </w:t>
      </w:r>
    </w:p>
    <w:p w14:paraId="004B5221" w14:textId="77777777" w:rsidR="00D16147" w:rsidRDefault="00D16147" w:rsidP="00D47871">
      <w:pPr>
        <w:keepNext/>
        <w:spacing w:after="0" w:line="252" w:lineRule="auto"/>
      </w:pPr>
      <w:r>
        <w:rPr>
          <w:noProof/>
          <w:lang w:val="en-GB" w:eastAsia="en-GB"/>
        </w:rPr>
        <w:lastRenderedPageBreak/>
        <w:drawing>
          <wp:inline distT="0" distB="0" distL="0" distR="0" wp14:anchorId="5BCD5ED3" wp14:editId="70BBB9C3">
            <wp:extent cx="5943600" cy="2014880"/>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014880"/>
                    </a:xfrm>
                    <a:prstGeom prst="rect">
                      <a:avLst/>
                    </a:prstGeom>
                    <a:noFill/>
                    <a:ln>
                      <a:noFill/>
                    </a:ln>
                  </pic:spPr>
                </pic:pic>
              </a:graphicData>
            </a:graphic>
          </wp:inline>
        </w:drawing>
      </w:r>
    </w:p>
    <w:p w14:paraId="649A784E" w14:textId="7EF6C89A" w:rsidR="00D16147"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E16CE7">
        <w:rPr>
          <w:sz w:val="22"/>
          <w:szCs w:val="22"/>
          <w:lang w:val="en-GB"/>
        </w:rPr>
        <w:t>24</w:t>
      </w:r>
      <w:r w:rsidRPr="004B58D3">
        <w:rPr>
          <w:sz w:val="22"/>
          <w:szCs w:val="22"/>
          <w:lang w:val="en-GB"/>
        </w:rPr>
        <w:t>.</w:t>
      </w:r>
      <w:proofErr w:type="gramEnd"/>
      <w:r w:rsidRPr="004B58D3">
        <w:rPr>
          <w:sz w:val="22"/>
          <w:szCs w:val="22"/>
          <w:lang w:val="en-GB"/>
        </w:rPr>
        <w:t xml:space="preserve"> Prevalence of HIV (% of population ages 15-49), 2005-2011</w:t>
      </w:r>
      <w:r>
        <w:rPr>
          <w:rStyle w:val="EndnoteReference"/>
          <w:sz w:val="22"/>
          <w:szCs w:val="22"/>
        </w:rPr>
        <w:endnoteReference w:id="97"/>
      </w:r>
    </w:p>
    <w:p w14:paraId="15062AA5" w14:textId="77777777" w:rsidR="00D16147" w:rsidRPr="00DB399C" w:rsidRDefault="00D16147" w:rsidP="00D16147">
      <w:pPr>
        <w:spacing w:before="120" w:after="0" w:line="252" w:lineRule="auto"/>
        <w:jc w:val="both"/>
        <w:rPr>
          <w:sz w:val="4"/>
          <w:szCs w:val="4"/>
          <w:highlight w:val="yellow"/>
          <w:lang w:val="en-GB"/>
        </w:rPr>
      </w:pPr>
    </w:p>
    <w:p w14:paraId="289EC9CB" w14:textId="68635413" w:rsidR="00D16147" w:rsidRPr="0011680C" w:rsidRDefault="00D16147" w:rsidP="00D16147">
      <w:pPr>
        <w:spacing w:before="120" w:after="0" w:line="252" w:lineRule="auto"/>
        <w:jc w:val="both"/>
        <w:rPr>
          <w:sz w:val="22"/>
          <w:szCs w:val="22"/>
          <w:lang w:val="en-GB"/>
        </w:rPr>
      </w:pPr>
      <w:r w:rsidRPr="0050052A">
        <w:rPr>
          <w:sz w:val="22"/>
          <w:szCs w:val="22"/>
          <w:lang w:val="en-GB"/>
        </w:rPr>
        <w:t xml:space="preserve">The infant mortality rate, a useful indicator of both </w:t>
      </w:r>
      <w:proofErr w:type="gramStart"/>
      <w:r w:rsidRPr="0050052A">
        <w:rPr>
          <w:sz w:val="22"/>
          <w:szCs w:val="22"/>
          <w:lang w:val="en-GB"/>
        </w:rPr>
        <w:t>access</w:t>
      </w:r>
      <w:proofErr w:type="gramEnd"/>
      <w:r w:rsidRPr="0050052A">
        <w:rPr>
          <w:sz w:val="22"/>
          <w:szCs w:val="22"/>
          <w:lang w:val="en-GB"/>
        </w:rPr>
        <w:t xml:space="preserve"> to health care and overall living conditions, reveals great disparities among Black Sea countries, with only Greece in lin</w:t>
      </w:r>
      <w:r w:rsidR="00E16CE7">
        <w:rPr>
          <w:sz w:val="22"/>
          <w:szCs w:val="22"/>
          <w:lang w:val="en-GB"/>
        </w:rPr>
        <w:t>e with EU average (see figure 25</w:t>
      </w:r>
      <w:r w:rsidRPr="0050052A">
        <w:rPr>
          <w:sz w:val="22"/>
          <w:szCs w:val="22"/>
          <w:lang w:val="en-GB"/>
        </w:rPr>
        <w:t xml:space="preserve"> below). Particularly high in Azerbaijan – about 10 times higher than the EU level – it nonetheless decreased steadily, from 41 deaths before one year of age per 1</w:t>
      </w:r>
      <w:r>
        <w:rPr>
          <w:sz w:val="22"/>
          <w:szCs w:val="22"/>
          <w:lang w:val="en-GB"/>
        </w:rPr>
        <w:t>,</w:t>
      </w:r>
      <w:r w:rsidRPr="0050052A">
        <w:rPr>
          <w:sz w:val="22"/>
          <w:szCs w:val="22"/>
          <w:lang w:val="en-GB"/>
        </w:rPr>
        <w:t xml:space="preserve">000 children in 2006, to 31 deaths in 2012. It also decreased, to a lesser extent, in all the other Black Sea countries over the period. </w:t>
      </w:r>
    </w:p>
    <w:p w14:paraId="6EB04005" w14:textId="77777777" w:rsidR="00D16147" w:rsidRDefault="00D16147" w:rsidP="00A207AD">
      <w:pPr>
        <w:rPr>
          <w:lang w:val="en-GB"/>
        </w:rPr>
      </w:pPr>
      <w:r>
        <w:rPr>
          <w:noProof/>
          <w:lang w:val="en-GB" w:eastAsia="en-GB"/>
        </w:rPr>
        <w:drawing>
          <wp:inline distT="0" distB="0" distL="0" distR="0" wp14:anchorId="6CD26A5E" wp14:editId="5F479427">
            <wp:extent cx="6908165" cy="2445490"/>
            <wp:effectExtent l="0" t="0" r="635"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08165" cy="2445490"/>
                    </a:xfrm>
                    <a:prstGeom prst="rect">
                      <a:avLst/>
                    </a:prstGeom>
                    <a:noFill/>
                    <a:ln>
                      <a:noFill/>
                    </a:ln>
                  </pic:spPr>
                </pic:pic>
              </a:graphicData>
            </a:graphic>
          </wp:inline>
        </w:drawing>
      </w:r>
    </w:p>
    <w:p w14:paraId="7A94E065" w14:textId="1BF015AA" w:rsidR="00D16147" w:rsidRDefault="00E16CE7" w:rsidP="005A12B9">
      <w:pPr>
        <w:pStyle w:val="Caption"/>
        <w:spacing w:after="0" w:line="252" w:lineRule="auto"/>
        <w:jc w:val="left"/>
        <w:rPr>
          <w:sz w:val="22"/>
          <w:szCs w:val="22"/>
          <w:lang w:val="en-GB"/>
        </w:rPr>
      </w:pPr>
      <w:proofErr w:type="gramStart"/>
      <w:r>
        <w:rPr>
          <w:sz w:val="22"/>
          <w:szCs w:val="22"/>
          <w:lang w:val="en-GB"/>
        </w:rPr>
        <w:t>Figure 25</w:t>
      </w:r>
      <w:r w:rsidR="00D16147" w:rsidRPr="0050052A">
        <w:rPr>
          <w:sz w:val="22"/>
          <w:szCs w:val="22"/>
          <w:lang w:val="en-GB"/>
        </w:rPr>
        <w:t>.</w:t>
      </w:r>
      <w:proofErr w:type="gramEnd"/>
      <w:r w:rsidR="00D16147" w:rsidRPr="0050052A">
        <w:rPr>
          <w:sz w:val="22"/>
          <w:szCs w:val="22"/>
          <w:lang w:val="en-GB"/>
        </w:rPr>
        <w:t xml:space="preserve"> Number of infants dying before </w:t>
      </w:r>
      <w:r w:rsidR="00D16147">
        <w:rPr>
          <w:sz w:val="22"/>
          <w:szCs w:val="22"/>
          <w:lang w:val="en-GB"/>
        </w:rPr>
        <w:t>reaching one year of age, per 1,</w:t>
      </w:r>
      <w:r w:rsidR="00D16147" w:rsidRPr="0050052A">
        <w:rPr>
          <w:sz w:val="22"/>
          <w:szCs w:val="22"/>
          <w:lang w:val="en-GB"/>
        </w:rPr>
        <w:t>000 live births in 2012</w:t>
      </w:r>
      <w:r w:rsidR="00D16147" w:rsidRPr="00541F65">
        <w:rPr>
          <w:sz w:val="22"/>
          <w:szCs w:val="22"/>
          <w:vertAlign w:val="superscript"/>
          <w:lang w:val="en-GB"/>
        </w:rPr>
        <w:endnoteReference w:id="98"/>
      </w:r>
    </w:p>
    <w:p w14:paraId="3C718824" w14:textId="77777777" w:rsidR="00D16147" w:rsidRPr="0077602E" w:rsidRDefault="00D16147" w:rsidP="00D16147">
      <w:pPr>
        <w:spacing w:before="120" w:after="0" w:line="252" w:lineRule="auto"/>
        <w:jc w:val="both"/>
        <w:rPr>
          <w:sz w:val="6"/>
          <w:szCs w:val="6"/>
          <w:lang w:val="en-GB"/>
        </w:rPr>
      </w:pPr>
    </w:p>
    <w:p w14:paraId="6A8093E2" w14:textId="532C0F5C" w:rsidR="00D16147" w:rsidRPr="0050052A" w:rsidRDefault="00D16147" w:rsidP="00D16147">
      <w:pPr>
        <w:spacing w:before="120" w:after="0" w:line="252" w:lineRule="auto"/>
        <w:jc w:val="both"/>
        <w:rPr>
          <w:sz w:val="22"/>
          <w:szCs w:val="22"/>
          <w:lang w:val="en-GB"/>
        </w:rPr>
      </w:pPr>
      <w:r w:rsidRPr="0050052A">
        <w:rPr>
          <w:sz w:val="22"/>
          <w:szCs w:val="22"/>
          <w:lang w:val="en-GB"/>
        </w:rPr>
        <w:t>With 35% of the population living below the national poverty line in Armenia in 2011 and 25% in Georgia in 2009, the countries’ health systems face serious challenges dealing with poverty and social exclusion. Armenian poverty figures have been stable since 2006, while poverty in Moldova dropped from 30% of the population in 2006 to 17% in 2011</w:t>
      </w:r>
      <w:r w:rsidRPr="0050052A">
        <w:rPr>
          <w:rStyle w:val="EndnoteReference"/>
          <w:sz w:val="22"/>
          <w:szCs w:val="22"/>
          <w:lang w:val="en-GB"/>
        </w:rPr>
        <w:endnoteReference w:id="99"/>
      </w:r>
      <w:r w:rsidRPr="0050052A">
        <w:rPr>
          <w:sz w:val="22"/>
          <w:szCs w:val="22"/>
          <w:lang w:val="en-GB"/>
        </w:rPr>
        <w:t>. Some Black Sea countries designed specific health systems responses to a</w:t>
      </w:r>
      <w:r w:rsidR="00391376">
        <w:rPr>
          <w:sz w:val="22"/>
          <w:szCs w:val="22"/>
          <w:lang w:val="en-GB"/>
        </w:rPr>
        <w:t>d</w:t>
      </w:r>
      <w:r w:rsidRPr="0050052A">
        <w:rPr>
          <w:sz w:val="22"/>
          <w:szCs w:val="22"/>
          <w:lang w:val="en-GB"/>
        </w:rPr>
        <w:t>dress poverty and social exclusion. Notably, in 2006 Georgia launched a Medical Assistance Programme for Peo</w:t>
      </w:r>
      <w:r w:rsidR="004717B6">
        <w:rPr>
          <w:sz w:val="22"/>
          <w:szCs w:val="22"/>
          <w:lang w:val="en-GB"/>
        </w:rPr>
        <w:t>ple below the Poverty Line that</w:t>
      </w:r>
      <w:r w:rsidRPr="0050052A">
        <w:rPr>
          <w:sz w:val="22"/>
          <w:szCs w:val="22"/>
          <w:lang w:val="en-GB"/>
        </w:rPr>
        <w:t xml:space="preserve"> provides a comprehensive package of services (including ambulatory treatment and urgent and planned hospital and specialized care) for the most vulnerable segment of the population. Romania carried out a programme focusing on its ethnic minority Roma population, disproportionately affected by many diseases including tuberculosis (TB). This involved notably the recruitment and training of peer health educators (representatives from </w:t>
      </w:r>
      <w:r w:rsidR="0006785F">
        <w:rPr>
          <w:sz w:val="22"/>
          <w:szCs w:val="22"/>
          <w:lang w:val="en-GB"/>
        </w:rPr>
        <w:t>the Roma community itself) that</w:t>
      </w:r>
      <w:r w:rsidRPr="0050052A">
        <w:rPr>
          <w:sz w:val="22"/>
          <w:szCs w:val="22"/>
          <w:lang w:val="en-GB"/>
        </w:rPr>
        <w:t xml:space="preserve"> proved successful in improving the timely detection of TB cases and </w:t>
      </w:r>
      <w:r w:rsidR="00123410">
        <w:rPr>
          <w:sz w:val="22"/>
          <w:szCs w:val="22"/>
          <w:lang w:val="en-GB"/>
        </w:rPr>
        <w:t xml:space="preserve">the </w:t>
      </w:r>
      <w:r w:rsidRPr="0050052A">
        <w:rPr>
          <w:sz w:val="22"/>
          <w:szCs w:val="22"/>
          <w:lang w:val="en-GB"/>
        </w:rPr>
        <w:t xml:space="preserve">completion of treatment in Roma </w:t>
      </w:r>
      <w:r w:rsidRPr="0050052A">
        <w:rPr>
          <w:sz w:val="22"/>
          <w:szCs w:val="22"/>
          <w:lang w:val="en-GB"/>
        </w:rPr>
        <w:lastRenderedPageBreak/>
        <w:t>communities</w:t>
      </w:r>
      <w:r w:rsidRPr="0050052A">
        <w:rPr>
          <w:sz w:val="22"/>
          <w:szCs w:val="22"/>
          <w:vertAlign w:val="superscript"/>
          <w:lang w:val="en-GB"/>
        </w:rPr>
        <w:endnoteReference w:id="100"/>
      </w:r>
      <w:r w:rsidRPr="0050052A">
        <w:rPr>
          <w:sz w:val="22"/>
          <w:szCs w:val="22"/>
          <w:lang w:val="en-GB"/>
        </w:rPr>
        <w:t>. Such or similar initiatives, targeting poverty and social exclusion in the health sector, may provide a basis for exchange of experience and good practice among Black Sea countries.</w:t>
      </w:r>
    </w:p>
    <w:p w14:paraId="61B637E4" w14:textId="7EBD2D48" w:rsidR="00D16147" w:rsidRPr="0050052A" w:rsidRDefault="00D16147" w:rsidP="00D16147">
      <w:pPr>
        <w:spacing w:before="120" w:after="0" w:line="252" w:lineRule="auto"/>
        <w:jc w:val="both"/>
        <w:rPr>
          <w:sz w:val="22"/>
          <w:szCs w:val="22"/>
          <w:lang w:val="en-GB"/>
        </w:rPr>
      </w:pPr>
      <w:r w:rsidRPr="0050052A">
        <w:rPr>
          <w:sz w:val="22"/>
          <w:szCs w:val="22"/>
          <w:lang w:val="en-GB"/>
        </w:rPr>
        <w:t>Health challenges also include the impact of reproductive health on gender inequalities. Safe motherhood reflects the importance society attaches to women’s reproductive role. Early childbearing, as measured by the adolescent fertility rate, is associated with greater health r</w:t>
      </w:r>
      <w:r w:rsidR="00A31C7C">
        <w:rPr>
          <w:sz w:val="22"/>
          <w:szCs w:val="22"/>
          <w:lang w:val="en-GB"/>
        </w:rPr>
        <w:t>isks for mothers and infants while</w:t>
      </w:r>
      <w:r w:rsidRPr="0050052A">
        <w:rPr>
          <w:sz w:val="22"/>
          <w:szCs w:val="22"/>
          <w:lang w:val="en-GB"/>
        </w:rPr>
        <w:t xml:space="preserve"> adolescent mothers often are forced out of school and into low-skilled jobs. In this regard, Georgia’s high rates for both maternal mortality and fertility rates do not only reflect its health system deficiencies, but they also preven</w:t>
      </w:r>
      <w:r w:rsidR="00E16CE7">
        <w:rPr>
          <w:sz w:val="22"/>
          <w:szCs w:val="22"/>
          <w:lang w:val="en-GB"/>
        </w:rPr>
        <w:t>t gender equality (see figure 26</w:t>
      </w:r>
      <w:r w:rsidRPr="0050052A">
        <w:rPr>
          <w:sz w:val="22"/>
          <w:szCs w:val="22"/>
          <w:lang w:val="en-GB"/>
        </w:rPr>
        <w:t xml:space="preserve"> below). Furthermore, the trend is negative as maternal mortality has considerably increased in Georgia over the last 10 years and in Moldova and Ukraine over the last five years. However, </w:t>
      </w:r>
      <w:r w:rsidR="009C5A2C">
        <w:rPr>
          <w:sz w:val="22"/>
          <w:szCs w:val="22"/>
          <w:lang w:val="en-GB"/>
        </w:rPr>
        <w:t xml:space="preserve">maternal </w:t>
      </w:r>
      <w:r w:rsidRPr="0050052A">
        <w:rPr>
          <w:sz w:val="22"/>
          <w:szCs w:val="22"/>
          <w:lang w:val="en-GB"/>
        </w:rPr>
        <w:t>mortality rates over this period have steadily decreased in all the other Black Sea Basin countries - particularly so in Azerbaijan and Turkey</w:t>
      </w:r>
      <w:r w:rsidRPr="0050052A">
        <w:rPr>
          <w:rStyle w:val="FootnoteReference"/>
          <w:sz w:val="22"/>
          <w:szCs w:val="22"/>
          <w:lang w:val="en-GB"/>
        </w:rPr>
        <w:footnoteReference w:id="45"/>
      </w:r>
      <w:r w:rsidRPr="0050052A">
        <w:rPr>
          <w:sz w:val="22"/>
          <w:szCs w:val="22"/>
          <w:lang w:val="en-GB"/>
        </w:rPr>
        <w:t xml:space="preserve"> - and is relatively low in Greece</w:t>
      </w:r>
      <w:r w:rsidR="004C6BD8">
        <w:rPr>
          <w:sz w:val="22"/>
          <w:szCs w:val="22"/>
          <w:lang w:val="en-GB"/>
        </w:rPr>
        <w:t xml:space="preserve"> and Bulgaria</w:t>
      </w:r>
      <w:r w:rsidRPr="0050052A">
        <w:rPr>
          <w:sz w:val="22"/>
          <w:szCs w:val="22"/>
          <w:lang w:val="en-GB"/>
        </w:rPr>
        <w:t xml:space="preserve">. </w:t>
      </w:r>
    </w:p>
    <w:p w14:paraId="268B0A29" w14:textId="255C07B3" w:rsidR="00D16147" w:rsidRDefault="00F87666" w:rsidP="00D16147">
      <w:pPr>
        <w:spacing w:before="120" w:after="0" w:line="252" w:lineRule="auto"/>
        <w:jc w:val="both"/>
        <w:rPr>
          <w:sz w:val="22"/>
          <w:szCs w:val="22"/>
          <w:lang w:val="en-GB"/>
        </w:rPr>
      </w:pPr>
      <w:r w:rsidRPr="00F87666">
        <w:rPr>
          <w:noProof/>
          <w:lang w:val="en-GB" w:eastAsia="en-GB"/>
        </w:rPr>
        <w:drawing>
          <wp:inline distT="0" distB="0" distL="0" distR="0" wp14:anchorId="18638A2D" wp14:editId="0A0CE0AE">
            <wp:extent cx="6538595" cy="2450842"/>
            <wp:effectExtent l="0" t="0" r="0" b="0"/>
            <wp:docPr id="11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38595" cy="2450842"/>
                    </a:xfrm>
                    <a:prstGeom prst="rect">
                      <a:avLst/>
                    </a:prstGeom>
                    <a:noFill/>
                    <a:ln>
                      <a:noFill/>
                    </a:ln>
                  </pic:spPr>
                </pic:pic>
              </a:graphicData>
            </a:graphic>
          </wp:inline>
        </w:drawing>
      </w:r>
    </w:p>
    <w:p w14:paraId="3F1182B0" w14:textId="39E9B8B1" w:rsidR="00D16147" w:rsidRPr="0050052A" w:rsidRDefault="00E16CE7" w:rsidP="005A12B9">
      <w:pPr>
        <w:pStyle w:val="Caption"/>
        <w:spacing w:after="0" w:line="252" w:lineRule="auto"/>
        <w:jc w:val="left"/>
        <w:rPr>
          <w:sz w:val="22"/>
          <w:szCs w:val="22"/>
          <w:lang w:val="en-GB"/>
        </w:rPr>
      </w:pPr>
      <w:proofErr w:type="gramStart"/>
      <w:r>
        <w:rPr>
          <w:sz w:val="22"/>
          <w:szCs w:val="22"/>
          <w:lang w:val="en-GB"/>
        </w:rPr>
        <w:t>Figure 26</w:t>
      </w:r>
      <w:r w:rsidR="00D16147" w:rsidRPr="0050052A">
        <w:rPr>
          <w:sz w:val="22"/>
          <w:szCs w:val="22"/>
          <w:lang w:val="en-GB"/>
        </w:rPr>
        <w:t>.</w:t>
      </w:r>
      <w:proofErr w:type="gramEnd"/>
      <w:r w:rsidR="00D16147" w:rsidRPr="0050052A">
        <w:rPr>
          <w:sz w:val="22"/>
          <w:szCs w:val="22"/>
          <w:lang w:val="en-GB"/>
        </w:rPr>
        <w:t xml:space="preserve"> Maternal mortality rat</w:t>
      </w:r>
      <w:r w:rsidR="004D64A0">
        <w:rPr>
          <w:sz w:val="22"/>
          <w:szCs w:val="22"/>
          <w:lang w:val="en-GB"/>
        </w:rPr>
        <w:t>io</w:t>
      </w:r>
      <w:r w:rsidR="00D16147" w:rsidRPr="0050052A">
        <w:rPr>
          <w:sz w:val="22"/>
          <w:szCs w:val="22"/>
          <w:lang w:val="en-GB"/>
        </w:rPr>
        <w:t xml:space="preserve"> and Adolescent fertility rate</w:t>
      </w:r>
      <w:r w:rsidR="00D16147" w:rsidRPr="0050052A">
        <w:rPr>
          <w:rStyle w:val="FootnoteReference"/>
          <w:sz w:val="22"/>
          <w:szCs w:val="22"/>
          <w:lang w:val="en-GB"/>
        </w:rPr>
        <w:footnoteReference w:id="46"/>
      </w:r>
      <w:r w:rsidR="00D16147" w:rsidRPr="0050052A">
        <w:rPr>
          <w:sz w:val="22"/>
          <w:szCs w:val="22"/>
          <w:lang w:val="en-GB"/>
        </w:rPr>
        <w:t xml:space="preserve"> in 201</w:t>
      </w:r>
      <w:r w:rsidR="00F87666">
        <w:rPr>
          <w:sz w:val="22"/>
          <w:szCs w:val="22"/>
          <w:lang w:val="en-GB"/>
        </w:rPr>
        <w:t>3</w:t>
      </w:r>
      <w:r w:rsidR="00D16147" w:rsidRPr="0050052A">
        <w:rPr>
          <w:rStyle w:val="EndnoteReference"/>
          <w:sz w:val="22"/>
          <w:szCs w:val="22"/>
          <w:lang w:val="en-GB"/>
        </w:rPr>
        <w:endnoteReference w:id="101"/>
      </w:r>
    </w:p>
    <w:p w14:paraId="1DCF71D5" w14:textId="1AE8D20F" w:rsidR="00D16147" w:rsidRDefault="00D16147" w:rsidP="00FE5BF5">
      <w:pPr>
        <w:spacing w:before="240" w:after="0" w:line="252" w:lineRule="auto"/>
        <w:jc w:val="both"/>
        <w:rPr>
          <w:sz w:val="22"/>
          <w:szCs w:val="22"/>
          <w:lang w:val="en-GB"/>
        </w:rPr>
      </w:pPr>
      <w:r w:rsidRPr="0050052A">
        <w:rPr>
          <w:sz w:val="22"/>
          <w:szCs w:val="22"/>
          <w:lang w:val="en-GB"/>
        </w:rPr>
        <w:t>Female reproductive health has a strong impact on the UNDP calculation of the gender inequality index</w:t>
      </w:r>
      <w:r w:rsidRPr="0050052A">
        <w:rPr>
          <w:sz w:val="22"/>
          <w:szCs w:val="22"/>
          <w:vertAlign w:val="superscript"/>
          <w:lang w:val="en-GB"/>
        </w:rPr>
        <w:footnoteReference w:id="47"/>
      </w:r>
      <w:r w:rsidR="00E16CE7">
        <w:rPr>
          <w:sz w:val="22"/>
          <w:szCs w:val="22"/>
          <w:lang w:val="en-GB"/>
        </w:rPr>
        <w:t xml:space="preserve"> (see figure 27</w:t>
      </w:r>
      <w:r w:rsidRPr="0050052A">
        <w:rPr>
          <w:sz w:val="22"/>
          <w:szCs w:val="22"/>
          <w:lang w:val="en-GB"/>
        </w:rPr>
        <w:t xml:space="preserve"> below), though Georgia’s high inequality score also reflects women’s poor representation in Parliament. Women’s relative disadvantage is smallest in Greece and Bulgaria, thanks to the countries efforts in reproductive health but also where women have a bigger share of parliamentary seats. In Turkey nonetheless, the main obstacles to gender equality are the unequal access by women to higher education and to the labour market.</w:t>
      </w:r>
    </w:p>
    <w:p w14:paraId="3A4EAE54" w14:textId="77777777" w:rsidR="00D16147" w:rsidRPr="00927B9B" w:rsidRDefault="00D16147" w:rsidP="00D16147">
      <w:pPr>
        <w:spacing w:before="120" w:after="0" w:line="252" w:lineRule="auto"/>
        <w:jc w:val="both"/>
        <w:rPr>
          <w:sz w:val="4"/>
          <w:szCs w:val="4"/>
          <w:lang w:val="en-GB"/>
        </w:rPr>
      </w:pPr>
    </w:p>
    <w:p w14:paraId="77829DF6" w14:textId="77777777" w:rsidR="00D16147" w:rsidRPr="00C0374D" w:rsidRDefault="00D16147" w:rsidP="00D16147">
      <w:pPr>
        <w:rPr>
          <w:lang w:val="en-GB"/>
        </w:rPr>
      </w:pPr>
      <w:r>
        <w:rPr>
          <w:noProof/>
          <w:lang w:val="en-GB" w:eastAsia="en-GB"/>
        </w:rPr>
        <w:lastRenderedPageBreak/>
        <w:drawing>
          <wp:inline distT="0" distB="0" distL="0" distR="0" wp14:anchorId="215C63E5" wp14:editId="707119B6">
            <wp:extent cx="4391918" cy="1803823"/>
            <wp:effectExtent l="0" t="0" r="2540" b="0"/>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98188" cy="1806398"/>
                    </a:xfrm>
                    <a:prstGeom prst="rect">
                      <a:avLst/>
                    </a:prstGeom>
                    <a:noFill/>
                    <a:ln>
                      <a:noFill/>
                    </a:ln>
                  </pic:spPr>
                </pic:pic>
              </a:graphicData>
            </a:graphic>
          </wp:inline>
        </w:drawing>
      </w:r>
    </w:p>
    <w:p w14:paraId="68F2D136" w14:textId="5B2FECF2" w:rsidR="00D16147" w:rsidRDefault="00E16CE7" w:rsidP="005A12B9">
      <w:pPr>
        <w:pStyle w:val="Caption"/>
        <w:spacing w:after="0" w:line="252" w:lineRule="auto"/>
        <w:jc w:val="left"/>
        <w:rPr>
          <w:sz w:val="22"/>
          <w:szCs w:val="22"/>
          <w:lang w:val="en-GB"/>
        </w:rPr>
      </w:pPr>
      <w:proofErr w:type="gramStart"/>
      <w:r>
        <w:rPr>
          <w:sz w:val="22"/>
          <w:szCs w:val="22"/>
          <w:lang w:val="en-GB"/>
        </w:rPr>
        <w:t>Figure 27</w:t>
      </w:r>
      <w:r w:rsidR="00D16147" w:rsidRPr="0050052A">
        <w:rPr>
          <w:sz w:val="22"/>
          <w:szCs w:val="22"/>
          <w:lang w:val="en-GB"/>
        </w:rPr>
        <w:t>.</w:t>
      </w:r>
      <w:proofErr w:type="gramEnd"/>
      <w:r w:rsidR="00D16147" w:rsidRPr="0050052A">
        <w:rPr>
          <w:sz w:val="22"/>
          <w:szCs w:val="22"/>
          <w:lang w:val="en-GB"/>
        </w:rPr>
        <w:t xml:space="preserve"> </w:t>
      </w:r>
      <w:proofErr w:type="gramStart"/>
      <w:r w:rsidR="00D16147" w:rsidRPr="0050052A">
        <w:rPr>
          <w:sz w:val="22"/>
          <w:szCs w:val="22"/>
          <w:lang w:val="en-GB"/>
        </w:rPr>
        <w:t>Gender Inequality Index (GII) in Black Sea Basin countries, UNDP, 2012</w:t>
      </w:r>
      <w:r w:rsidR="00D16147" w:rsidRPr="009A312F">
        <w:rPr>
          <w:vertAlign w:val="superscript"/>
        </w:rPr>
        <w:endnoteReference w:id="102"/>
      </w:r>
      <w:r w:rsidR="00D16147" w:rsidRPr="0050052A">
        <w:rPr>
          <w:sz w:val="22"/>
          <w:szCs w:val="22"/>
          <w:lang w:val="en-GB"/>
        </w:rPr>
        <w:t>.</w:t>
      </w:r>
      <w:proofErr w:type="gramEnd"/>
      <w:r w:rsidR="00D16147" w:rsidRPr="0050052A">
        <w:rPr>
          <w:sz w:val="22"/>
          <w:szCs w:val="22"/>
          <w:lang w:val="en-GB"/>
        </w:rPr>
        <w:t xml:space="preserve"> A high GII value indicates high inequalities.</w:t>
      </w:r>
    </w:p>
    <w:p w14:paraId="465105B8" w14:textId="77777777" w:rsidR="00D16147" w:rsidRPr="008242B5" w:rsidRDefault="00D16147" w:rsidP="000D36B6">
      <w:pPr>
        <w:spacing w:before="240" w:after="120"/>
        <w:rPr>
          <w:b/>
          <w:lang w:val="en-GB"/>
        </w:rPr>
      </w:pPr>
      <w:bookmarkStart w:id="43" w:name="_Toc246127438"/>
      <w:r w:rsidRPr="008242B5">
        <w:rPr>
          <w:b/>
          <w:lang w:val="en-GB"/>
        </w:rPr>
        <w:t>Safety and security challenges</w:t>
      </w:r>
      <w:bookmarkEnd w:id="43"/>
      <w:r w:rsidRPr="008242B5">
        <w:rPr>
          <w:b/>
          <w:lang w:val="en-GB"/>
        </w:rPr>
        <w:t xml:space="preserve"> </w:t>
      </w:r>
    </w:p>
    <w:p w14:paraId="2D553C69"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 xml:space="preserve">Irregular migration remains a reality in the </w:t>
      </w:r>
      <w:r>
        <w:rPr>
          <w:sz w:val="22"/>
          <w:szCs w:val="22"/>
          <w:lang w:val="en-GB"/>
        </w:rPr>
        <w:t xml:space="preserve">Black Sea Basin </w:t>
      </w:r>
      <w:r w:rsidRPr="004B58D3">
        <w:rPr>
          <w:sz w:val="22"/>
          <w:szCs w:val="22"/>
          <w:lang w:val="en-GB"/>
        </w:rPr>
        <w:t>region with one of the biggest challenges being human trafficking. Some of the countries in the region</w:t>
      </w:r>
      <w:r>
        <w:rPr>
          <w:sz w:val="22"/>
          <w:szCs w:val="22"/>
          <w:lang w:val="en-GB"/>
        </w:rPr>
        <w:t>,</w:t>
      </w:r>
      <w:r w:rsidRPr="004B58D3">
        <w:rPr>
          <w:sz w:val="22"/>
          <w:szCs w:val="22"/>
          <w:lang w:val="en-GB"/>
        </w:rPr>
        <w:t xml:space="preserve"> such as Moldova and Ukraine</w:t>
      </w:r>
      <w:r>
        <w:rPr>
          <w:sz w:val="22"/>
          <w:szCs w:val="22"/>
          <w:lang w:val="en-GB"/>
        </w:rPr>
        <w:t>,</w:t>
      </w:r>
      <w:r w:rsidRPr="004B58D3">
        <w:rPr>
          <w:sz w:val="22"/>
          <w:szCs w:val="22"/>
          <w:lang w:val="en-GB"/>
        </w:rPr>
        <w:t xml:space="preserve"> are the major countries of origin for victims of trafficking to the EU. The Black Sea region is also the meeting point for many irregular migration routes and illicit trafficking leading further west</w:t>
      </w:r>
      <w:r>
        <w:rPr>
          <w:sz w:val="22"/>
          <w:szCs w:val="22"/>
          <w:lang w:val="en-GB"/>
        </w:rPr>
        <w:t>.</w:t>
      </w:r>
      <w:r w:rsidRPr="004B58D3">
        <w:rPr>
          <w:sz w:val="22"/>
          <w:szCs w:val="22"/>
          <w:lang w:val="en-GB"/>
        </w:rPr>
        <w:t xml:space="preserve"> </w:t>
      </w:r>
      <w:r>
        <w:rPr>
          <w:sz w:val="22"/>
          <w:szCs w:val="22"/>
          <w:lang w:val="en-GB"/>
        </w:rPr>
        <w:t>T</w:t>
      </w:r>
      <w:r w:rsidRPr="004B58D3">
        <w:rPr>
          <w:sz w:val="22"/>
          <w:szCs w:val="22"/>
          <w:lang w:val="en-GB"/>
        </w:rPr>
        <w:t>he Eastern Mediterranean route, the Balkan and the Central and Eastern European routes all, at some point, cut through the Black Sea region</w:t>
      </w:r>
      <w:r w:rsidRPr="004320D6">
        <w:rPr>
          <w:rStyle w:val="EndnoteReference"/>
          <w:sz w:val="22"/>
          <w:szCs w:val="22"/>
        </w:rPr>
        <w:endnoteReference w:id="103"/>
      </w:r>
      <w:r w:rsidRPr="004B58D3">
        <w:rPr>
          <w:sz w:val="22"/>
          <w:szCs w:val="22"/>
          <w:lang w:val="en-GB"/>
        </w:rPr>
        <w:t>.</w:t>
      </w:r>
    </w:p>
    <w:p w14:paraId="39FB5672"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Persistent conflicts and bilateral disputes often undermine endogenous regional cooperation, putting a strain on the potential effectiveness of regional organisations (notably BSEC). The Black Sea region continues to be affected by a number of conflicts, and the persistence of trade and economic blockades between several pairs of Black Sea states (Russia-Georgia, Turkey-Armenia, Azerbaijan-Armenia) has fragmented the regional economy and generated distortions undermining efforts toward economic cooperation</w:t>
      </w:r>
      <w:r w:rsidRPr="004320D6">
        <w:rPr>
          <w:rStyle w:val="EndnoteReference"/>
          <w:sz w:val="22"/>
          <w:szCs w:val="22"/>
        </w:rPr>
        <w:endnoteReference w:id="104"/>
      </w:r>
      <w:r w:rsidRPr="004B58D3">
        <w:rPr>
          <w:sz w:val="22"/>
          <w:szCs w:val="22"/>
          <w:lang w:val="en-GB"/>
        </w:rPr>
        <w:t>.</w:t>
      </w:r>
    </w:p>
    <w:p w14:paraId="7A302622" w14:textId="77777777" w:rsidR="00D16147" w:rsidRDefault="00D16147" w:rsidP="00D16147">
      <w:pPr>
        <w:spacing w:before="120" w:after="0" w:line="252" w:lineRule="auto"/>
        <w:jc w:val="both"/>
        <w:rPr>
          <w:sz w:val="22"/>
          <w:szCs w:val="22"/>
          <w:lang w:val="en-GB"/>
        </w:rPr>
      </w:pPr>
      <w:r w:rsidRPr="004B58D3">
        <w:rPr>
          <w:sz w:val="22"/>
          <w:szCs w:val="22"/>
          <w:lang w:val="en-GB"/>
        </w:rPr>
        <w:t xml:space="preserve">In August 2008, the Black Sea region became the focal point of international attention as a result of the military confrontation </w:t>
      </w:r>
      <w:r w:rsidR="000F2B28">
        <w:rPr>
          <w:sz w:val="22"/>
          <w:szCs w:val="22"/>
          <w:lang w:val="en-GB"/>
        </w:rPr>
        <w:t>between Georgia and Russia that</w:t>
      </w:r>
      <w:r w:rsidRPr="004B58D3">
        <w:rPr>
          <w:sz w:val="22"/>
          <w:szCs w:val="22"/>
          <w:lang w:val="en-GB"/>
        </w:rPr>
        <w:t xml:space="preserve"> put region-wide cooperation further on hold. Energy disputes between Russia and Ukraine in the winter of 2006 and 2009 raised concerns about </w:t>
      </w:r>
      <w:r>
        <w:rPr>
          <w:sz w:val="22"/>
          <w:szCs w:val="22"/>
          <w:lang w:val="en-GB"/>
        </w:rPr>
        <w:t xml:space="preserve">the </w:t>
      </w:r>
      <w:r w:rsidRPr="004B58D3">
        <w:rPr>
          <w:sz w:val="22"/>
          <w:szCs w:val="22"/>
          <w:lang w:val="en-GB"/>
        </w:rPr>
        <w:t>EU’s energy security and elicited calls for a more efficient EU energy policy towards the Black Sea</w:t>
      </w:r>
      <w:r w:rsidRPr="004320D6">
        <w:rPr>
          <w:rStyle w:val="EndnoteReference"/>
          <w:sz w:val="22"/>
          <w:szCs w:val="22"/>
        </w:rPr>
        <w:endnoteReference w:id="105"/>
      </w:r>
      <w:r w:rsidRPr="004B58D3">
        <w:rPr>
          <w:sz w:val="22"/>
          <w:szCs w:val="22"/>
          <w:lang w:val="en-GB"/>
        </w:rPr>
        <w:t>.</w:t>
      </w:r>
    </w:p>
    <w:p w14:paraId="2433D493" w14:textId="77777777" w:rsidR="009B07F0" w:rsidRDefault="00557DA2" w:rsidP="00D16147">
      <w:pPr>
        <w:spacing w:before="120" w:after="0" w:line="252" w:lineRule="auto"/>
        <w:jc w:val="both"/>
        <w:rPr>
          <w:sz w:val="22"/>
          <w:szCs w:val="22"/>
          <w:lang w:val="en-GB"/>
        </w:rPr>
      </w:pPr>
      <w:r w:rsidRPr="00FB4263">
        <w:rPr>
          <w:sz w:val="22"/>
          <w:szCs w:val="22"/>
          <w:lang w:val="en-GB"/>
        </w:rPr>
        <w:t>Another</w:t>
      </w:r>
      <w:r w:rsidR="00F84F9C" w:rsidRPr="00FB4263">
        <w:rPr>
          <w:sz w:val="22"/>
          <w:szCs w:val="22"/>
          <w:lang w:val="en-GB"/>
        </w:rPr>
        <w:t xml:space="preserve"> ma</w:t>
      </w:r>
      <w:r w:rsidR="005808BF" w:rsidRPr="00FB4263">
        <w:rPr>
          <w:sz w:val="22"/>
          <w:szCs w:val="22"/>
          <w:lang w:val="en-GB"/>
        </w:rPr>
        <w:t>jor</w:t>
      </w:r>
      <w:r w:rsidR="003F24EC" w:rsidRPr="00FB4263">
        <w:rPr>
          <w:sz w:val="22"/>
          <w:szCs w:val="22"/>
          <w:lang w:val="en-GB"/>
        </w:rPr>
        <w:t xml:space="preserve"> regional and</w:t>
      </w:r>
      <w:r w:rsidR="005808BF" w:rsidRPr="00FB4263">
        <w:rPr>
          <w:sz w:val="22"/>
          <w:szCs w:val="22"/>
          <w:lang w:val="en-GB"/>
        </w:rPr>
        <w:t xml:space="preserve"> international crisis unfolded</w:t>
      </w:r>
      <w:r w:rsidR="00F84F9C" w:rsidRPr="00FB4263">
        <w:rPr>
          <w:sz w:val="22"/>
          <w:szCs w:val="22"/>
          <w:lang w:val="en-GB"/>
        </w:rPr>
        <w:t xml:space="preserve"> after the Ukra</w:t>
      </w:r>
      <w:r w:rsidR="005262A4" w:rsidRPr="00FB4263">
        <w:rPr>
          <w:sz w:val="22"/>
          <w:szCs w:val="22"/>
          <w:lang w:val="en-GB"/>
        </w:rPr>
        <w:t>inian revolution in</w:t>
      </w:r>
      <w:r w:rsidR="00835EBB" w:rsidRPr="00FB4263">
        <w:rPr>
          <w:sz w:val="22"/>
          <w:szCs w:val="22"/>
          <w:lang w:val="en-GB"/>
        </w:rPr>
        <w:t xml:space="preserve"> February 2014, followed by </w:t>
      </w:r>
      <w:r w:rsidR="003C7EA0" w:rsidRPr="00FB4263">
        <w:rPr>
          <w:sz w:val="22"/>
          <w:szCs w:val="22"/>
          <w:lang w:val="en-GB"/>
        </w:rPr>
        <w:t xml:space="preserve">illegal annexation of Crimea Republic and Sevastopol by </w:t>
      </w:r>
      <w:r w:rsidR="004B6FBA" w:rsidRPr="00FB4263">
        <w:rPr>
          <w:sz w:val="22"/>
          <w:szCs w:val="22"/>
          <w:lang w:val="en-GB"/>
        </w:rPr>
        <w:t xml:space="preserve">the </w:t>
      </w:r>
      <w:r w:rsidR="003C7EA0" w:rsidRPr="00FB4263">
        <w:rPr>
          <w:sz w:val="22"/>
          <w:szCs w:val="22"/>
          <w:lang w:val="en-GB"/>
        </w:rPr>
        <w:t>Russ</w:t>
      </w:r>
      <w:r w:rsidR="004B6FBA" w:rsidRPr="00FB4263">
        <w:rPr>
          <w:sz w:val="22"/>
          <w:szCs w:val="22"/>
          <w:lang w:val="en-GB"/>
        </w:rPr>
        <w:t>ian Federation</w:t>
      </w:r>
      <w:r w:rsidR="003C7EA0" w:rsidRPr="00FB4263">
        <w:rPr>
          <w:sz w:val="22"/>
          <w:szCs w:val="22"/>
          <w:lang w:val="en-GB"/>
        </w:rPr>
        <w:t xml:space="preserve"> and </w:t>
      </w:r>
      <w:r w:rsidR="00324D85" w:rsidRPr="00FB4263">
        <w:rPr>
          <w:sz w:val="22"/>
          <w:szCs w:val="22"/>
          <w:lang w:val="en-GB"/>
        </w:rPr>
        <w:t xml:space="preserve">armed conflicts in </w:t>
      </w:r>
      <w:r w:rsidR="00E37254" w:rsidRPr="00FB4263">
        <w:rPr>
          <w:sz w:val="22"/>
          <w:szCs w:val="22"/>
          <w:lang w:val="en-GB"/>
        </w:rPr>
        <w:t>southeast</w:t>
      </w:r>
      <w:r w:rsidR="002C2536" w:rsidRPr="00FB4263">
        <w:rPr>
          <w:sz w:val="22"/>
          <w:szCs w:val="22"/>
          <w:lang w:val="en-GB"/>
        </w:rPr>
        <w:t xml:space="preserve"> of Ukraine.</w:t>
      </w:r>
    </w:p>
    <w:p w14:paraId="736EC65E" w14:textId="77777777" w:rsidR="00620154" w:rsidRDefault="00620154">
      <w:pPr>
        <w:rPr>
          <w:sz w:val="22"/>
          <w:szCs w:val="22"/>
          <w:lang w:val="en-GB"/>
        </w:rPr>
      </w:pPr>
      <w:r>
        <w:rPr>
          <w:sz w:val="22"/>
          <w:szCs w:val="22"/>
          <w:lang w:val="en-GB"/>
        </w:rPr>
        <w:br w:type="page"/>
      </w:r>
    </w:p>
    <w:p w14:paraId="7BBD0279" w14:textId="77777777" w:rsidR="00D0155C" w:rsidRDefault="00D0155C" w:rsidP="00D16147">
      <w:pPr>
        <w:spacing w:before="120" w:after="0" w:line="252" w:lineRule="auto"/>
        <w:jc w:val="both"/>
        <w:rPr>
          <w:sz w:val="22"/>
          <w:szCs w:val="22"/>
          <w:lang w:val="en-GB"/>
        </w:rPr>
      </w:pPr>
    </w:p>
    <w:tbl>
      <w:tblPr>
        <w:tblStyle w:val="ColorfulList"/>
        <w:tblW w:w="0" w:type="auto"/>
        <w:tblLayout w:type="fixed"/>
        <w:tblLook w:val="04A0" w:firstRow="1" w:lastRow="0" w:firstColumn="1" w:lastColumn="0" w:noHBand="0" w:noVBand="1"/>
      </w:tblPr>
      <w:tblGrid>
        <w:gridCol w:w="2660"/>
        <w:gridCol w:w="8363"/>
      </w:tblGrid>
      <w:tr w:rsidR="00D0155C" w:rsidRPr="00B71347" w14:paraId="45BED216" w14:textId="77777777" w:rsidTr="00D738CD">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tcBorders>
              <w:top w:val="single" w:sz="18" w:space="0" w:color="983620" w:themeColor="accent2"/>
              <w:left w:val="single" w:sz="18" w:space="0" w:color="983620" w:themeColor="accent2"/>
              <w:bottom w:val="none" w:sz="0" w:space="0" w:color="auto"/>
              <w:right w:val="single" w:sz="18" w:space="0" w:color="983620" w:themeColor="accent2"/>
            </w:tcBorders>
            <w:noWrap/>
            <w:hideMark/>
          </w:tcPr>
          <w:p w14:paraId="1D14E5C1" w14:textId="77777777" w:rsidR="00D0155C" w:rsidRPr="00682784" w:rsidRDefault="00D0155C" w:rsidP="00801CA7">
            <w:pPr>
              <w:jc w:val="center"/>
              <w:rPr>
                <w:lang w:val="en-GB"/>
              </w:rPr>
            </w:pPr>
            <w:r w:rsidRPr="00682784">
              <w:rPr>
                <w:lang w:val="en-GB"/>
              </w:rPr>
              <w:t xml:space="preserve">SWOT – </w:t>
            </w:r>
            <w:r w:rsidR="00E72C02" w:rsidRPr="00682784">
              <w:rPr>
                <w:lang w:val="en-GB"/>
              </w:rPr>
              <w:t>HEALTH,</w:t>
            </w:r>
            <w:r w:rsidR="00801CA7" w:rsidRPr="00682784">
              <w:rPr>
                <w:lang w:val="en-GB"/>
              </w:rPr>
              <w:t xml:space="preserve"> SAFETY</w:t>
            </w:r>
            <w:r w:rsidR="00E72C02" w:rsidRPr="00682784">
              <w:rPr>
                <w:lang w:val="en-GB"/>
              </w:rPr>
              <w:t xml:space="preserve"> AND SECURITY</w:t>
            </w:r>
          </w:p>
        </w:tc>
      </w:tr>
      <w:tr w:rsidR="009D116D" w:rsidRPr="00861061" w14:paraId="08488A9C"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60" w:type="dxa"/>
            <w:tcBorders>
              <w:left w:val="single" w:sz="18" w:space="0" w:color="983620" w:themeColor="accent2"/>
              <w:right w:val="single" w:sz="4" w:space="0" w:color="983620" w:themeColor="accent2"/>
            </w:tcBorders>
            <w:shd w:val="clear" w:color="auto" w:fill="A6A6A6" w:themeFill="background1" w:themeFillShade="A6"/>
            <w:noWrap/>
            <w:hideMark/>
          </w:tcPr>
          <w:p w14:paraId="448E7FF1" w14:textId="77777777" w:rsidR="00D0155C" w:rsidRPr="00861061" w:rsidRDefault="00D0155C" w:rsidP="002F1780">
            <w:pPr>
              <w:jc w:val="center"/>
              <w:rPr>
                <w:sz w:val="22"/>
                <w:szCs w:val="22"/>
              </w:rPr>
            </w:pPr>
            <w:r w:rsidRPr="00861061">
              <w:rPr>
                <w:sz w:val="22"/>
                <w:szCs w:val="22"/>
              </w:rPr>
              <w:t>STRENGTHS</w:t>
            </w:r>
          </w:p>
        </w:tc>
        <w:tc>
          <w:tcPr>
            <w:tcW w:w="8363" w:type="dxa"/>
            <w:tcBorders>
              <w:left w:val="single" w:sz="4" w:space="0" w:color="983620" w:themeColor="accent2"/>
              <w:right w:val="single" w:sz="18" w:space="0" w:color="983620" w:themeColor="accent2"/>
            </w:tcBorders>
            <w:shd w:val="clear" w:color="auto" w:fill="A6A6A6" w:themeFill="background1" w:themeFillShade="A6"/>
            <w:hideMark/>
          </w:tcPr>
          <w:p w14:paraId="29CF143F" w14:textId="77777777" w:rsidR="00D0155C" w:rsidRPr="00861061" w:rsidRDefault="00D0155C" w:rsidP="002F178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61061">
              <w:rPr>
                <w:b/>
                <w:sz w:val="22"/>
                <w:szCs w:val="22"/>
              </w:rPr>
              <w:t>WEAKNESSES</w:t>
            </w:r>
          </w:p>
        </w:tc>
      </w:tr>
      <w:tr w:rsidR="009D116D" w:rsidRPr="00B71347" w14:paraId="23BC44A1" w14:textId="77777777" w:rsidTr="00674533">
        <w:trPr>
          <w:trHeight w:val="1120"/>
        </w:trPr>
        <w:tc>
          <w:tcPr>
            <w:cnfStyle w:val="001000000000" w:firstRow="0" w:lastRow="0" w:firstColumn="1" w:lastColumn="0" w:oddVBand="0" w:evenVBand="0" w:oddHBand="0" w:evenHBand="0" w:firstRowFirstColumn="0" w:firstRowLastColumn="0" w:lastRowFirstColumn="0" w:lastRowLastColumn="0"/>
            <w:tcW w:w="2660" w:type="dxa"/>
            <w:tcBorders>
              <w:left w:val="single" w:sz="18" w:space="0" w:color="983620" w:themeColor="accent2"/>
              <w:right w:val="single" w:sz="4" w:space="0" w:color="983620" w:themeColor="accent2"/>
            </w:tcBorders>
            <w:hideMark/>
          </w:tcPr>
          <w:tbl>
            <w:tblPr>
              <w:tblW w:w="2552" w:type="dxa"/>
              <w:tblLayout w:type="fixed"/>
              <w:tblCellMar>
                <w:left w:w="70" w:type="dxa"/>
                <w:right w:w="70" w:type="dxa"/>
              </w:tblCellMar>
              <w:tblLook w:val="04A0" w:firstRow="1" w:lastRow="0" w:firstColumn="1" w:lastColumn="0" w:noHBand="0" w:noVBand="1"/>
            </w:tblPr>
            <w:tblGrid>
              <w:gridCol w:w="2552"/>
            </w:tblGrid>
            <w:tr w:rsidR="009D116D" w:rsidRPr="00B71347" w14:paraId="55021A14" w14:textId="77777777" w:rsidTr="009D116D">
              <w:trPr>
                <w:trHeight w:val="1120"/>
              </w:trPr>
              <w:tc>
                <w:tcPr>
                  <w:tcW w:w="2552" w:type="dxa"/>
                  <w:tcBorders>
                    <w:top w:val="nil"/>
                    <w:left w:val="nil"/>
                  </w:tcBorders>
                  <w:shd w:val="clear" w:color="auto" w:fill="auto"/>
                  <w:vAlign w:val="center"/>
                  <w:hideMark/>
                </w:tcPr>
                <w:p w14:paraId="61FA2E5A" w14:textId="77777777" w:rsidR="009D116D" w:rsidRPr="00682784" w:rsidRDefault="009D116D" w:rsidP="007B5327">
                  <w:pPr>
                    <w:pStyle w:val="ListParagraph"/>
                    <w:numPr>
                      <w:ilvl w:val="0"/>
                      <w:numId w:val="37"/>
                    </w:numPr>
                    <w:spacing w:before="40" w:after="4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Life expectancy has increased more quickly in BSB than in the EU</w:t>
                  </w:r>
                </w:p>
                <w:p w14:paraId="55D12EED" w14:textId="77777777" w:rsidR="009D116D" w:rsidRPr="00682784" w:rsidRDefault="009D116D" w:rsidP="007B5327">
                  <w:pPr>
                    <w:pStyle w:val="ListParagraph"/>
                    <w:numPr>
                      <w:ilvl w:val="0"/>
                      <w:numId w:val="37"/>
                    </w:numPr>
                    <w:spacing w:before="40" w:after="4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Tuberculosis prevalence and mortality rates have both decreased over the last few years </w:t>
                  </w:r>
                </w:p>
              </w:tc>
            </w:tr>
          </w:tbl>
          <w:p w14:paraId="4CAF6541" w14:textId="77777777" w:rsidR="00D0155C" w:rsidRPr="00682784" w:rsidRDefault="00D0155C" w:rsidP="002F1780">
            <w:pPr>
              <w:pStyle w:val="ListParagraph"/>
              <w:rPr>
                <w:b w:val="0"/>
                <w:sz w:val="22"/>
                <w:szCs w:val="22"/>
                <w:lang w:val="en-GB"/>
              </w:rPr>
            </w:pPr>
          </w:p>
        </w:tc>
        <w:tc>
          <w:tcPr>
            <w:tcW w:w="8363" w:type="dxa"/>
            <w:tcBorders>
              <w:left w:val="single" w:sz="4" w:space="0" w:color="983620" w:themeColor="accent2"/>
              <w:right w:val="single" w:sz="18" w:space="0" w:color="983620" w:themeColor="accent2"/>
            </w:tcBorders>
            <w:hideMark/>
          </w:tcPr>
          <w:tbl>
            <w:tblPr>
              <w:tblW w:w="8255" w:type="dxa"/>
              <w:tblLayout w:type="fixed"/>
              <w:tblCellMar>
                <w:left w:w="70" w:type="dxa"/>
                <w:right w:w="70" w:type="dxa"/>
              </w:tblCellMar>
              <w:tblLook w:val="04A0" w:firstRow="1" w:lastRow="0" w:firstColumn="1" w:lastColumn="0" w:noHBand="0" w:noVBand="1"/>
            </w:tblPr>
            <w:tblGrid>
              <w:gridCol w:w="8255"/>
            </w:tblGrid>
            <w:tr w:rsidR="009D116D" w:rsidRPr="00B71347" w14:paraId="7DB10AAF" w14:textId="77777777" w:rsidTr="00C80ED5">
              <w:trPr>
                <w:trHeight w:val="2425"/>
              </w:trPr>
              <w:tc>
                <w:tcPr>
                  <w:tcW w:w="8255" w:type="dxa"/>
                  <w:tcBorders>
                    <w:top w:val="nil"/>
                    <w:left w:val="nil"/>
                    <w:right w:val="nil"/>
                  </w:tcBorders>
                  <w:shd w:val="clear" w:color="auto" w:fill="auto"/>
                  <w:vAlign w:val="center"/>
                  <w:hideMark/>
                </w:tcPr>
                <w:p w14:paraId="7FCC4F58"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People in BSB countries live on average seven years less than in the EU</w:t>
                  </w:r>
                </w:p>
                <w:p w14:paraId="5C0CCFEA"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Great inequalities remain between and within countries in the BSB area in terms of life expectancy</w:t>
                  </w:r>
                </w:p>
                <w:p w14:paraId="7291220A"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Mortality, particularly from diseases of the circulatory system, and cancer remains high</w:t>
                  </w:r>
                </w:p>
                <w:p w14:paraId="44D3D843"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High (though decreasing) infant mortality rate</w:t>
                  </w:r>
                </w:p>
                <w:p w14:paraId="0E1C5B48"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Various preventable factors have high negative impact, including high alcohol intake, obesity, high salt intake and physical inactivity</w:t>
                  </w:r>
                </w:p>
                <w:p w14:paraId="70E6A3EF" w14:textId="77777777" w:rsidR="009D116D" w:rsidRPr="00682784" w:rsidRDefault="00570556" w:rsidP="0028075A">
                  <w:pPr>
                    <w:pStyle w:val="ListParagraph"/>
                    <w:numPr>
                      <w:ilvl w:val="0"/>
                      <w:numId w:val="37"/>
                    </w:numPr>
                    <w:spacing w:after="0" w:line="240" w:lineRule="auto"/>
                    <w:rPr>
                      <w:rFonts w:eastAsia="Times New Roman" w:cs="Times New Roman"/>
                      <w:color w:val="000000"/>
                      <w:sz w:val="22"/>
                      <w:szCs w:val="22"/>
                      <w:lang w:val="en-GB"/>
                    </w:rPr>
                  </w:pPr>
                  <w:r>
                    <w:rPr>
                      <w:rFonts w:eastAsia="Times New Roman" w:cs="Times New Roman"/>
                      <w:color w:val="000000"/>
                      <w:sz w:val="22"/>
                      <w:szCs w:val="22"/>
                      <w:lang w:val="en-GB"/>
                    </w:rPr>
                    <w:t>External causes of injury and</w:t>
                  </w:r>
                  <w:r w:rsidR="009D116D" w:rsidRPr="00682784">
                    <w:rPr>
                      <w:rFonts w:eastAsia="Times New Roman" w:cs="Times New Roman"/>
                      <w:color w:val="000000"/>
                      <w:sz w:val="22"/>
                      <w:szCs w:val="22"/>
                      <w:lang w:val="en-GB"/>
                    </w:rPr>
                    <w:t xml:space="preserve"> poisoni</w:t>
                  </w:r>
                  <w:r w:rsidR="001C1EA4">
                    <w:rPr>
                      <w:rFonts w:eastAsia="Times New Roman" w:cs="Times New Roman"/>
                      <w:color w:val="000000"/>
                      <w:sz w:val="22"/>
                      <w:szCs w:val="22"/>
                      <w:lang w:val="en-GB"/>
                    </w:rPr>
                    <w:t xml:space="preserve">ng </w:t>
                  </w:r>
                  <w:r>
                    <w:rPr>
                      <w:rFonts w:eastAsia="Times New Roman" w:cs="Times New Roman"/>
                      <w:color w:val="000000"/>
                      <w:sz w:val="22"/>
                      <w:szCs w:val="22"/>
                      <w:lang w:val="en-GB"/>
                    </w:rPr>
                    <w:t>important</w:t>
                  </w:r>
                  <w:r w:rsidR="009D116D" w:rsidRPr="00682784">
                    <w:rPr>
                      <w:rFonts w:eastAsia="Times New Roman" w:cs="Times New Roman"/>
                      <w:color w:val="000000"/>
                      <w:sz w:val="22"/>
                      <w:szCs w:val="22"/>
                      <w:lang w:val="en-GB"/>
                    </w:rPr>
                    <w:t xml:space="preserve"> </w:t>
                  </w:r>
                  <w:r w:rsidR="00B75DAB">
                    <w:rPr>
                      <w:rFonts w:eastAsia="Times New Roman" w:cs="Times New Roman"/>
                      <w:color w:val="000000"/>
                      <w:sz w:val="22"/>
                      <w:szCs w:val="22"/>
                      <w:lang w:val="en-GB"/>
                    </w:rPr>
                    <w:t>causes of mortality</w:t>
                  </w:r>
                </w:p>
                <w:p w14:paraId="5B2BEC4D" w14:textId="77777777" w:rsidR="009D116D" w:rsidRPr="00682784" w:rsidRDefault="00545053"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HIV </w:t>
                  </w:r>
                  <w:r w:rsidR="009D116D" w:rsidRPr="00682784">
                    <w:rPr>
                      <w:rFonts w:eastAsia="Times New Roman" w:cs="Times New Roman"/>
                      <w:color w:val="000000"/>
                      <w:sz w:val="22"/>
                      <w:szCs w:val="22"/>
                      <w:lang w:val="en-GB"/>
                    </w:rPr>
                    <w:t>rates in Ukraine and Moldova are far above the EU average</w:t>
                  </w:r>
                </w:p>
                <w:p w14:paraId="3F153624"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Health systems face serious challenges dealing with poverty and social exclusion</w:t>
                  </w:r>
                </w:p>
                <w:p w14:paraId="2BCAD9B2"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High and in some countries increasing female maternal mortality </w:t>
                  </w:r>
                </w:p>
                <w:p w14:paraId="200E5A9B"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Gender inequalities reflected in reproductive health and parliamentary representation </w:t>
                  </w:r>
                </w:p>
                <w:p w14:paraId="61B6B716" w14:textId="77777777" w:rsidR="009D116D" w:rsidRPr="00682784" w:rsidRDefault="009D116D"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Meeting point for many irregular migration routes</w:t>
                  </w:r>
                </w:p>
                <w:p w14:paraId="399AAB79" w14:textId="77777777" w:rsidR="009D116D" w:rsidRPr="00682784" w:rsidRDefault="00FE5E8B" w:rsidP="0028075A">
                  <w:pPr>
                    <w:pStyle w:val="ListParagraph"/>
                    <w:numPr>
                      <w:ilvl w:val="0"/>
                      <w:numId w:val="37"/>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B</w:t>
                  </w:r>
                  <w:r w:rsidR="009D116D" w:rsidRPr="00682784">
                    <w:rPr>
                      <w:rFonts w:eastAsia="Times New Roman" w:cs="Times New Roman"/>
                      <w:color w:val="000000"/>
                      <w:sz w:val="22"/>
                      <w:szCs w:val="22"/>
                      <w:lang w:val="en-GB"/>
                    </w:rPr>
                    <w:t>ilateral disputes</w:t>
                  </w:r>
                  <w:r w:rsidRPr="00682784">
                    <w:rPr>
                      <w:rFonts w:eastAsia="Times New Roman" w:cs="Times New Roman"/>
                      <w:color w:val="000000"/>
                      <w:sz w:val="22"/>
                      <w:szCs w:val="22"/>
                      <w:lang w:val="en-GB"/>
                    </w:rPr>
                    <w:t xml:space="preserve"> and conflicts, </w:t>
                  </w:r>
                  <w:r w:rsidR="005262A4" w:rsidRPr="00682784">
                    <w:rPr>
                      <w:rFonts w:eastAsia="Times New Roman" w:cs="Times New Roman"/>
                      <w:color w:val="000000"/>
                      <w:sz w:val="22"/>
                      <w:szCs w:val="22"/>
                      <w:lang w:val="en-GB"/>
                    </w:rPr>
                    <w:t>including armed confrontations</w:t>
                  </w:r>
                </w:p>
              </w:tc>
            </w:tr>
          </w:tbl>
          <w:p w14:paraId="0BF3D197" w14:textId="77777777" w:rsidR="00D0155C" w:rsidRPr="00682784" w:rsidRDefault="00D0155C" w:rsidP="002F1780">
            <w:pPr>
              <w:pStyle w:val="ListParagraph"/>
              <w:cnfStyle w:val="000000000000" w:firstRow="0" w:lastRow="0" w:firstColumn="0" w:lastColumn="0" w:oddVBand="0" w:evenVBand="0" w:oddHBand="0" w:evenHBand="0" w:firstRowFirstColumn="0" w:firstRowLastColumn="0" w:lastRowFirstColumn="0" w:lastRowLastColumn="0"/>
              <w:rPr>
                <w:sz w:val="22"/>
                <w:szCs w:val="22"/>
                <w:lang w:val="en-GB"/>
              </w:rPr>
            </w:pPr>
          </w:p>
        </w:tc>
      </w:tr>
      <w:tr w:rsidR="009D116D" w:rsidRPr="00861061" w14:paraId="0211B330"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60" w:type="dxa"/>
            <w:tcBorders>
              <w:left w:val="single" w:sz="18" w:space="0" w:color="983620" w:themeColor="accent2"/>
              <w:right w:val="single" w:sz="4" w:space="0" w:color="983620" w:themeColor="accent2"/>
            </w:tcBorders>
            <w:shd w:val="clear" w:color="auto" w:fill="A6A6A6" w:themeFill="background1" w:themeFillShade="A6"/>
            <w:noWrap/>
            <w:hideMark/>
          </w:tcPr>
          <w:p w14:paraId="08A1A5DD" w14:textId="77777777" w:rsidR="00D0155C" w:rsidRPr="00861061" w:rsidRDefault="00D0155C" w:rsidP="002F1780">
            <w:pPr>
              <w:jc w:val="center"/>
              <w:rPr>
                <w:sz w:val="22"/>
                <w:szCs w:val="22"/>
              </w:rPr>
            </w:pPr>
            <w:r w:rsidRPr="00861061">
              <w:rPr>
                <w:sz w:val="22"/>
                <w:szCs w:val="22"/>
              </w:rPr>
              <w:t>OPPORTUNITIES</w:t>
            </w:r>
          </w:p>
        </w:tc>
        <w:tc>
          <w:tcPr>
            <w:tcW w:w="8363" w:type="dxa"/>
            <w:tcBorders>
              <w:left w:val="single" w:sz="4" w:space="0" w:color="983620" w:themeColor="accent2"/>
              <w:right w:val="single" w:sz="18" w:space="0" w:color="983620" w:themeColor="accent2"/>
            </w:tcBorders>
            <w:shd w:val="clear" w:color="auto" w:fill="A6A6A6" w:themeFill="background1" w:themeFillShade="A6"/>
            <w:hideMark/>
          </w:tcPr>
          <w:p w14:paraId="3C64CCCD" w14:textId="77777777" w:rsidR="00D0155C" w:rsidRPr="00861061" w:rsidRDefault="00D0155C" w:rsidP="002F1780">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61061">
              <w:rPr>
                <w:b/>
                <w:sz w:val="22"/>
                <w:szCs w:val="22"/>
              </w:rPr>
              <w:t>THREATS</w:t>
            </w:r>
          </w:p>
        </w:tc>
      </w:tr>
      <w:tr w:rsidR="009D116D" w:rsidRPr="00861061" w14:paraId="7AAC2F9E" w14:textId="77777777" w:rsidTr="00674533">
        <w:trPr>
          <w:trHeight w:val="1076"/>
        </w:trPr>
        <w:tc>
          <w:tcPr>
            <w:cnfStyle w:val="001000000000" w:firstRow="0" w:lastRow="0" w:firstColumn="1" w:lastColumn="0" w:oddVBand="0" w:evenVBand="0" w:oddHBand="0" w:evenHBand="0" w:firstRowFirstColumn="0" w:firstRowLastColumn="0" w:lastRowFirstColumn="0" w:lastRowLastColumn="0"/>
            <w:tcW w:w="2660" w:type="dxa"/>
            <w:tcBorders>
              <w:left w:val="single" w:sz="18" w:space="0" w:color="983620" w:themeColor="accent2"/>
              <w:bottom w:val="single" w:sz="18" w:space="0" w:color="983620" w:themeColor="accent2"/>
              <w:right w:val="single" w:sz="4" w:space="0" w:color="983620" w:themeColor="accent2"/>
            </w:tcBorders>
            <w:hideMark/>
          </w:tcPr>
          <w:p w14:paraId="7C13DC53" w14:textId="77777777" w:rsidR="00D0155C" w:rsidRPr="00861061" w:rsidRDefault="00D0155C" w:rsidP="009D116D">
            <w:pPr>
              <w:spacing w:after="120"/>
              <w:rPr>
                <w:rFonts w:eastAsia="Times New Roman" w:cs="Times New Roman"/>
                <w:color w:val="000000"/>
                <w:sz w:val="22"/>
                <w:szCs w:val="22"/>
              </w:rPr>
            </w:pPr>
          </w:p>
        </w:tc>
        <w:tc>
          <w:tcPr>
            <w:tcW w:w="8363" w:type="dxa"/>
            <w:tcBorders>
              <w:left w:val="single" w:sz="4" w:space="0" w:color="983620" w:themeColor="accent2"/>
              <w:bottom w:val="single" w:sz="18" w:space="0" w:color="983620" w:themeColor="accent2"/>
              <w:right w:val="single" w:sz="18" w:space="0" w:color="983620" w:themeColor="accent2"/>
            </w:tcBorders>
            <w:hideMark/>
          </w:tcPr>
          <w:tbl>
            <w:tblPr>
              <w:tblW w:w="8255" w:type="dxa"/>
              <w:tblLayout w:type="fixed"/>
              <w:tblCellMar>
                <w:left w:w="70" w:type="dxa"/>
                <w:right w:w="70" w:type="dxa"/>
              </w:tblCellMar>
              <w:tblLook w:val="04A0" w:firstRow="1" w:lastRow="0" w:firstColumn="1" w:lastColumn="0" w:noHBand="0" w:noVBand="1"/>
            </w:tblPr>
            <w:tblGrid>
              <w:gridCol w:w="8255"/>
            </w:tblGrid>
            <w:tr w:rsidR="009D116D" w:rsidRPr="00861061" w14:paraId="1CCB7850" w14:textId="77777777" w:rsidTr="009D116D">
              <w:trPr>
                <w:trHeight w:val="1120"/>
              </w:trPr>
              <w:tc>
                <w:tcPr>
                  <w:tcW w:w="8255" w:type="dxa"/>
                  <w:tcBorders>
                    <w:top w:val="nil"/>
                    <w:left w:val="nil"/>
                    <w:right w:val="nil"/>
                  </w:tcBorders>
                  <w:shd w:val="clear" w:color="auto" w:fill="auto"/>
                  <w:vAlign w:val="center"/>
                  <w:hideMark/>
                </w:tcPr>
                <w:p w14:paraId="20F85C96" w14:textId="77777777" w:rsidR="009D116D" w:rsidRPr="00682784" w:rsidRDefault="009D116D" w:rsidP="0028075A">
                  <w:pPr>
                    <w:pStyle w:val="ListParagraph"/>
                    <w:numPr>
                      <w:ilvl w:val="0"/>
                      <w:numId w:val="38"/>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Emigration affects notably doctors and skilled medical workforce in Moldova and Bulgaria</w:t>
                  </w:r>
                </w:p>
                <w:p w14:paraId="7304976B" w14:textId="77777777" w:rsidR="009D116D" w:rsidRPr="00FB4263" w:rsidRDefault="009D116D" w:rsidP="0028075A">
                  <w:pPr>
                    <w:pStyle w:val="ListParagraph"/>
                    <w:numPr>
                      <w:ilvl w:val="0"/>
                      <w:numId w:val="38"/>
                    </w:numPr>
                    <w:spacing w:after="0" w:line="240" w:lineRule="auto"/>
                    <w:rPr>
                      <w:rFonts w:eastAsia="Times New Roman" w:cs="Times New Roman"/>
                      <w:color w:val="000000"/>
                      <w:sz w:val="22"/>
                      <w:szCs w:val="22"/>
                    </w:rPr>
                  </w:pPr>
                  <w:proofErr w:type="spellStart"/>
                  <w:r w:rsidRPr="00FB4263">
                    <w:rPr>
                      <w:rFonts w:eastAsia="Times New Roman" w:cs="Times New Roman"/>
                      <w:color w:val="000000"/>
                      <w:sz w:val="22"/>
                      <w:szCs w:val="22"/>
                    </w:rPr>
                    <w:t>Human</w:t>
                  </w:r>
                  <w:proofErr w:type="spellEnd"/>
                  <w:r w:rsidRPr="00FB4263">
                    <w:rPr>
                      <w:rFonts w:eastAsia="Times New Roman" w:cs="Times New Roman"/>
                      <w:color w:val="000000"/>
                      <w:sz w:val="22"/>
                      <w:szCs w:val="22"/>
                    </w:rPr>
                    <w:t xml:space="preserve"> </w:t>
                  </w:r>
                  <w:proofErr w:type="spellStart"/>
                  <w:r w:rsidRPr="00FB4263">
                    <w:rPr>
                      <w:rFonts w:eastAsia="Times New Roman" w:cs="Times New Roman"/>
                      <w:color w:val="000000"/>
                      <w:sz w:val="22"/>
                      <w:szCs w:val="22"/>
                    </w:rPr>
                    <w:t>trafficking</w:t>
                  </w:r>
                  <w:proofErr w:type="spellEnd"/>
                </w:p>
                <w:p w14:paraId="1231D52A" w14:textId="77777777" w:rsidR="004B6007" w:rsidRPr="00FB4263" w:rsidRDefault="007D69FE" w:rsidP="0028075A">
                  <w:pPr>
                    <w:pStyle w:val="ListParagraph"/>
                    <w:numPr>
                      <w:ilvl w:val="0"/>
                      <w:numId w:val="38"/>
                    </w:numPr>
                    <w:spacing w:after="0" w:line="240" w:lineRule="auto"/>
                    <w:rPr>
                      <w:rFonts w:eastAsia="Times New Roman" w:cs="Times New Roman"/>
                      <w:color w:val="000000"/>
                      <w:sz w:val="22"/>
                      <w:szCs w:val="22"/>
                    </w:rPr>
                  </w:pPr>
                  <w:proofErr w:type="spellStart"/>
                  <w:r w:rsidRPr="00FB4263">
                    <w:rPr>
                      <w:rFonts w:eastAsia="Times New Roman" w:cs="Times New Roman"/>
                      <w:color w:val="000000"/>
                      <w:sz w:val="22"/>
                      <w:szCs w:val="22"/>
                    </w:rPr>
                    <w:t>Large</w:t>
                  </w:r>
                  <w:r w:rsidR="00C41C9E" w:rsidRPr="00FB4263">
                    <w:rPr>
                      <w:rFonts w:eastAsia="Times New Roman" w:cs="Times New Roman"/>
                      <w:color w:val="000000"/>
                      <w:sz w:val="22"/>
                      <w:szCs w:val="22"/>
                    </w:rPr>
                    <w:t>r</w:t>
                  </w:r>
                  <w:r w:rsidRPr="00FB4263">
                    <w:rPr>
                      <w:rFonts w:eastAsia="Times New Roman" w:cs="Times New Roman"/>
                      <w:color w:val="000000"/>
                      <w:sz w:val="22"/>
                      <w:szCs w:val="22"/>
                    </w:rPr>
                    <w:t>-scale</w:t>
                  </w:r>
                  <w:proofErr w:type="spellEnd"/>
                  <w:r w:rsidRPr="00FB4263">
                    <w:rPr>
                      <w:rFonts w:eastAsia="Times New Roman" w:cs="Times New Roman"/>
                      <w:color w:val="000000"/>
                      <w:sz w:val="22"/>
                      <w:szCs w:val="22"/>
                    </w:rPr>
                    <w:t xml:space="preserve"> </w:t>
                  </w:r>
                  <w:proofErr w:type="spellStart"/>
                  <w:r w:rsidRPr="00FB4263">
                    <w:rPr>
                      <w:rFonts w:eastAsia="Times New Roman" w:cs="Times New Roman"/>
                      <w:color w:val="000000"/>
                      <w:sz w:val="22"/>
                      <w:szCs w:val="22"/>
                    </w:rPr>
                    <w:t>war</w:t>
                  </w:r>
                  <w:proofErr w:type="spellEnd"/>
                </w:p>
              </w:tc>
            </w:tr>
          </w:tbl>
          <w:p w14:paraId="44D3568D" w14:textId="77777777" w:rsidR="00D0155C" w:rsidRPr="00861061" w:rsidRDefault="00D0155C" w:rsidP="009D116D">
            <w:pPr>
              <w:pStyle w:val="ListParagraph"/>
              <w:spacing w:after="120"/>
              <w:ind w:left="0"/>
              <w:cnfStyle w:val="000000000000" w:firstRow="0" w:lastRow="0" w:firstColumn="0" w:lastColumn="0" w:oddVBand="0" w:evenVBand="0" w:oddHBand="0" w:evenHBand="0" w:firstRowFirstColumn="0" w:firstRowLastColumn="0" w:lastRowFirstColumn="0" w:lastRowLastColumn="0"/>
              <w:rPr>
                <w:sz w:val="22"/>
                <w:szCs w:val="22"/>
              </w:rPr>
            </w:pPr>
          </w:p>
        </w:tc>
      </w:tr>
    </w:tbl>
    <w:p w14:paraId="3AABBCC8" w14:textId="77777777" w:rsidR="00D0155C" w:rsidRPr="004B58D3" w:rsidRDefault="00D0155C" w:rsidP="00D16147">
      <w:pPr>
        <w:spacing w:before="120" w:after="0" w:line="252" w:lineRule="auto"/>
        <w:jc w:val="both"/>
        <w:rPr>
          <w:sz w:val="22"/>
          <w:szCs w:val="22"/>
          <w:lang w:val="en-GB"/>
        </w:rPr>
      </w:pPr>
    </w:p>
    <w:p w14:paraId="69760C36" w14:textId="77777777" w:rsidR="00D16147" w:rsidRPr="006E3288" w:rsidRDefault="002B5D28" w:rsidP="0000667E">
      <w:pPr>
        <w:pStyle w:val="Heading3"/>
        <w:rPr>
          <w:b/>
          <w:sz w:val="28"/>
          <w:szCs w:val="28"/>
          <w:lang w:val="en-GB"/>
        </w:rPr>
      </w:pPr>
      <w:bookmarkStart w:id="44" w:name="_Toc246127439"/>
      <w:bookmarkStart w:id="45" w:name="_Toc423436278"/>
      <w:r>
        <w:rPr>
          <w:b/>
          <w:sz w:val="28"/>
          <w:szCs w:val="28"/>
          <w:lang w:val="en-GB"/>
        </w:rPr>
        <w:t xml:space="preserve">3.6 </w:t>
      </w:r>
      <w:r w:rsidR="00D16147" w:rsidRPr="006E3288">
        <w:rPr>
          <w:b/>
          <w:sz w:val="28"/>
          <w:szCs w:val="28"/>
          <w:lang w:val="en-GB"/>
        </w:rPr>
        <w:t>Energy, transport and communication networks</w:t>
      </w:r>
      <w:bookmarkEnd w:id="44"/>
      <w:bookmarkEnd w:id="45"/>
    </w:p>
    <w:p w14:paraId="70BF5F5D" w14:textId="77777777" w:rsidR="00D16147" w:rsidRPr="008242B5" w:rsidRDefault="00D16147" w:rsidP="000D36B6">
      <w:pPr>
        <w:spacing w:before="240" w:after="120"/>
        <w:rPr>
          <w:b/>
          <w:lang w:val="en-GB"/>
        </w:rPr>
      </w:pPr>
      <w:bookmarkStart w:id="46" w:name="_Toc246127440"/>
      <w:r w:rsidRPr="008242B5">
        <w:rPr>
          <w:b/>
          <w:lang w:val="en-GB"/>
        </w:rPr>
        <w:t>Overview of Black Sea Basin energy exchanges and networks</w:t>
      </w:r>
      <w:bookmarkEnd w:id="46"/>
      <w:r w:rsidRPr="008242B5">
        <w:rPr>
          <w:b/>
          <w:lang w:val="en-GB"/>
        </w:rPr>
        <w:t xml:space="preserve"> </w:t>
      </w:r>
    </w:p>
    <w:p w14:paraId="78BA5444" w14:textId="7A573F86" w:rsidR="00D16147" w:rsidRPr="004B58D3" w:rsidRDefault="00D16147" w:rsidP="00D16147">
      <w:pPr>
        <w:spacing w:before="120" w:after="0" w:line="252" w:lineRule="auto"/>
        <w:jc w:val="both"/>
        <w:rPr>
          <w:sz w:val="22"/>
          <w:szCs w:val="22"/>
          <w:lang w:val="en-GB"/>
        </w:rPr>
      </w:pPr>
      <w:r w:rsidRPr="004B58D3">
        <w:rPr>
          <w:sz w:val="22"/>
          <w:szCs w:val="22"/>
          <w:lang w:val="en-GB"/>
        </w:rPr>
        <w:t>The transport of oil and gas across the Black Sea is a major activity, mainly via</w:t>
      </w:r>
      <w:r>
        <w:rPr>
          <w:sz w:val="22"/>
          <w:szCs w:val="22"/>
          <w:lang w:val="en-GB"/>
        </w:rPr>
        <w:t xml:space="preserve"> tankers that</w:t>
      </w:r>
      <w:r w:rsidRPr="004B58D3">
        <w:rPr>
          <w:sz w:val="22"/>
          <w:szCs w:val="22"/>
          <w:lang w:val="en-GB"/>
        </w:rPr>
        <w:t xml:space="preserve"> sail from the oil ports of </w:t>
      </w:r>
      <w:r w:rsidRPr="006A6BDF">
        <w:rPr>
          <w:sz w:val="22"/>
          <w:szCs w:val="22"/>
          <w:lang w:val="en-GB"/>
        </w:rPr>
        <w:t xml:space="preserve">Novorossiysk and </w:t>
      </w:r>
      <w:proofErr w:type="spellStart"/>
      <w:r w:rsidRPr="006A6BDF">
        <w:rPr>
          <w:sz w:val="22"/>
          <w:szCs w:val="22"/>
          <w:lang w:val="en-GB"/>
        </w:rPr>
        <w:t>Tuapse</w:t>
      </w:r>
      <w:proofErr w:type="spellEnd"/>
      <w:r w:rsidRPr="006A6BDF">
        <w:rPr>
          <w:sz w:val="22"/>
          <w:szCs w:val="22"/>
          <w:lang w:val="en-GB"/>
        </w:rPr>
        <w:t xml:space="preserve"> (Russia), Odesa (Ukraine) and </w:t>
      </w:r>
      <w:proofErr w:type="spellStart"/>
      <w:r w:rsidRPr="006A6BDF">
        <w:rPr>
          <w:sz w:val="22"/>
          <w:szCs w:val="22"/>
          <w:lang w:val="en-GB"/>
        </w:rPr>
        <w:t>Poti</w:t>
      </w:r>
      <w:proofErr w:type="spellEnd"/>
      <w:r w:rsidRPr="006A6BDF">
        <w:rPr>
          <w:sz w:val="22"/>
          <w:szCs w:val="22"/>
          <w:lang w:val="en-GB"/>
        </w:rPr>
        <w:t xml:space="preserve"> and </w:t>
      </w:r>
      <w:r w:rsidR="00E16CE7">
        <w:rPr>
          <w:sz w:val="22"/>
          <w:szCs w:val="22"/>
          <w:lang w:val="en-GB"/>
        </w:rPr>
        <w:t>Batumi (Georgia) – see figure 28</w:t>
      </w:r>
      <w:r w:rsidRPr="006A6BDF">
        <w:rPr>
          <w:sz w:val="22"/>
          <w:szCs w:val="22"/>
          <w:lang w:val="en-GB"/>
        </w:rPr>
        <w:t xml:space="preserve"> below. On the</w:t>
      </w:r>
      <w:r w:rsidRPr="004B58D3">
        <w:rPr>
          <w:sz w:val="22"/>
          <w:szCs w:val="22"/>
          <w:lang w:val="en-GB"/>
        </w:rPr>
        <w:t xml:space="preserve"> western shore, the European Union has only one major port, Constanta (Romania)</w:t>
      </w:r>
      <w:r w:rsidRPr="004320D6">
        <w:rPr>
          <w:rStyle w:val="EndnoteReference"/>
          <w:sz w:val="22"/>
          <w:szCs w:val="22"/>
        </w:rPr>
        <w:endnoteReference w:id="106"/>
      </w:r>
      <w:r w:rsidRPr="004B58D3">
        <w:rPr>
          <w:sz w:val="22"/>
          <w:szCs w:val="22"/>
          <w:lang w:val="en-GB"/>
        </w:rPr>
        <w:t>.</w:t>
      </w:r>
      <w:r>
        <w:rPr>
          <w:sz w:val="22"/>
          <w:szCs w:val="22"/>
          <w:lang w:val="en-GB"/>
        </w:rPr>
        <w:t xml:space="preserve"> </w:t>
      </w:r>
    </w:p>
    <w:p w14:paraId="1F3F9AAF" w14:textId="77777777" w:rsidR="00D16147" w:rsidRPr="004B58D3" w:rsidRDefault="00D16147" w:rsidP="00D16147">
      <w:pPr>
        <w:spacing w:before="120" w:after="0" w:line="252" w:lineRule="auto"/>
        <w:jc w:val="both"/>
        <w:rPr>
          <w:sz w:val="22"/>
          <w:szCs w:val="22"/>
          <w:u w:color="1B57B1"/>
          <w:lang w:val="en-GB"/>
        </w:rPr>
      </w:pPr>
      <w:r>
        <w:rPr>
          <w:noProof/>
          <w:sz w:val="22"/>
          <w:szCs w:val="22"/>
          <w:u w:color="1B57B1"/>
          <w:lang w:val="en-GB" w:eastAsia="en-GB"/>
        </w:rPr>
        <w:lastRenderedPageBreak/>
        <w:drawing>
          <wp:inline distT="0" distB="0" distL="0" distR="0" wp14:anchorId="3DF44CEF" wp14:editId="6038435D">
            <wp:extent cx="4886420" cy="2899410"/>
            <wp:effectExtent l="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88613" cy="2900711"/>
                    </a:xfrm>
                    <a:prstGeom prst="rect">
                      <a:avLst/>
                    </a:prstGeom>
                    <a:noFill/>
                    <a:ln>
                      <a:noFill/>
                    </a:ln>
                  </pic:spPr>
                </pic:pic>
              </a:graphicData>
            </a:graphic>
          </wp:inline>
        </w:drawing>
      </w:r>
      <w:r w:rsidRPr="0077602E">
        <w:rPr>
          <w:lang w:val="en-GB"/>
        </w:rPr>
        <w:t xml:space="preserve"> </w:t>
      </w:r>
      <w:r>
        <w:rPr>
          <w:noProof/>
          <w:sz w:val="22"/>
          <w:szCs w:val="22"/>
          <w:u w:color="1B57B1"/>
          <w:lang w:val="en-GB" w:eastAsia="en-GB"/>
        </w:rPr>
        <w:drawing>
          <wp:inline distT="0" distB="0" distL="0" distR="0" wp14:anchorId="697D3F1E" wp14:editId="04EB572A">
            <wp:extent cx="1562100" cy="800100"/>
            <wp:effectExtent l="0" t="0" r="0" b="12700"/>
            <wp:docPr id="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62800" cy="800459"/>
                    </a:xfrm>
                    <a:prstGeom prst="rect">
                      <a:avLst/>
                    </a:prstGeom>
                    <a:noFill/>
                    <a:ln>
                      <a:noFill/>
                    </a:ln>
                  </pic:spPr>
                </pic:pic>
              </a:graphicData>
            </a:graphic>
          </wp:inline>
        </w:drawing>
      </w:r>
    </w:p>
    <w:p w14:paraId="661DE74A" w14:textId="1FA7CC8F" w:rsidR="00D16147" w:rsidRPr="00157DE0" w:rsidRDefault="00E16CE7" w:rsidP="005A12B9">
      <w:pPr>
        <w:pStyle w:val="Caption"/>
        <w:spacing w:after="0" w:line="252" w:lineRule="auto"/>
        <w:jc w:val="left"/>
        <w:rPr>
          <w:sz w:val="22"/>
          <w:szCs w:val="22"/>
          <w:lang w:val="en-GB"/>
        </w:rPr>
      </w:pPr>
      <w:proofErr w:type="gramStart"/>
      <w:r>
        <w:rPr>
          <w:sz w:val="22"/>
          <w:szCs w:val="22"/>
          <w:lang w:val="en-GB"/>
        </w:rPr>
        <w:t>Figure 28</w:t>
      </w:r>
      <w:r w:rsidR="00D16147" w:rsidRPr="006A6BDF">
        <w:rPr>
          <w:sz w:val="22"/>
          <w:szCs w:val="22"/>
          <w:lang w:val="en-GB"/>
        </w:rPr>
        <w:t>.</w:t>
      </w:r>
      <w:proofErr w:type="gramEnd"/>
      <w:r w:rsidR="00D16147" w:rsidRPr="006A6BDF">
        <w:rPr>
          <w:sz w:val="22"/>
          <w:szCs w:val="22"/>
          <w:lang w:val="en-GB"/>
        </w:rPr>
        <w:t xml:space="preserve"> Regional oil infrastructure map, 2007</w:t>
      </w:r>
      <w:r w:rsidR="00D16147" w:rsidRPr="006A6BDF">
        <w:rPr>
          <w:rStyle w:val="EndnoteReference"/>
          <w:sz w:val="22"/>
          <w:szCs w:val="22"/>
          <w:lang w:val="en-GB"/>
        </w:rPr>
        <w:endnoteReference w:id="107"/>
      </w:r>
    </w:p>
    <w:p w14:paraId="243EF92C" w14:textId="6A1E85D5" w:rsidR="00D16147" w:rsidRPr="006A6BDF" w:rsidRDefault="00D16147" w:rsidP="00D16147">
      <w:pPr>
        <w:spacing w:before="120" w:after="0" w:line="252" w:lineRule="auto"/>
        <w:jc w:val="both"/>
        <w:rPr>
          <w:sz w:val="22"/>
          <w:szCs w:val="22"/>
          <w:u w:color="1B57B1"/>
          <w:lang w:val="en-GB"/>
        </w:rPr>
      </w:pPr>
      <w:r w:rsidRPr="004B58D3">
        <w:rPr>
          <w:sz w:val="22"/>
          <w:szCs w:val="22"/>
          <w:lang w:val="en-GB"/>
        </w:rPr>
        <w:t xml:space="preserve">The oil ports of Ukraine, Russia and Georgia are all terminals for oil and gas pipelines from the Caspian Sea. </w:t>
      </w:r>
      <w:r w:rsidRPr="004B58D3">
        <w:rPr>
          <w:sz w:val="22"/>
          <w:szCs w:val="22"/>
          <w:u w:color="1B57B1"/>
          <w:lang w:val="en-GB"/>
        </w:rPr>
        <w:t xml:space="preserve">In the south, an oil pipeline that originates in Baku (Azerbaijan) crosses Georgia and Anatolia before reaching the Turkish </w:t>
      </w:r>
      <w:r w:rsidRPr="006A6BDF">
        <w:rPr>
          <w:sz w:val="22"/>
          <w:szCs w:val="22"/>
          <w:u w:color="1B57B1"/>
          <w:lang w:val="en-GB"/>
        </w:rPr>
        <w:t xml:space="preserve">port of Ceyhan on </w:t>
      </w:r>
      <w:r w:rsidR="007E6C66">
        <w:rPr>
          <w:sz w:val="22"/>
          <w:szCs w:val="22"/>
          <w:u w:color="1B57B1"/>
          <w:lang w:val="en-GB"/>
        </w:rPr>
        <w:t>the Mediterranean (see figure 28</w:t>
      </w:r>
      <w:r w:rsidRPr="006A6BDF">
        <w:rPr>
          <w:sz w:val="22"/>
          <w:szCs w:val="22"/>
          <w:u w:color="1B57B1"/>
          <w:lang w:val="en-GB"/>
        </w:rPr>
        <w:t xml:space="preserve"> above). The Blue Stream gas pipeline runs under the Black Sea to connect </w:t>
      </w:r>
      <w:proofErr w:type="spellStart"/>
      <w:r w:rsidRPr="006A6BDF">
        <w:rPr>
          <w:sz w:val="22"/>
          <w:szCs w:val="22"/>
          <w:u w:color="1B57B1"/>
          <w:lang w:val="en-GB"/>
        </w:rPr>
        <w:t>Tuapse</w:t>
      </w:r>
      <w:proofErr w:type="spellEnd"/>
      <w:r w:rsidRPr="006A6BDF">
        <w:rPr>
          <w:sz w:val="22"/>
          <w:szCs w:val="22"/>
          <w:u w:color="1B57B1"/>
          <w:lang w:val="en-GB"/>
        </w:rPr>
        <w:t xml:space="preserve"> (Russia) with Samsun (Turkey). This network of pipelines is expected to expand in the future</w:t>
      </w:r>
      <w:r w:rsidRPr="006A6BDF">
        <w:rPr>
          <w:rStyle w:val="EndnoteReference"/>
          <w:sz w:val="22"/>
          <w:szCs w:val="22"/>
          <w:u w:color="1B57B1"/>
        </w:rPr>
        <w:endnoteReference w:id="108"/>
      </w:r>
      <w:r w:rsidRPr="006A6BDF">
        <w:rPr>
          <w:sz w:val="22"/>
          <w:szCs w:val="22"/>
          <w:u w:color="1B57B1"/>
          <w:lang w:val="en-GB"/>
        </w:rPr>
        <w:t>.</w:t>
      </w:r>
    </w:p>
    <w:p w14:paraId="1EE9C70E" w14:textId="77777777" w:rsidR="00D16147" w:rsidRPr="006A6BDF" w:rsidRDefault="00D16147" w:rsidP="00D16147">
      <w:pPr>
        <w:spacing w:before="120" w:after="0" w:line="252" w:lineRule="auto"/>
        <w:jc w:val="both"/>
        <w:rPr>
          <w:sz w:val="22"/>
          <w:szCs w:val="22"/>
          <w:lang w:val="en-GB"/>
        </w:rPr>
      </w:pPr>
      <w:r w:rsidRPr="006A6BDF">
        <w:rPr>
          <w:sz w:val="22"/>
          <w:szCs w:val="22"/>
          <w:lang w:val="en-GB"/>
        </w:rPr>
        <w:t>Several projects are also underway for the integration of electricity grids around the Black Sea, potentially reducing vulnerability as well as consumer prices for electricity.</w:t>
      </w:r>
    </w:p>
    <w:p w14:paraId="09863529" w14:textId="77777777" w:rsidR="00D16147" w:rsidRPr="008242B5" w:rsidRDefault="00D16147" w:rsidP="000D36B6">
      <w:pPr>
        <w:spacing w:before="240" w:after="120"/>
        <w:rPr>
          <w:b/>
          <w:lang w:val="en-GB"/>
        </w:rPr>
      </w:pPr>
      <w:bookmarkStart w:id="47" w:name="_Toc246127441"/>
      <w:r w:rsidRPr="008242B5">
        <w:rPr>
          <w:b/>
          <w:lang w:val="en-GB"/>
        </w:rPr>
        <w:t>Overview of Black Sea Basin transport infrastructure</w:t>
      </w:r>
      <w:bookmarkEnd w:id="47"/>
      <w:r w:rsidRPr="008242B5">
        <w:rPr>
          <w:b/>
          <w:lang w:val="en-GB"/>
        </w:rPr>
        <w:t xml:space="preserve"> </w:t>
      </w:r>
    </w:p>
    <w:p w14:paraId="7CB22DE6" w14:textId="3642EDE1" w:rsidR="00D16147" w:rsidRPr="00C2566B" w:rsidRDefault="00D16147" w:rsidP="00D16147">
      <w:pPr>
        <w:spacing w:before="120" w:after="0" w:line="252" w:lineRule="auto"/>
        <w:jc w:val="both"/>
        <w:rPr>
          <w:sz w:val="22"/>
          <w:szCs w:val="22"/>
          <w:lang w:val="en-GB"/>
        </w:rPr>
      </w:pPr>
      <w:r w:rsidRPr="004B58D3">
        <w:rPr>
          <w:sz w:val="22"/>
          <w:szCs w:val="22"/>
          <w:lang w:val="en-GB"/>
        </w:rPr>
        <w:t xml:space="preserve">Economic development in the Black Sea countries, in particular rising foreign trade, gave a great push to the organization and development of a regional Black Sea transport system. The total cargo turnover for the ports of </w:t>
      </w:r>
      <w:r w:rsidRPr="006A6BDF">
        <w:rPr>
          <w:sz w:val="22"/>
          <w:szCs w:val="22"/>
          <w:lang w:val="en-GB"/>
        </w:rPr>
        <w:t>Bulgaria, Georgia, Russia, Romania and Ukraine between 2000 and 2007 increased more than twice</w:t>
      </w:r>
      <w:r w:rsidRPr="006A6BDF">
        <w:rPr>
          <w:sz w:val="22"/>
          <w:szCs w:val="22"/>
          <w:vertAlign w:val="superscript"/>
        </w:rPr>
        <w:endnoteReference w:id="109"/>
      </w:r>
      <w:r w:rsidR="00D77EC3">
        <w:rPr>
          <w:sz w:val="22"/>
          <w:szCs w:val="22"/>
          <w:lang w:val="en-GB"/>
        </w:rPr>
        <w:t xml:space="preserve"> and at least</w:t>
      </w:r>
      <w:r w:rsidR="00A95035">
        <w:rPr>
          <w:sz w:val="22"/>
          <w:szCs w:val="22"/>
          <w:lang w:val="en-GB"/>
        </w:rPr>
        <w:t xml:space="preserve"> 50,000 ships </w:t>
      </w:r>
      <w:r w:rsidR="002234F2">
        <w:rPr>
          <w:sz w:val="22"/>
          <w:szCs w:val="22"/>
          <w:lang w:val="en-GB"/>
        </w:rPr>
        <w:t>enter/exit</w:t>
      </w:r>
      <w:r w:rsidR="00F64C6D">
        <w:rPr>
          <w:sz w:val="22"/>
          <w:szCs w:val="22"/>
          <w:lang w:val="en-GB"/>
        </w:rPr>
        <w:t xml:space="preserve"> the Black Sea</w:t>
      </w:r>
      <w:r w:rsidRPr="006A6BDF">
        <w:rPr>
          <w:sz w:val="22"/>
          <w:szCs w:val="22"/>
          <w:lang w:val="en-GB"/>
        </w:rPr>
        <w:t xml:space="preserve"> every year including at least 10,000 oil tankers</w:t>
      </w:r>
      <w:r w:rsidRPr="006A6BDF">
        <w:rPr>
          <w:sz w:val="22"/>
          <w:szCs w:val="22"/>
          <w:vertAlign w:val="superscript"/>
        </w:rPr>
        <w:endnoteReference w:id="110"/>
      </w:r>
      <w:r w:rsidRPr="006A6BDF">
        <w:rPr>
          <w:sz w:val="22"/>
          <w:szCs w:val="22"/>
          <w:lang w:val="en-GB"/>
        </w:rPr>
        <w:t>. The overall quality of port infrastructure around the Black Sea is still assessed as rather poor in Moldova and Romania (scoring less than 3 on a scale of 7</w:t>
      </w:r>
      <w:r w:rsidRPr="006A6BDF">
        <w:rPr>
          <w:rStyle w:val="FootnoteReference"/>
          <w:sz w:val="22"/>
          <w:szCs w:val="22"/>
          <w:lang w:val="en-GB"/>
        </w:rPr>
        <w:footnoteReference w:id="48"/>
      </w:r>
      <w:r w:rsidRPr="006A6BDF">
        <w:rPr>
          <w:sz w:val="22"/>
          <w:szCs w:val="22"/>
          <w:lang w:val="en-GB"/>
        </w:rPr>
        <w:t>) and as good in Greece, Turkey and Georgia.</w:t>
      </w:r>
    </w:p>
    <w:p w14:paraId="5A97BFBF" w14:textId="77777777" w:rsidR="00D16147" w:rsidRDefault="00D16147" w:rsidP="00D16147">
      <w:pPr>
        <w:spacing w:before="120" w:after="0" w:line="252" w:lineRule="auto"/>
        <w:jc w:val="both"/>
        <w:rPr>
          <w:sz w:val="22"/>
          <w:szCs w:val="22"/>
          <w:lang w:val="en-GB"/>
        </w:rPr>
      </w:pPr>
      <w:r w:rsidRPr="004B58D3">
        <w:rPr>
          <w:sz w:val="22"/>
          <w:szCs w:val="22"/>
          <w:lang w:val="en-GB"/>
        </w:rPr>
        <w:t>T</w:t>
      </w:r>
      <w:r>
        <w:rPr>
          <w:sz w:val="22"/>
          <w:szCs w:val="22"/>
          <w:lang w:val="en-GB"/>
        </w:rPr>
        <w:t>he T</w:t>
      </w:r>
      <w:r w:rsidRPr="004B58D3">
        <w:rPr>
          <w:sz w:val="22"/>
          <w:szCs w:val="22"/>
          <w:lang w:val="en-GB"/>
        </w:rPr>
        <w:t xml:space="preserve">rans-Black Sea inter-modal transport network is also gaining more importance in the region with sea ports playing an essential role in connecting land transport lines with maritime </w:t>
      </w:r>
      <w:r>
        <w:rPr>
          <w:sz w:val="22"/>
          <w:szCs w:val="22"/>
          <w:lang w:val="en-GB"/>
        </w:rPr>
        <w:t>li</w:t>
      </w:r>
      <w:r w:rsidRPr="004B58D3">
        <w:rPr>
          <w:sz w:val="22"/>
          <w:szCs w:val="22"/>
          <w:lang w:val="en-GB"/>
        </w:rPr>
        <w:t xml:space="preserve">nes. The ports of the Black Sea region serve not only </w:t>
      </w:r>
      <w:r>
        <w:rPr>
          <w:sz w:val="22"/>
          <w:szCs w:val="22"/>
          <w:lang w:val="en-GB"/>
        </w:rPr>
        <w:t>as</w:t>
      </w:r>
      <w:r w:rsidRPr="004B58D3">
        <w:rPr>
          <w:sz w:val="22"/>
          <w:szCs w:val="22"/>
          <w:lang w:val="en-GB"/>
        </w:rPr>
        <w:t xml:space="preserve"> transport gate</w:t>
      </w:r>
      <w:r>
        <w:rPr>
          <w:sz w:val="22"/>
          <w:szCs w:val="22"/>
          <w:lang w:val="en-GB"/>
        </w:rPr>
        <w:t>way</w:t>
      </w:r>
      <w:r w:rsidRPr="004B58D3">
        <w:rPr>
          <w:sz w:val="22"/>
          <w:szCs w:val="22"/>
          <w:lang w:val="en-GB"/>
        </w:rPr>
        <w:t xml:space="preserve">s for the routes connecting the countries of the region but </w:t>
      </w:r>
      <w:r>
        <w:rPr>
          <w:sz w:val="22"/>
          <w:szCs w:val="22"/>
          <w:lang w:val="en-GB"/>
        </w:rPr>
        <w:t xml:space="preserve">they </w:t>
      </w:r>
      <w:r w:rsidRPr="004B58D3">
        <w:rPr>
          <w:sz w:val="22"/>
          <w:szCs w:val="22"/>
          <w:lang w:val="en-GB"/>
        </w:rPr>
        <w:t xml:space="preserve">also </w:t>
      </w:r>
      <w:r>
        <w:rPr>
          <w:sz w:val="22"/>
          <w:szCs w:val="22"/>
          <w:lang w:val="en-GB"/>
        </w:rPr>
        <w:t>serve</w:t>
      </w:r>
      <w:r w:rsidRPr="004B58D3">
        <w:rPr>
          <w:sz w:val="22"/>
          <w:szCs w:val="22"/>
          <w:lang w:val="en-GB"/>
        </w:rPr>
        <w:t xml:space="preserve"> commodity turnover between the Asian-Pacific region and Europe. Even for Black Sea Basin land-locked countries, maritime transport provides access to the Mediterranean Sea and to ocean transport shipping routes i.e. for intercontinental trade links. The Danube </w:t>
      </w:r>
      <w:proofErr w:type="gramStart"/>
      <w:r w:rsidRPr="004B58D3">
        <w:rPr>
          <w:sz w:val="22"/>
          <w:szCs w:val="22"/>
          <w:lang w:val="en-GB"/>
        </w:rPr>
        <w:t>river</w:t>
      </w:r>
      <w:proofErr w:type="gramEnd"/>
      <w:r w:rsidRPr="004B58D3">
        <w:rPr>
          <w:sz w:val="22"/>
          <w:szCs w:val="22"/>
          <w:lang w:val="en-GB"/>
        </w:rPr>
        <w:t xml:space="preserve"> also plays a strategic role in the Black Sea region connecting the region with the North Sea and the rest of Europe and serving as a central artery for Bulgaria, Moldova, Romania, and Ukraine. </w:t>
      </w:r>
    </w:p>
    <w:p w14:paraId="0AA3F182" w14:textId="3430F2D8" w:rsidR="00D16147" w:rsidRDefault="00D16147" w:rsidP="00D16147">
      <w:pPr>
        <w:spacing w:before="120" w:after="0" w:line="252" w:lineRule="auto"/>
        <w:jc w:val="both"/>
        <w:rPr>
          <w:sz w:val="22"/>
          <w:szCs w:val="22"/>
          <w:lang w:val="en-GB"/>
        </w:rPr>
      </w:pPr>
      <w:r w:rsidRPr="006A6BDF">
        <w:rPr>
          <w:sz w:val="22"/>
          <w:szCs w:val="22"/>
          <w:lang w:val="en-GB"/>
        </w:rPr>
        <w:t>Motorways of the Sea (</w:t>
      </w:r>
      <w:proofErr w:type="spellStart"/>
      <w:r w:rsidRPr="006A6BDF">
        <w:rPr>
          <w:sz w:val="22"/>
          <w:szCs w:val="22"/>
          <w:lang w:val="en-GB"/>
        </w:rPr>
        <w:t>MoS</w:t>
      </w:r>
      <w:proofErr w:type="spellEnd"/>
      <w:r w:rsidRPr="006A6BDF">
        <w:rPr>
          <w:sz w:val="22"/>
          <w:szCs w:val="22"/>
          <w:lang w:val="en-GB"/>
        </w:rPr>
        <w:t>) have been identified for transnational multimodal axis including the Black Sea region, as an extension of the Trans-European Transport Networks (TEN-T) to EU Neigh</w:t>
      </w:r>
      <w:r w:rsidR="009166BE">
        <w:rPr>
          <w:sz w:val="22"/>
          <w:szCs w:val="22"/>
          <w:lang w:val="en-GB"/>
        </w:rPr>
        <w:t xml:space="preserve">bouring countries </w:t>
      </w:r>
      <w:r w:rsidR="004E0415">
        <w:rPr>
          <w:sz w:val="22"/>
          <w:szCs w:val="22"/>
          <w:lang w:val="en-GB"/>
        </w:rPr>
        <w:lastRenderedPageBreak/>
        <w:t>(see figure 29</w:t>
      </w:r>
      <w:r w:rsidRPr="006A6BDF">
        <w:rPr>
          <w:sz w:val="22"/>
          <w:szCs w:val="22"/>
          <w:lang w:val="en-GB"/>
        </w:rPr>
        <w:t xml:space="preserve"> below). The aim is to improve transport connections between the EU and its Eastern neighbours, as well as to improve intermodal freight operations, through the integration of short sea shipping into transport logistics, therefore improving port operations and making hinterland connections more efficient. The reference transport networks include different corridors in the Black Sea and Caspian Sea region, with EU countries being part of the EU TENs connecting with the Black Sea and the Transport Corridor Europe-Caucasus-Asia (TRACECA) linking Black Sea and Caspian Sea countries. Motorways of the Sea (</w:t>
      </w:r>
      <w:proofErr w:type="spellStart"/>
      <w:r w:rsidRPr="006A6BDF">
        <w:rPr>
          <w:sz w:val="22"/>
          <w:szCs w:val="22"/>
          <w:lang w:val="en-GB"/>
        </w:rPr>
        <w:t>MoS</w:t>
      </w:r>
      <w:proofErr w:type="spellEnd"/>
      <w:r w:rsidRPr="006A6BDF">
        <w:rPr>
          <w:sz w:val="22"/>
          <w:szCs w:val="22"/>
          <w:lang w:val="en-GB"/>
        </w:rPr>
        <w:t>) imply a traffic concentration on sea-based routes and improving existing maritime links or establishing new viable, regular and frequen</w:t>
      </w:r>
      <w:r w:rsidR="007E6C66">
        <w:rPr>
          <w:sz w:val="22"/>
          <w:szCs w:val="22"/>
          <w:lang w:val="en-GB"/>
        </w:rPr>
        <w:t>t maritime links (see figures 29</w:t>
      </w:r>
      <w:r w:rsidR="00D05F51">
        <w:rPr>
          <w:sz w:val="22"/>
          <w:szCs w:val="22"/>
          <w:lang w:val="en-GB"/>
        </w:rPr>
        <w:t xml:space="preserve"> to </w:t>
      </w:r>
      <w:r w:rsidR="007E6C66">
        <w:rPr>
          <w:sz w:val="22"/>
          <w:szCs w:val="22"/>
          <w:lang w:val="en-GB"/>
        </w:rPr>
        <w:t>31</w:t>
      </w:r>
      <w:r w:rsidRPr="006A6BDF">
        <w:rPr>
          <w:sz w:val="22"/>
          <w:szCs w:val="22"/>
          <w:lang w:val="en-GB"/>
        </w:rPr>
        <w:t>). Motorways of the Sea (</w:t>
      </w:r>
      <w:proofErr w:type="spellStart"/>
      <w:r w:rsidRPr="006A6BDF">
        <w:rPr>
          <w:sz w:val="22"/>
          <w:szCs w:val="22"/>
          <w:lang w:val="en-GB"/>
        </w:rPr>
        <w:t>MoS</w:t>
      </w:r>
      <w:proofErr w:type="spellEnd"/>
      <w:r w:rsidRPr="006A6BDF">
        <w:rPr>
          <w:sz w:val="22"/>
          <w:szCs w:val="22"/>
          <w:lang w:val="en-GB"/>
        </w:rPr>
        <w:t xml:space="preserve">) may be operated by all types of regular shipping services including roll-on/roll off ships, roll-on/roll-off passenger ferries, rail ferries, container vessels and sea river ships. A list of </w:t>
      </w:r>
      <w:proofErr w:type="spellStart"/>
      <w:r w:rsidRPr="006A6BDF">
        <w:rPr>
          <w:sz w:val="22"/>
          <w:szCs w:val="22"/>
          <w:lang w:val="en-GB"/>
        </w:rPr>
        <w:t>MoS</w:t>
      </w:r>
      <w:proofErr w:type="spellEnd"/>
      <w:r w:rsidRPr="006A6BDF">
        <w:rPr>
          <w:sz w:val="22"/>
          <w:szCs w:val="22"/>
          <w:lang w:val="en-GB"/>
        </w:rPr>
        <w:t xml:space="preserve"> potential pilot projects for the Black Sea was identified in July 2010</w:t>
      </w:r>
      <w:r w:rsidRPr="006A6BDF">
        <w:rPr>
          <w:rStyle w:val="FootnoteReference"/>
          <w:sz w:val="22"/>
          <w:szCs w:val="22"/>
          <w:lang w:val="en-GB"/>
        </w:rPr>
        <w:footnoteReference w:id="49"/>
      </w:r>
      <w:r w:rsidRPr="006A6BDF">
        <w:rPr>
          <w:sz w:val="22"/>
          <w:szCs w:val="22"/>
          <w:lang w:val="en-GB"/>
        </w:rPr>
        <w:t xml:space="preserve"> and five were selected for further EU support.</w:t>
      </w:r>
      <w:r>
        <w:rPr>
          <w:sz w:val="22"/>
          <w:szCs w:val="22"/>
          <w:lang w:val="en-GB"/>
        </w:rPr>
        <w:t xml:space="preserve"> </w:t>
      </w:r>
    </w:p>
    <w:p w14:paraId="4E74CA03" w14:textId="77777777" w:rsidR="00D16147" w:rsidRDefault="00D16147" w:rsidP="00D16147">
      <w:pPr>
        <w:spacing w:before="120" w:after="0" w:line="252" w:lineRule="auto"/>
        <w:jc w:val="both"/>
        <w:rPr>
          <w:sz w:val="22"/>
          <w:szCs w:val="22"/>
          <w:lang w:val="en-GB"/>
        </w:rPr>
      </w:pPr>
    </w:p>
    <w:p w14:paraId="7176C15C" w14:textId="77777777" w:rsidR="00D16147" w:rsidRDefault="00D16147" w:rsidP="00D16147">
      <w:pPr>
        <w:spacing w:before="120" w:after="0" w:line="252" w:lineRule="auto"/>
        <w:jc w:val="both"/>
        <w:rPr>
          <w:sz w:val="22"/>
          <w:szCs w:val="22"/>
          <w:lang w:val="en-GB"/>
        </w:rPr>
      </w:pPr>
      <w:r>
        <w:rPr>
          <w:noProof/>
          <w:lang w:val="en-GB" w:eastAsia="en-GB"/>
        </w:rPr>
        <w:drawing>
          <wp:inline distT="0" distB="0" distL="0" distR="0" wp14:anchorId="537BA3FF" wp14:editId="494F6140">
            <wp:extent cx="6510020" cy="4115073"/>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13074" cy="4117004"/>
                    </a:xfrm>
                    <a:prstGeom prst="rect">
                      <a:avLst/>
                    </a:prstGeom>
                    <a:noFill/>
                    <a:ln>
                      <a:noFill/>
                    </a:ln>
                  </pic:spPr>
                </pic:pic>
              </a:graphicData>
            </a:graphic>
          </wp:inline>
        </w:drawing>
      </w:r>
    </w:p>
    <w:p w14:paraId="73E4D251" w14:textId="48E10560" w:rsidR="00D16147" w:rsidRPr="006A6BDF" w:rsidRDefault="007E6C66" w:rsidP="00D16147">
      <w:pPr>
        <w:pStyle w:val="Caption"/>
        <w:spacing w:before="120" w:after="0" w:line="252" w:lineRule="auto"/>
        <w:jc w:val="left"/>
        <w:rPr>
          <w:sz w:val="22"/>
          <w:szCs w:val="22"/>
          <w:lang w:val="en-GB"/>
        </w:rPr>
      </w:pPr>
      <w:proofErr w:type="gramStart"/>
      <w:r>
        <w:rPr>
          <w:sz w:val="22"/>
          <w:szCs w:val="22"/>
          <w:lang w:val="en-GB"/>
        </w:rPr>
        <w:t>Figure 29</w:t>
      </w:r>
      <w:r w:rsidR="00D16147" w:rsidRPr="006A6BDF">
        <w:rPr>
          <w:sz w:val="22"/>
          <w:szCs w:val="22"/>
          <w:lang w:val="en-GB"/>
        </w:rPr>
        <w:t>.</w:t>
      </w:r>
      <w:proofErr w:type="gramEnd"/>
      <w:r w:rsidR="00D16147" w:rsidRPr="006A6BDF">
        <w:rPr>
          <w:sz w:val="22"/>
          <w:szCs w:val="22"/>
          <w:lang w:val="en-GB"/>
        </w:rPr>
        <w:t xml:space="preserve"> Multimodal axis within the Black Sea Basin and beyond, Ten-T network and priority axes, 2005</w:t>
      </w:r>
      <w:r w:rsidR="00D16147" w:rsidRPr="006A6BDF">
        <w:rPr>
          <w:rStyle w:val="EndnoteReference"/>
          <w:sz w:val="22"/>
          <w:szCs w:val="22"/>
          <w:lang w:val="en-GB"/>
        </w:rPr>
        <w:endnoteReference w:id="111"/>
      </w:r>
    </w:p>
    <w:p w14:paraId="2C655CD8" w14:textId="77777777" w:rsidR="00D16147" w:rsidRDefault="00D16147" w:rsidP="00D16147">
      <w:pPr>
        <w:spacing w:before="120" w:after="0" w:line="252" w:lineRule="auto"/>
        <w:jc w:val="both"/>
        <w:rPr>
          <w:sz w:val="22"/>
          <w:szCs w:val="22"/>
          <w:lang w:val="en-GB"/>
        </w:rPr>
      </w:pPr>
      <w:r>
        <w:rPr>
          <w:noProof/>
          <w:lang w:val="en-GB" w:eastAsia="en-GB"/>
        </w:rPr>
        <w:lastRenderedPageBreak/>
        <w:drawing>
          <wp:inline distT="0" distB="0" distL="0" distR="0" wp14:anchorId="0552B882" wp14:editId="517D080D">
            <wp:extent cx="5024120" cy="3485068"/>
            <wp:effectExtent l="0" t="0" r="5080" b="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5800" cy="3486234"/>
                    </a:xfrm>
                    <a:prstGeom prst="rect">
                      <a:avLst/>
                    </a:prstGeom>
                    <a:noFill/>
                    <a:ln>
                      <a:noFill/>
                    </a:ln>
                  </pic:spPr>
                </pic:pic>
              </a:graphicData>
            </a:graphic>
          </wp:inline>
        </w:drawing>
      </w:r>
    </w:p>
    <w:p w14:paraId="47A7A834" w14:textId="13083A85" w:rsidR="00D16147" w:rsidRPr="00F41AD2" w:rsidRDefault="007E6C66" w:rsidP="00D16147">
      <w:pPr>
        <w:pStyle w:val="Caption"/>
        <w:spacing w:before="120" w:after="0" w:line="252" w:lineRule="auto"/>
        <w:jc w:val="left"/>
        <w:rPr>
          <w:sz w:val="22"/>
          <w:szCs w:val="22"/>
          <w:lang w:val="en-GB"/>
        </w:rPr>
      </w:pPr>
      <w:proofErr w:type="gramStart"/>
      <w:r>
        <w:rPr>
          <w:sz w:val="22"/>
          <w:szCs w:val="22"/>
          <w:lang w:val="en-GB"/>
        </w:rPr>
        <w:t>Figure 30</w:t>
      </w:r>
      <w:r w:rsidR="00D16147" w:rsidRPr="00F41AD2">
        <w:rPr>
          <w:sz w:val="22"/>
          <w:szCs w:val="22"/>
          <w:lang w:val="en-GB"/>
        </w:rPr>
        <w:t>.</w:t>
      </w:r>
      <w:proofErr w:type="gramEnd"/>
      <w:r w:rsidR="00D16147" w:rsidRPr="00F41AD2">
        <w:rPr>
          <w:sz w:val="22"/>
          <w:szCs w:val="22"/>
          <w:lang w:val="en-GB"/>
        </w:rPr>
        <w:t xml:space="preserve"> </w:t>
      </w:r>
      <w:proofErr w:type="gramStart"/>
      <w:r w:rsidR="00D16147" w:rsidRPr="00F41AD2">
        <w:rPr>
          <w:sz w:val="22"/>
          <w:szCs w:val="22"/>
          <w:lang w:val="en-GB"/>
        </w:rPr>
        <w:t>Main maritime routes in the Black Sea, 2010</w:t>
      </w:r>
      <w:r w:rsidR="00D16147" w:rsidRPr="00F41AD2">
        <w:rPr>
          <w:rStyle w:val="EndnoteReference"/>
          <w:sz w:val="22"/>
          <w:szCs w:val="22"/>
          <w:lang w:val="en-GB"/>
        </w:rPr>
        <w:endnoteReference w:id="112"/>
      </w:r>
      <w:r w:rsidR="00D16147" w:rsidRPr="00F41AD2">
        <w:rPr>
          <w:sz w:val="22"/>
          <w:szCs w:val="22"/>
          <w:lang w:val="en-GB"/>
        </w:rPr>
        <w:t>.</w:t>
      </w:r>
      <w:proofErr w:type="gramEnd"/>
      <w:r w:rsidR="00D16147" w:rsidRPr="00F41AD2">
        <w:rPr>
          <w:sz w:val="22"/>
          <w:szCs w:val="22"/>
          <w:lang w:val="en-GB"/>
        </w:rPr>
        <w:t xml:space="preserve"> Lo/Lo (lift-on/lift-off) vessels use a crane to load/unload cargo; Ro/Ro (roll-on/roll-off) vessels carry wheeled cargo (automobile, trucks, etc.) driven on and off the ship on their own wheels.</w:t>
      </w:r>
    </w:p>
    <w:p w14:paraId="05ECB5A6" w14:textId="77777777" w:rsidR="00D16147" w:rsidRPr="004B58D3" w:rsidRDefault="00D16147" w:rsidP="00B839A0">
      <w:pPr>
        <w:spacing w:before="240" w:after="0" w:line="252" w:lineRule="auto"/>
        <w:jc w:val="both"/>
        <w:rPr>
          <w:sz w:val="22"/>
          <w:szCs w:val="22"/>
          <w:lang w:val="en-GB"/>
        </w:rPr>
      </w:pPr>
      <w:r>
        <w:rPr>
          <w:sz w:val="22"/>
          <w:szCs w:val="22"/>
          <w:lang w:val="en-GB"/>
        </w:rPr>
        <w:t>C</w:t>
      </w:r>
      <w:r w:rsidRPr="004B58D3">
        <w:rPr>
          <w:sz w:val="22"/>
          <w:szCs w:val="22"/>
          <w:lang w:val="en-GB"/>
        </w:rPr>
        <w:t xml:space="preserve">argoes movement and delivery against a background of increasing volumes of trade flows </w:t>
      </w:r>
      <w:r>
        <w:rPr>
          <w:sz w:val="22"/>
          <w:szCs w:val="22"/>
          <w:lang w:val="en-GB"/>
        </w:rPr>
        <w:t>has become</w:t>
      </w:r>
      <w:r w:rsidRPr="004B58D3">
        <w:rPr>
          <w:sz w:val="22"/>
          <w:szCs w:val="22"/>
          <w:lang w:val="en-GB"/>
        </w:rPr>
        <w:t xml:space="preserve"> a priority for all countries of the region. However a complex of issues and requirements concerning maritime infrastructure, fleet renewal, quality of the services in the seaport, market access to the port services, adjustment to the international environmental standards and improvement of regulations and legislation related to the sea ports remain challenging</w:t>
      </w:r>
      <w:r w:rsidRPr="004320D6">
        <w:rPr>
          <w:rStyle w:val="EndnoteReference"/>
          <w:sz w:val="22"/>
          <w:szCs w:val="22"/>
        </w:rPr>
        <w:endnoteReference w:id="113"/>
      </w:r>
      <w:r w:rsidRPr="004B58D3">
        <w:rPr>
          <w:sz w:val="22"/>
          <w:szCs w:val="22"/>
          <w:lang w:val="en-GB"/>
        </w:rPr>
        <w:t>.</w:t>
      </w:r>
    </w:p>
    <w:p w14:paraId="65016437" w14:textId="77777777" w:rsidR="00D16147" w:rsidRDefault="00D16147" w:rsidP="00D16147">
      <w:pPr>
        <w:spacing w:before="120" w:after="0" w:line="252" w:lineRule="auto"/>
        <w:jc w:val="both"/>
        <w:rPr>
          <w:sz w:val="22"/>
          <w:szCs w:val="22"/>
          <w:lang w:val="en-GB"/>
        </w:rPr>
      </w:pPr>
      <w:r w:rsidRPr="004B58D3">
        <w:rPr>
          <w:sz w:val="22"/>
          <w:szCs w:val="22"/>
          <w:lang w:val="en-GB"/>
        </w:rPr>
        <w:t>Ferry lines cross the Black Sea in both north-south and east-west routes. Other routes also run parallel with the coast. The promotion of passenger, cruise and high speed ferry links coul</w:t>
      </w:r>
      <w:r>
        <w:rPr>
          <w:sz w:val="22"/>
          <w:szCs w:val="22"/>
          <w:lang w:val="en-GB"/>
        </w:rPr>
        <w:t>d play a</w:t>
      </w:r>
      <w:r w:rsidRPr="004B58D3">
        <w:rPr>
          <w:sz w:val="22"/>
          <w:szCs w:val="22"/>
          <w:lang w:val="en-GB"/>
        </w:rPr>
        <w:t>n important role in the development of domestic and international tourism in the Black Sea region</w:t>
      </w:r>
      <w:r w:rsidRPr="004320D6">
        <w:rPr>
          <w:rStyle w:val="EndnoteReference"/>
          <w:sz w:val="22"/>
          <w:szCs w:val="22"/>
        </w:rPr>
        <w:endnoteReference w:id="114"/>
      </w:r>
      <w:r w:rsidRPr="004B58D3">
        <w:rPr>
          <w:sz w:val="22"/>
          <w:szCs w:val="22"/>
          <w:lang w:val="en-GB"/>
        </w:rPr>
        <w:t xml:space="preserve">. </w:t>
      </w:r>
    </w:p>
    <w:p w14:paraId="016E73B1" w14:textId="2B944CF5" w:rsidR="00D16147" w:rsidRPr="004B58D3" w:rsidRDefault="00D16147" w:rsidP="00D16147">
      <w:pPr>
        <w:spacing w:before="120" w:after="0" w:line="252" w:lineRule="auto"/>
        <w:jc w:val="both"/>
        <w:rPr>
          <w:sz w:val="22"/>
          <w:szCs w:val="22"/>
          <w:lang w:val="en-GB"/>
        </w:rPr>
      </w:pPr>
      <w:r w:rsidRPr="004B58D3">
        <w:rPr>
          <w:sz w:val="22"/>
          <w:szCs w:val="22"/>
          <w:lang w:val="en-GB"/>
        </w:rPr>
        <w:t>An overview of t</w:t>
      </w:r>
      <w:r w:rsidR="009A31BE">
        <w:rPr>
          <w:sz w:val="22"/>
          <w:szCs w:val="22"/>
          <w:lang w:val="en-GB"/>
        </w:rPr>
        <w:t xml:space="preserve">he Black Sea rail, road and </w:t>
      </w:r>
      <w:r w:rsidRPr="004B58D3">
        <w:rPr>
          <w:sz w:val="22"/>
          <w:szCs w:val="22"/>
          <w:lang w:val="en-GB"/>
        </w:rPr>
        <w:t>maritime transport framework</w:t>
      </w:r>
      <w:r>
        <w:rPr>
          <w:sz w:val="22"/>
          <w:szCs w:val="22"/>
          <w:lang w:val="en-GB"/>
        </w:rPr>
        <w:t xml:space="preserve">, </w:t>
      </w:r>
      <w:r w:rsidRPr="00E57B62">
        <w:rPr>
          <w:sz w:val="22"/>
          <w:szCs w:val="22"/>
          <w:lang w:val="en-GB"/>
        </w:rPr>
        <w:t>as well as planned TRACECA</w:t>
      </w:r>
      <w:r w:rsidRPr="004B3B4C">
        <w:rPr>
          <w:sz w:val="22"/>
          <w:szCs w:val="22"/>
          <w:highlight w:val="yellow"/>
          <w:lang w:val="en-GB"/>
        </w:rPr>
        <w:t xml:space="preserve"> </w:t>
      </w:r>
      <w:r w:rsidRPr="00F41AD2">
        <w:rPr>
          <w:sz w:val="22"/>
          <w:szCs w:val="22"/>
          <w:lang w:val="en-GB"/>
        </w:rPr>
        <w:t>routes, is provided in the map below.</w:t>
      </w:r>
      <w:r w:rsidRPr="004B58D3">
        <w:rPr>
          <w:sz w:val="22"/>
          <w:szCs w:val="22"/>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3"/>
      </w:tblGrid>
      <w:tr w:rsidR="00D16147" w:rsidRPr="00B71347" w14:paraId="31F4577D" w14:textId="77777777" w:rsidTr="008242B5">
        <w:tc>
          <w:tcPr>
            <w:tcW w:w="9936" w:type="dxa"/>
          </w:tcPr>
          <w:p w14:paraId="0558FB63" w14:textId="77777777" w:rsidR="00D16147" w:rsidRDefault="00D16147" w:rsidP="008242B5">
            <w:pPr>
              <w:keepNext/>
              <w:spacing w:before="120" w:line="252" w:lineRule="auto"/>
              <w:jc w:val="both"/>
            </w:pPr>
            <w:r>
              <w:rPr>
                <w:noProof/>
                <w:lang w:val="en-GB" w:eastAsia="en-GB"/>
              </w:rPr>
              <w:lastRenderedPageBreak/>
              <w:drawing>
                <wp:inline distT="0" distB="0" distL="0" distR="0" wp14:anchorId="44AAB6BC" wp14:editId="6431263B">
                  <wp:extent cx="7019892" cy="2932430"/>
                  <wp:effectExtent l="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023774" cy="2934051"/>
                          </a:xfrm>
                          <a:prstGeom prst="rect">
                            <a:avLst/>
                          </a:prstGeom>
                          <a:noFill/>
                          <a:ln>
                            <a:noFill/>
                          </a:ln>
                        </pic:spPr>
                      </pic:pic>
                    </a:graphicData>
                  </a:graphic>
                </wp:inline>
              </w:drawing>
            </w:r>
          </w:p>
          <w:p w14:paraId="41B0AD47" w14:textId="145CBAA2" w:rsidR="00D16147" w:rsidRPr="00EC6F82" w:rsidRDefault="00D16147" w:rsidP="008242B5">
            <w:pPr>
              <w:pStyle w:val="Caption"/>
              <w:spacing w:before="120" w:after="0" w:line="252" w:lineRule="auto"/>
              <w:jc w:val="both"/>
              <w:rPr>
                <w:sz w:val="22"/>
                <w:szCs w:val="22"/>
                <w:lang w:val="en-GB"/>
              </w:rPr>
            </w:pPr>
            <w:r w:rsidRPr="00C22F7B">
              <w:rPr>
                <w:noProof/>
                <w:lang w:val="en-GB" w:eastAsia="en-GB"/>
              </w:rPr>
              <w:drawing>
                <wp:anchor distT="0" distB="0" distL="114300" distR="114300" simplePos="0" relativeHeight="251668480" behindDoc="0" locked="0" layoutInCell="1" allowOverlap="1" wp14:anchorId="4C94A0C4" wp14:editId="7CE8584A">
                  <wp:simplePos x="0" y="0"/>
                  <wp:positionH relativeFrom="margin">
                    <wp:posOffset>5943600</wp:posOffset>
                  </wp:positionH>
                  <wp:positionV relativeFrom="margin">
                    <wp:posOffset>36195</wp:posOffset>
                  </wp:positionV>
                  <wp:extent cx="1028700" cy="1295400"/>
                  <wp:effectExtent l="0" t="0" r="12700" b="0"/>
                  <wp:wrapSquare wrapText="bothSides"/>
                  <wp:docPr id="2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a:extLst>
                              <a:ext uri="{28A0092B-C50C-407E-A947-70E740481C1C}">
                                <a14:useLocalDpi xmlns:a14="http://schemas.microsoft.com/office/drawing/2010/main" val="0"/>
                              </a:ext>
                            </a:extLst>
                          </a:blip>
                          <a:srcRect l="4446" t="8375" r="5503" b="13950"/>
                          <a:stretch/>
                        </pic:blipFill>
                        <pic:spPr bwMode="auto">
                          <a:xfrm>
                            <a:off x="0" y="0"/>
                            <a:ext cx="1028700" cy="1295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58D3">
              <w:rPr>
                <w:sz w:val="22"/>
                <w:szCs w:val="22"/>
                <w:lang w:val="en-GB"/>
              </w:rPr>
              <w:t xml:space="preserve">Figure </w:t>
            </w:r>
            <w:r w:rsidR="007E6C66">
              <w:rPr>
                <w:sz w:val="22"/>
                <w:szCs w:val="22"/>
                <w:lang w:val="en-GB"/>
              </w:rPr>
              <w:t>31</w:t>
            </w:r>
            <w:r w:rsidRPr="004B58D3">
              <w:rPr>
                <w:sz w:val="22"/>
                <w:szCs w:val="22"/>
                <w:lang w:val="en-GB"/>
              </w:rPr>
              <w:t>. Overview of Black Sea Basin transport network (</w:t>
            </w:r>
            <w:r w:rsidRPr="00F41AD2">
              <w:rPr>
                <w:sz w:val="22"/>
                <w:szCs w:val="22"/>
                <w:lang w:val="en-GB"/>
              </w:rPr>
              <w:t>existing and planned), including main railways and roads</w:t>
            </w:r>
            <w:r w:rsidR="005D0E4F">
              <w:rPr>
                <w:sz w:val="22"/>
                <w:szCs w:val="22"/>
                <w:lang w:val="en-GB"/>
              </w:rPr>
              <w:t>, 2013</w:t>
            </w:r>
            <w:r w:rsidRPr="00F41AD2">
              <w:rPr>
                <w:rStyle w:val="EndnoteReference"/>
                <w:sz w:val="22"/>
                <w:szCs w:val="22"/>
                <w:lang w:val="en-GB"/>
              </w:rPr>
              <w:endnoteReference w:id="115"/>
            </w:r>
            <w:r w:rsidRPr="004B58D3">
              <w:rPr>
                <w:sz w:val="22"/>
                <w:szCs w:val="22"/>
                <w:lang w:val="en-GB"/>
              </w:rPr>
              <w:t xml:space="preserve"> </w:t>
            </w:r>
          </w:p>
        </w:tc>
      </w:tr>
    </w:tbl>
    <w:p w14:paraId="05CD3712" w14:textId="77777777" w:rsidR="00D16147" w:rsidRPr="006E3288" w:rsidRDefault="00D16147" w:rsidP="00B839A0">
      <w:pPr>
        <w:spacing w:before="480" w:after="120"/>
        <w:rPr>
          <w:b/>
          <w:lang w:val="en-GB"/>
        </w:rPr>
      </w:pPr>
      <w:bookmarkStart w:id="48" w:name="_Toc246127442"/>
      <w:r w:rsidRPr="006E3288">
        <w:rPr>
          <w:b/>
          <w:lang w:val="en-GB"/>
        </w:rPr>
        <w:t>Telecommunications, Information and Communication Technologies (ICT)</w:t>
      </w:r>
      <w:bookmarkEnd w:id="48"/>
    </w:p>
    <w:p w14:paraId="2CC66D28" w14:textId="748D366A" w:rsidR="00D16147" w:rsidRPr="004B58D3" w:rsidRDefault="00D16147" w:rsidP="00D16147">
      <w:pPr>
        <w:spacing w:before="120" w:after="0" w:line="252" w:lineRule="auto"/>
        <w:jc w:val="both"/>
        <w:rPr>
          <w:sz w:val="22"/>
          <w:szCs w:val="22"/>
          <w:lang w:val="en-GB"/>
        </w:rPr>
      </w:pPr>
      <w:r w:rsidRPr="004B58D3">
        <w:rPr>
          <w:sz w:val="22"/>
          <w:szCs w:val="22"/>
          <w:lang w:val="en-GB"/>
        </w:rPr>
        <w:t xml:space="preserve">Both mobile and internet access have increased by more than 200% since 2005 in all countries of the Black Sea region. Over the last few years, the number of internet users have also multiplied e.g. by more than </w:t>
      </w:r>
      <w:r>
        <w:rPr>
          <w:sz w:val="22"/>
          <w:szCs w:val="22"/>
          <w:lang w:val="en-GB"/>
        </w:rPr>
        <w:t>seven</w:t>
      </w:r>
      <w:r w:rsidRPr="004B58D3">
        <w:rPr>
          <w:sz w:val="22"/>
          <w:szCs w:val="22"/>
          <w:lang w:val="en-GB"/>
        </w:rPr>
        <w:t xml:space="preserve"> in Armenia and Ukraine over the last </w:t>
      </w:r>
      <w:r>
        <w:rPr>
          <w:sz w:val="22"/>
          <w:szCs w:val="22"/>
          <w:lang w:val="en-GB"/>
        </w:rPr>
        <w:t>six</w:t>
      </w:r>
      <w:r w:rsidRPr="004B58D3">
        <w:rPr>
          <w:sz w:val="22"/>
          <w:szCs w:val="22"/>
          <w:lang w:val="en-GB"/>
        </w:rPr>
        <w:t xml:space="preserve"> years, becoming a widespread tool. Thus the digital gap that existed among Black Sea Basin countries has considerably narrowed (see figure</w:t>
      </w:r>
      <w:r w:rsidR="007E6C66">
        <w:rPr>
          <w:sz w:val="22"/>
          <w:szCs w:val="22"/>
          <w:lang w:val="en-GB"/>
        </w:rPr>
        <w:t xml:space="preserve"> 32</w:t>
      </w:r>
      <w:r w:rsidRPr="004B58D3">
        <w:rPr>
          <w:sz w:val="22"/>
          <w:szCs w:val="22"/>
          <w:lang w:val="en-GB"/>
        </w:rPr>
        <w:t xml:space="preserve"> below) though</w:t>
      </w:r>
      <w:r>
        <w:rPr>
          <w:sz w:val="22"/>
          <w:szCs w:val="22"/>
          <w:lang w:val="en-GB"/>
        </w:rPr>
        <w:t>,</w:t>
      </w:r>
      <w:r w:rsidRPr="004B58D3">
        <w:rPr>
          <w:sz w:val="22"/>
          <w:szCs w:val="22"/>
          <w:lang w:val="en-GB"/>
        </w:rPr>
        <w:t xml:space="preserve"> overall</w:t>
      </w:r>
      <w:r>
        <w:rPr>
          <w:sz w:val="22"/>
          <w:szCs w:val="22"/>
          <w:lang w:val="en-GB"/>
        </w:rPr>
        <w:t>,</w:t>
      </w:r>
      <w:r w:rsidRPr="004B58D3">
        <w:rPr>
          <w:sz w:val="22"/>
          <w:szCs w:val="22"/>
          <w:lang w:val="en-GB"/>
        </w:rPr>
        <w:t xml:space="preserve"> still lagging behind the EU average of 75 users per 100 people in 2012</w:t>
      </w:r>
      <w:r w:rsidRPr="004320D6">
        <w:rPr>
          <w:rStyle w:val="EndnoteReference"/>
          <w:sz w:val="22"/>
          <w:szCs w:val="22"/>
        </w:rPr>
        <w:endnoteReference w:id="116"/>
      </w:r>
      <w:r w:rsidRPr="004B58D3">
        <w:rPr>
          <w:sz w:val="22"/>
          <w:szCs w:val="22"/>
          <w:lang w:val="en-GB"/>
        </w:rPr>
        <w:t xml:space="preserve">. </w:t>
      </w:r>
    </w:p>
    <w:p w14:paraId="5356532C" w14:textId="77777777" w:rsidR="00D16147" w:rsidRDefault="00D16147" w:rsidP="00D16147">
      <w:pPr>
        <w:keepNext/>
        <w:spacing w:before="120" w:after="0" w:line="252" w:lineRule="auto"/>
      </w:pPr>
      <w:r>
        <w:rPr>
          <w:noProof/>
          <w:lang w:val="en-GB" w:eastAsia="en-GB"/>
        </w:rPr>
        <w:drawing>
          <wp:inline distT="0" distB="0" distL="0" distR="0" wp14:anchorId="78900DF5" wp14:editId="4974729B">
            <wp:extent cx="7083063" cy="2402028"/>
            <wp:effectExtent l="0" t="0" r="3810" b="1143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086830" cy="2403306"/>
                    </a:xfrm>
                    <a:prstGeom prst="rect">
                      <a:avLst/>
                    </a:prstGeom>
                    <a:noFill/>
                    <a:ln>
                      <a:noFill/>
                    </a:ln>
                  </pic:spPr>
                </pic:pic>
              </a:graphicData>
            </a:graphic>
          </wp:inline>
        </w:drawing>
      </w:r>
    </w:p>
    <w:p w14:paraId="31C1AF4E" w14:textId="62323FDA" w:rsidR="00D16147" w:rsidRDefault="00D16147" w:rsidP="005A12B9">
      <w:pPr>
        <w:pStyle w:val="Caption"/>
        <w:spacing w:after="0" w:line="252" w:lineRule="auto"/>
        <w:jc w:val="left"/>
        <w:rPr>
          <w:sz w:val="22"/>
          <w:szCs w:val="22"/>
          <w:lang w:val="en-GB"/>
        </w:rPr>
      </w:pPr>
      <w:proofErr w:type="gramStart"/>
      <w:r w:rsidRPr="004B58D3">
        <w:rPr>
          <w:sz w:val="22"/>
          <w:szCs w:val="22"/>
          <w:lang w:val="en-GB"/>
        </w:rPr>
        <w:t xml:space="preserve">Figure </w:t>
      </w:r>
      <w:r w:rsidR="007E6C66">
        <w:rPr>
          <w:sz w:val="22"/>
          <w:szCs w:val="22"/>
          <w:lang w:val="en-GB"/>
        </w:rPr>
        <w:t>32</w:t>
      </w:r>
      <w:r w:rsidRPr="004B58D3">
        <w:rPr>
          <w:sz w:val="22"/>
          <w:szCs w:val="22"/>
          <w:lang w:val="en-GB"/>
        </w:rPr>
        <w:t>.</w:t>
      </w:r>
      <w:proofErr w:type="gramEnd"/>
      <w:r w:rsidRPr="004B58D3">
        <w:rPr>
          <w:sz w:val="22"/>
          <w:szCs w:val="22"/>
          <w:lang w:val="en-GB"/>
        </w:rPr>
        <w:t xml:space="preserve"> Internet and mobile phone use, 2012</w:t>
      </w:r>
      <w:r>
        <w:rPr>
          <w:rStyle w:val="EndnoteReference"/>
          <w:sz w:val="22"/>
          <w:szCs w:val="22"/>
        </w:rPr>
        <w:endnoteReference w:id="117"/>
      </w:r>
    </w:p>
    <w:p w14:paraId="6E6F0186" w14:textId="77777777" w:rsidR="00A34868" w:rsidRDefault="00A34868">
      <w:pPr>
        <w:rPr>
          <w:lang w:val="en-GB"/>
        </w:rPr>
      </w:pPr>
      <w:r>
        <w:rPr>
          <w:lang w:val="en-GB"/>
        </w:rPr>
        <w:br w:type="page"/>
      </w:r>
    </w:p>
    <w:tbl>
      <w:tblPr>
        <w:tblStyle w:val="ColorfulList"/>
        <w:tblW w:w="0" w:type="auto"/>
        <w:tblBorders>
          <w:top w:val="single" w:sz="18" w:space="0" w:color="983620" w:themeColor="accent2"/>
          <w:left w:val="single" w:sz="18" w:space="0" w:color="983620" w:themeColor="accent2"/>
          <w:bottom w:val="single" w:sz="18" w:space="0" w:color="983620" w:themeColor="accent2"/>
          <w:right w:val="single" w:sz="18" w:space="0" w:color="983620" w:themeColor="accent2"/>
        </w:tblBorders>
        <w:tblLayout w:type="fixed"/>
        <w:tblLook w:val="04A0" w:firstRow="1" w:lastRow="0" w:firstColumn="1" w:lastColumn="0" w:noHBand="0" w:noVBand="1"/>
      </w:tblPr>
      <w:tblGrid>
        <w:gridCol w:w="5495"/>
        <w:gridCol w:w="5528"/>
      </w:tblGrid>
      <w:tr w:rsidR="00D220D9" w:rsidRPr="009C4D30" w14:paraId="45B10CA0" w14:textId="77777777" w:rsidTr="00DA548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noWrap/>
            <w:hideMark/>
          </w:tcPr>
          <w:p w14:paraId="339A68BE" w14:textId="77777777" w:rsidR="00D220D9" w:rsidRPr="009C4D30" w:rsidRDefault="00D220D9" w:rsidP="00DA5484">
            <w:pPr>
              <w:jc w:val="center"/>
            </w:pPr>
            <w:r>
              <w:lastRenderedPageBreak/>
              <w:t>SWOT – TRANSPORT AND ICT</w:t>
            </w:r>
          </w:p>
        </w:tc>
      </w:tr>
      <w:tr w:rsidR="00D220D9" w:rsidRPr="00C80671" w14:paraId="1D22E365"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95" w:type="dxa"/>
            <w:tcBorders>
              <w:right w:val="single" w:sz="4" w:space="0" w:color="983620" w:themeColor="accent2"/>
            </w:tcBorders>
            <w:shd w:val="clear" w:color="auto" w:fill="A6A6A6" w:themeFill="background1" w:themeFillShade="A6"/>
            <w:noWrap/>
            <w:hideMark/>
          </w:tcPr>
          <w:p w14:paraId="343E3A88" w14:textId="77777777" w:rsidR="00D220D9" w:rsidRPr="00C80671" w:rsidRDefault="00D220D9" w:rsidP="00DA5484">
            <w:pPr>
              <w:jc w:val="center"/>
              <w:rPr>
                <w:sz w:val="22"/>
                <w:szCs w:val="22"/>
              </w:rPr>
            </w:pPr>
            <w:r w:rsidRPr="00C80671">
              <w:rPr>
                <w:sz w:val="22"/>
                <w:szCs w:val="22"/>
              </w:rPr>
              <w:t>STRENGTHS</w:t>
            </w:r>
          </w:p>
        </w:tc>
        <w:tc>
          <w:tcPr>
            <w:tcW w:w="5528" w:type="dxa"/>
            <w:tcBorders>
              <w:left w:val="single" w:sz="4" w:space="0" w:color="983620" w:themeColor="accent2"/>
              <w:right w:val="single" w:sz="18" w:space="0" w:color="983620" w:themeColor="accent2"/>
            </w:tcBorders>
            <w:shd w:val="clear" w:color="auto" w:fill="A6A6A6" w:themeFill="background1" w:themeFillShade="A6"/>
            <w:hideMark/>
          </w:tcPr>
          <w:p w14:paraId="5258362B" w14:textId="77777777" w:rsidR="00D220D9" w:rsidRPr="00C80671" w:rsidRDefault="00D220D9" w:rsidP="00DA548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C80671">
              <w:rPr>
                <w:b/>
                <w:sz w:val="22"/>
                <w:szCs w:val="22"/>
              </w:rPr>
              <w:t>WEAKNESSES</w:t>
            </w:r>
          </w:p>
        </w:tc>
      </w:tr>
      <w:tr w:rsidR="00D220D9" w:rsidRPr="00B71347" w14:paraId="720AFBBA" w14:textId="77777777" w:rsidTr="00DA5484">
        <w:trPr>
          <w:trHeight w:val="3614"/>
        </w:trPr>
        <w:tc>
          <w:tcPr>
            <w:cnfStyle w:val="001000000000" w:firstRow="0" w:lastRow="0" w:firstColumn="1" w:lastColumn="0" w:oddVBand="0" w:evenVBand="0" w:oddHBand="0" w:evenHBand="0" w:firstRowFirstColumn="0" w:firstRowLastColumn="0" w:lastRowFirstColumn="0" w:lastRowLastColumn="0"/>
            <w:tcW w:w="5495" w:type="dxa"/>
            <w:tcBorders>
              <w:right w:val="single" w:sz="4" w:space="0" w:color="983620" w:themeColor="accent2"/>
            </w:tcBorders>
            <w:hideMark/>
          </w:tcPr>
          <w:tbl>
            <w:tblPr>
              <w:tblW w:w="5387" w:type="dxa"/>
              <w:tblLayout w:type="fixed"/>
              <w:tblCellMar>
                <w:left w:w="70" w:type="dxa"/>
                <w:right w:w="70" w:type="dxa"/>
              </w:tblCellMar>
              <w:tblLook w:val="04A0" w:firstRow="1" w:lastRow="0" w:firstColumn="1" w:lastColumn="0" w:noHBand="0" w:noVBand="1"/>
            </w:tblPr>
            <w:tblGrid>
              <w:gridCol w:w="5387"/>
            </w:tblGrid>
            <w:tr w:rsidR="00D220D9" w:rsidRPr="00B71347" w14:paraId="749C7202" w14:textId="77777777" w:rsidTr="00DA5484">
              <w:trPr>
                <w:trHeight w:val="3640"/>
              </w:trPr>
              <w:tc>
                <w:tcPr>
                  <w:tcW w:w="5387" w:type="dxa"/>
                  <w:tcBorders>
                    <w:top w:val="nil"/>
                    <w:left w:val="nil"/>
                  </w:tcBorders>
                  <w:shd w:val="clear" w:color="auto" w:fill="auto"/>
                  <w:vAlign w:val="center"/>
                  <w:hideMark/>
                </w:tcPr>
                <w:tbl>
                  <w:tblPr>
                    <w:tblW w:w="5317" w:type="dxa"/>
                    <w:tblLayout w:type="fixed"/>
                    <w:tblCellMar>
                      <w:left w:w="70" w:type="dxa"/>
                      <w:right w:w="70" w:type="dxa"/>
                    </w:tblCellMar>
                    <w:tblLook w:val="04A0" w:firstRow="1" w:lastRow="0" w:firstColumn="1" w:lastColumn="0" w:noHBand="0" w:noVBand="1"/>
                  </w:tblPr>
                  <w:tblGrid>
                    <w:gridCol w:w="5317"/>
                  </w:tblGrid>
                  <w:tr w:rsidR="00D220D9" w:rsidRPr="00B71347" w14:paraId="42A8E842" w14:textId="77777777" w:rsidTr="00DA5484">
                    <w:trPr>
                      <w:trHeight w:val="3614"/>
                    </w:trPr>
                    <w:tc>
                      <w:tcPr>
                        <w:tcW w:w="5317" w:type="dxa"/>
                        <w:tcBorders>
                          <w:top w:val="nil"/>
                          <w:left w:val="nil"/>
                          <w:right w:val="nil"/>
                        </w:tcBorders>
                        <w:shd w:val="clear" w:color="auto" w:fill="auto"/>
                        <w:vAlign w:val="center"/>
                        <w:hideMark/>
                      </w:tcPr>
                      <w:p w14:paraId="5E7A5003"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The transport of oil and gas across the Black Sea is a major activity</w:t>
                        </w:r>
                      </w:p>
                      <w:p w14:paraId="155C7762"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Total cargo turnover for the ports of Bulgaria, Georgia, Russia, Romania and Ukraine between 2000 and 2007 increased more than twice</w:t>
                        </w:r>
                      </w:p>
                      <w:p w14:paraId="175C9A7C"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Overall quality of ports infrastructure around the Black Sea is good in Greece, Turkey and Georgia</w:t>
                        </w:r>
                      </w:p>
                      <w:p w14:paraId="569F3D25"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Both mobile and internet access have increased by more than 200% since 2005 in all countries of the Black Sea region</w:t>
                        </w:r>
                      </w:p>
                      <w:p w14:paraId="35F993D3"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The digital gap that existed among Black Sea Basin countries has considerably narrowed </w:t>
                        </w:r>
                      </w:p>
                    </w:tc>
                  </w:tr>
                </w:tbl>
                <w:p w14:paraId="64E30750" w14:textId="77777777" w:rsidR="00D220D9" w:rsidRPr="00682784" w:rsidRDefault="00D220D9" w:rsidP="00DA5484">
                  <w:pPr>
                    <w:pStyle w:val="ListParagraph"/>
                    <w:spacing w:after="120" w:line="240" w:lineRule="auto"/>
                    <w:ind w:left="714"/>
                    <w:rPr>
                      <w:rFonts w:eastAsia="Times New Roman" w:cs="Times New Roman"/>
                      <w:color w:val="000000"/>
                      <w:sz w:val="22"/>
                      <w:szCs w:val="22"/>
                      <w:lang w:val="en-GB"/>
                    </w:rPr>
                  </w:pPr>
                </w:p>
              </w:tc>
            </w:tr>
          </w:tbl>
          <w:p w14:paraId="30CEB0C9" w14:textId="77777777" w:rsidR="00D220D9" w:rsidRPr="00682784" w:rsidRDefault="00D220D9" w:rsidP="00DA5484">
            <w:pPr>
              <w:pStyle w:val="ListParagraph"/>
              <w:rPr>
                <w:b w:val="0"/>
                <w:sz w:val="22"/>
                <w:szCs w:val="22"/>
                <w:lang w:val="en-GB"/>
              </w:rPr>
            </w:pPr>
          </w:p>
        </w:tc>
        <w:tc>
          <w:tcPr>
            <w:tcW w:w="5528" w:type="dxa"/>
            <w:tcBorders>
              <w:left w:val="single" w:sz="4" w:space="0" w:color="983620" w:themeColor="accent2"/>
            </w:tcBorders>
            <w:hideMark/>
          </w:tcPr>
          <w:tbl>
            <w:tblPr>
              <w:tblW w:w="5420" w:type="dxa"/>
              <w:tblLayout w:type="fixed"/>
              <w:tblCellMar>
                <w:left w:w="70" w:type="dxa"/>
                <w:right w:w="70" w:type="dxa"/>
              </w:tblCellMar>
              <w:tblLook w:val="04A0" w:firstRow="1" w:lastRow="0" w:firstColumn="1" w:lastColumn="0" w:noHBand="0" w:noVBand="1"/>
            </w:tblPr>
            <w:tblGrid>
              <w:gridCol w:w="5420"/>
            </w:tblGrid>
            <w:tr w:rsidR="00D220D9" w:rsidRPr="00B71347" w14:paraId="2D38BCF3" w14:textId="77777777" w:rsidTr="00DA5484">
              <w:trPr>
                <w:trHeight w:val="3472"/>
              </w:trPr>
              <w:tc>
                <w:tcPr>
                  <w:tcW w:w="5420" w:type="dxa"/>
                  <w:tcBorders>
                    <w:top w:val="nil"/>
                    <w:left w:val="nil"/>
                    <w:right w:val="nil"/>
                  </w:tcBorders>
                  <w:shd w:val="clear" w:color="auto" w:fill="auto"/>
                  <w:vAlign w:val="center"/>
                  <w:hideMark/>
                </w:tcPr>
                <w:p w14:paraId="0460E4D1"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Quality of ports infrastructure around the Black Sea is still assessed as rather poor overall in Moldova and Romania. On the western shore, the EU has only one major port, Constanta</w:t>
                  </w:r>
                </w:p>
                <w:p w14:paraId="1436D895"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A complex of issues and requirements concerning maritime infrastructure, fleet renewal, quality of the services in the seaport, market access to the port services, adjustment to the international environmental standards and improvement of regulations and legislation related to the sea ports remain challenging</w:t>
                  </w:r>
                </w:p>
                <w:p w14:paraId="171F7784" w14:textId="77777777" w:rsidR="00D220D9" w:rsidRPr="00682784" w:rsidRDefault="00D220D9" w:rsidP="0028075A">
                  <w:pPr>
                    <w:pStyle w:val="ListParagraph"/>
                    <w:numPr>
                      <w:ilvl w:val="0"/>
                      <w:numId w:val="39"/>
                    </w:numPr>
                    <w:spacing w:after="120" w:line="240" w:lineRule="auto"/>
                    <w:ind w:left="714" w:hanging="357"/>
                    <w:rPr>
                      <w:rFonts w:eastAsia="Times New Roman" w:cs="Times New Roman"/>
                      <w:color w:val="000000"/>
                      <w:sz w:val="22"/>
                      <w:szCs w:val="22"/>
                      <w:lang w:val="en-GB"/>
                    </w:rPr>
                  </w:pPr>
                  <w:r w:rsidRPr="00682784">
                    <w:rPr>
                      <w:rFonts w:eastAsia="Times New Roman" w:cs="Times New Roman"/>
                      <w:color w:val="000000"/>
                      <w:sz w:val="22"/>
                      <w:szCs w:val="22"/>
                      <w:lang w:val="en-GB"/>
                    </w:rPr>
                    <w:t>Internet use overall still lagging behind the EU average</w:t>
                  </w:r>
                </w:p>
              </w:tc>
            </w:tr>
          </w:tbl>
          <w:p w14:paraId="74B58061" w14:textId="77777777" w:rsidR="00D220D9" w:rsidRPr="00682784" w:rsidRDefault="00D220D9" w:rsidP="00DA5484">
            <w:pPr>
              <w:pStyle w:val="ListParagraph"/>
              <w:cnfStyle w:val="000000000000" w:firstRow="0" w:lastRow="0" w:firstColumn="0" w:lastColumn="0" w:oddVBand="0" w:evenVBand="0" w:oddHBand="0" w:evenHBand="0" w:firstRowFirstColumn="0" w:firstRowLastColumn="0" w:lastRowFirstColumn="0" w:lastRowLastColumn="0"/>
              <w:rPr>
                <w:sz w:val="22"/>
                <w:szCs w:val="22"/>
                <w:lang w:val="en-GB"/>
              </w:rPr>
            </w:pPr>
          </w:p>
        </w:tc>
      </w:tr>
      <w:tr w:rsidR="00D220D9" w:rsidRPr="00C80671" w14:paraId="685D3D92"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5495" w:type="dxa"/>
            <w:tcBorders>
              <w:right w:val="single" w:sz="4" w:space="0" w:color="983620" w:themeColor="accent2"/>
            </w:tcBorders>
            <w:shd w:val="clear" w:color="auto" w:fill="A6A6A6" w:themeFill="background1" w:themeFillShade="A6"/>
            <w:noWrap/>
            <w:hideMark/>
          </w:tcPr>
          <w:p w14:paraId="2A67FD64" w14:textId="77777777" w:rsidR="00D220D9" w:rsidRPr="00C80671" w:rsidRDefault="00D220D9" w:rsidP="00DA5484">
            <w:pPr>
              <w:jc w:val="center"/>
              <w:rPr>
                <w:sz w:val="22"/>
                <w:szCs w:val="22"/>
              </w:rPr>
            </w:pPr>
            <w:r w:rsidRPr="00C80671">
              <w:rPr>
                <w:sz w:val="22"/>
                <w:szCs w:val="22"/>
              </w:rPr>
              <w:t>OPPORTUNITIES</w:t>
            </w:r>
          </w:p>
        </w:tc>
        <w:tc>
          <w:tcPr>
            <w:tcW w:w="5528" w:type="dxa"/>
            <w:tcBorders>
              <w:left w:val="single" w:sz="4" w:space="0" w:color="983620" w:themeColor="accent2"/>
              <w:right w:val="single" w:sz="18" w:space="0" w:color="983620" w:themeColor="accent2"/>
            </w:tcBorders>
            <w:shd w:val="clear" w:color="auto" w:fill="A6A6A6" w:themeFill="background1" w:themeFillShade="A6"/>
            <w:hideMark/>
          </w:tcPr>
          <w:p w14:paraId="7270B1AD" w14:textId="77777777" w:rsidR="00D220D9" w:rsidRPr="00C80671" w:rsidRDefault="00D220D9" w:rsidP="00DA548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C80671">
              <w:rPr>
                <w:b/>
                <w:sz w:val="22"/>
                <w:szCs w:val="22"/>
              </w:rPr>
              <w:t>THREATS</w:t>
            </w:r>
          </w:p>
        </w:tc>
      </w:tr>
      <w:tr w:rsidR="00D220D9" w:rsidRPr="00B71347" w14:paraId="4A751096" w14:textId="77777777" w:rsidTr="00DA5484">
        <w:trPr>
          <w:trHeight w:val="1076"/>
        </w:trPr>
        <w:tc>
          <w:tcPr>
            <w:cnfStyle w:val="001000000000" w:firstRow="0" w:lastRow="0" w:firstColumn="1" w:lastColumn="0" w:oddVBand="0" w:evenVBand="0" w:oddHBand="0" w:evenHBand="0" w:firstRowFirstColumn="0" w:firstRowLastColumn="0" w:lastRowFirstColumn="0" w:lastRowLastColumn="0"/>
            <w:tcW w:w="5495" w:type="dxa"/>
            <w:tcBorders>
              <w:right w:val="single" w:sz="4" w:space="0" w:color="983620" w:themeColor="accent2"/>
            </w:tcBorders>
            <w:hideMark/>
          </w:tcPr>
          <w:tbl>
            <w:tblPr>
              <w:tblW w:w="5387" w:type="dxa"/>
              <w:tblLayout w:type="fixed"/>
              <w:tblCellMar>
                <w:left w:w="70" w:type="dxa"/>
                <w:right w:w="70" w:type="dxa"/>
              </w:tblCellMar>
              <w:tblLook w:val="04A0" w:firstRow="1" w:lastRow="0" w:firstColumn="1" w:lastColumn="0" w:noHBand="0" w:noVBand="1"/>
            </w:tblPr>
            <w:tblGrid>
              <w:gridCol w:w="5387"/>
            </w:tblGrid>
            <w:tr w:rsidR="00D220D9" w:rsidRPr="00B71347" w14:paraId="21A0132B" w14:textId="77777777" w:rsidTr="00DA5484">
              <w:trPr>
                <w:trHeight w:val="2239"/>
              </w:trPr>
              <w:tc>
                <w:tcPr>
                  <w:tcW w:w="5387" w:type="dxa"/>
                  <w:tcBorders>
                    <w:top w:val="nil"/>
                    <w:left w:val="nil"/>
                  </w:tcBorders>
                  <w:shd w:val="clear" w:color="auto" w:fill="auto"/>
                  <w:vAlign w:val="center"/>
                  <w:hideMark/>
                </w:tcPr>
                <w:p w14:paraId="5C0FF077" w14:textId="77777777" w:rsidR="00D220D9" w:rsidRPr="00682784" w:rsidRDefault="00D220D9" w:rsidP="0028075A">
                  <w:pPr>
                    <w:pStyle w:val="ListParagraph"/>
                    <w:numPr>
                      <w:ilvl w:val="0"/>
                      <w:numId w:val="40"/>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The ports of the Black Sea region serve commodity turnover between the Asian-Pacific region and Europe</w:t>
                  </w:r>
                </w:p>
                <w:p w14:paraId="6A88EAAE" w14:textId="77777777" w:rsidR="00D220D9" w:rsidRPr="00682784" w:rsidRDefault="00D220D9" w:rsidP="0028075A">
                  <w:pPr>
                    <w:pStyle w:val="ListParagraph"/>
                    <w:numPr>
                      <w:ilvl w:val="0"/>
                      <w:numId w:val="40"/>
                    </w:numPr>
                    <w:spacing w:after="0" w:line="240" w:lineRule="auto"/>
                    <w:rPr>
                      <w:rFonts w:eastAsia="Times New Roman" w:cs="Times New Roman"/>
                      <w:color w:val="000000"/>
                      <w:sz w:val="22"/>
                      <w:szCs w:val="22"/>
                      <w:lang w:val="en-GB"/>
                    </w:rPr>
                  </w:pPr>
                  <w:r w:rsidRPr="00682784">
                    <w:rPr>
                      <w:rFonts w:eastAsia="Times New Roman" w:cs="Times New Roman"/>
                      <w:color w:val="000000"/>
                      <w:sz w:val="22"/>
                      <w:szCs w:val="22"/>
                      <w:lang w:val="en-GB"/>
                    </w:rPr>
                    <w:t>Motorways of the Sea (</w:t>
                  </w:r>
                  <w:proofErr w:type="spellStart"/>
                  <w:r w:rsidRPr="00682784">
                    <w:rPr>
                      <w:rFonts w:eastAsia="Times New Roman" w:cs="Times New Roman"/>
                      <w:color w:val="000000"/>
                      <w:sz w:val="22"/>
                      <w:szCs w:val="22"/>
                      <w:lang w:val="en-GB"/>
                    </w:rPr>
                    <w:t>MoS</w:t>
                  </w:r>
                  <w:proofErr w:type="spellEnd"/>
                  <w:r w:rsidRPr="00682784">
                    <w:rPr>
                      <w:rFonts w:eastAsia="Times New Roman" w:cs="Times New Roman"/>
                      <w:color w:val="000000"/>
                      <w:sz w:val="22"/>
                      <w:szCs w:val="22"/>
                      <w:lang w:val="en-GB"/>
                    </w:rPr>
                    <w:t>) have been identified for transnational multimodal axis including the BSB region, as an extension of the Trans-European Transport Networks (TEN-T) to EU Neighbouring countries</w:t>
                  </w:r>
                </w:p>
              </w:tc>
            </w:tr>
          </w:tbl>
          <w:p w14:paraId="150C1910" w14:textId="77777777" w:rsidR="00D220D9" w:rsidRPr="00682784" w:rsidRDefault="00D220D9" w:rsidP="00DA5484">
            <w:pPr>
              <w:pStyle w:val="ListParagraph"/>
              <w:spacing w:after="120"/>
              <w:ind w:left="0"/>
              <w:rPr>
                <w:rFonts w:eastAsia="Times New Roman" w:cs="Times New Roman"/>
                <w:b w:val="0"/>
                <w:color w:val="000000"/>
                <w:sz w:val="22"/>
                <w:szCs w:val="22"/>
                <w:lang w:val="en-GB"/>
              </w:rPr>
            </w:pPr>
          </w:p>
        </w:tc>
        <w:tc>
          <w:tcPr>
            <w:tcW w:w="5528" w:type="dxa"/>
            <w:tcBorders>
              <w:left w:val="single" w:sz="4" w:space="0" w:color="983620" w:themeColor="accent2"/>
            </w:tcBorders>
            <w:hideMark/>
          </w:tcPr>
          <w:p w14:paraId="0C2A3662" w14:textId="77777777" w:rsidR="00D220D9" w:rsidRPr="00682784" w:rsidRDefault="00D220D9" w:rsidP="00944FF0">
            <w:pPr>
              <w:pStyle w:val="ListParagraph"/>
              <w:spacing w:after="120"/>
              <w:cnfStyle w:val="000000000000" w:firstRow="0" w:lastRow="0" w:firstColumn="0" w:lastColumn="0" w:oddVBand="0" w:evenVBand="0" w:oddHBand="0" w:evenHBand="0" w:firstRowFirstColumn="0" w:firstRowLastColumn="0" w:lastRowFirstColumn="0" w:lastRowLastColumn="0"/>
              <w:rPr>
                <w:sz w:val="22"/>
                <w:szCs w:val="22"/>
                <w:lang w:val="en-GB"/>
              </w:rPr>
            </w:pPr>
          </w:p>
        </w:tc>
      </w:tr>
    </w:tbl>
    <w:p w14:paraId="080A332C" w14:textId="77777777" w:rsidR="00D12800" w:rsidRPr="00682784" w:rsidRDefault="00D12800" w:rsidP="00D12800">
      <w:pPr>
        <w:rPr>
          <w:lang w:val="en-GB"/>
        </w:rPr>
      </w:pPr>
    </w:p>
    <w:p w14:paraId="0A59C8F3" w14:textId="77777777" w:rsidR="00D16147" w:rsidRPr="0000667E" w:rsidRDefault="002B5D28" w:rsidP="0000667E">
      <w:pPr>
        <w:pStyle w:val="Heading3"/>
        <w:rPr>
          <w:b/>
          <w:sz w:val="28"/>
          <w:szCs w:val="28"/>
          <w:lang w:val="en-GB"/>
        </w:rPr>
      </w:pPr>
      <w:bookmarkStart w:id="49" w:name="_Toc246127443"/>
      <w:bookmarkStart w:id="50" w:name="_Toc423436279"/>
      <w:r>
        <w:rPr>
          <w:b/>
          <w:sz w:val="28"/>
          <w:szCs w:val="28"/>
          <w:lang w:val="en-GB"/>
        </w:rPr>
        <w:t xml:space="preserve">3.7 </w:t>
      </w:r>
      <w:r w:rsidR="00D16147" w:rsidRPr="0000667E">
        <w:rPr>
          <w:b/>
          <w:sz w:val="28"/>
          <w:szCs w:val="28"/>
          <w:lang w:val="en-GB"/>
        </w:rPr>
        <w:t>Culture, civil society and self-government</w:t>
      </w:r>
      <w:bookmarkEnd w:id="49"/>
      <w:bookmarkEnd w:id="50"/>
    </w:p>
    <w:p w14:paraId="317EBAF7" w14:textId="77777777" w:rsidR="00D16147" w:rsidRPr="008242B5" w:rsidRDefault="00D16147" w:rsidP="000D36B6">
      <w:pPr>
        <w:spacing w:before="240" w:after="120"/>
        <w:rPr>
          <w:b/>
          <w:lang w:val="en-GB"/>
        </w:rPr>
      </w:pPr>
      <w:bookmarkStart w:id="51" w:name="_Toc246127444"/>
      <w:r w:rsidRPr="008242B5">
        <w:rPr>
          <w:b/>
          <w:lang w:val="en-GB"/>
        </w:rPr>
        <w:t>Culture</w:t>
      </w:r>
      <w:bookmarkEnd w:id="51"/>
    </w:p>
    <w:p w14:paraId="65D76168" w14:textId="596CEA3B" w:rsidR="00D16147" w:rsidRPr="004B58D3" w:rsidRDefault="00D16147" w:rsidP="00D16147">
      <w:pPr>
        <w:spacing w:line="252" w:lineRule="auto"/>
        <w:jc w:val="both"/>
        <w:rPr>
          <w:sz w:val="22"/>
          <w:szCs w:val="22"/>
          <w:lang w:val="en-GB"/>
        </w:rPr>
      </w:pPr>
      <w:r w:rsidRPr="00F41AD2">
        <w:rPr>
          <w:sz w:val="22"/>
          <w:szCs w:val="22"/>
          <w:lang w:val="en-GB"/>
        </w:rPr>
        <w:t>Crossroad of civilisations, the Black Sea Basin has a rich and diverse cultural heritage that needs to be preserved and</w:t>
      </w:r>
      <w:r w:rsidRPr="004B58D3">
        <w:rPr>
          <w:sz w:val="22"/>
          <w:szCs w:val="22"/>
          <w:lang w:val="en-GB"/>
        </w:rPr>
        <w:t xml:space="preserve"> </w:t>
      </w:r>
      <w:r>
        <w:rPr>
          <w:sz w:val="22"/>
          <w:szCs w:val="22"/>
          <w:lang w:val="en-GB"/>
        </w:rPr>
        <w:t xml:space="preserve">it </w:t>
      </w:r>
      <w:r w:rsidRPr="004B58D3">
        <w:rPr>
          <w:sz w:val="22"/>
          <w:szCs w:val="22"/>
          <w:lang w:val="en-GB"/>
        </w:rPr>
        <w:t>retains strong cultural assets in architecture, arch</w:t>
      </w:r>
      <w:r w:rsidR="005E4258">
        <w:rPr>
          <w:sz w:val="22"/>
          <w:szCs w:val="22"/>
          <w:lang w:val="en-GB"/>
        </w:rPr>
        <w:t>a</w:t>
      </w:r>
      <w:r w:rsidRPr="004B58D3">
        <w:rPr>
          <w:sz w:val="22"/>
          <w:szCs w:val="22"/>
          <w:lang w:val="en-GB"/>
        </w:rPr>
        <w:t>eology, arts, music, literature, theatre, and cinematography</w:t>
      </w:r>
      <w:r w:rsidRPr="004320D6">
        <w:rPr>
          <w:rStyle w:val="EndnoteReference"/>
          <w:sz w:val="22"/>
          <w:szCs w:val="22"/>
        </w:rPr>
        <w:endnoteReference w:id="118"/>
      </w:r>
      <w:r w:rsidRPr="004B58D3">
        <w:rPr>
          <w:sz w:val="22"/>
          <w:szCs w:val="22"/>
          <w:lang w:val="en-GB"/>
        </w:rPr>
        <w:t xml:space="preserve">. Outstanding universal value has been recognised by UNESCO </w:t>
      </w:r>
      <w:r>
        <w:rPr>
          <w:sz w:val="22"/>
          <w:szCs w:val="22"/>
          <w:lang w:val="en-GB"/>
        </w:rPr>
        <w:t>for</w:t>
      </w:r>
      <w:r w:rsidRPr="004B58D3">
        <w:rPr>
          <w:sz w:val="22"/>
          <w:szCs w:val="22"/>
          <w:lang w:val="en-GB"/>
        </w:rPr>
        <w:t xml:space="preserve"> 18 cultural places in the Black Sea Basin area including historical cities, religious architecture and </w:t>
      </w:r>
      <w:r w:rsidR="00DD187E" w:rsidRPr="00DD187E">
        <w:rPr>
          <w:sz w:val="22"/>
          <w:szCs w:val="22"/>
          <w:lang w:val="en-GB"/>
        </w:rPr>
        <w:t>archaeological</w:t>
      </w:r>
      <w:r w:rsidRPr="004B58D3">
        <w:rPr>
          <w:sz w:val="22"/>
          <w:szCs w:val="22"/>
          <w:lang w:val="en-GB"/>
        </w:rPr>
        <w:t xml:space="preserve"> sites</w:t>
      </w:r>
      <w:r w:rsidRPr="004320D6">
        <w:rPr>
          <w:rStyle w:val="EndnoteReference"/>
          <w:sz w:val="22"/>
          <w:szCs w:val="22"/>
        </w:rPr>
        <w:endnoteReference w:id="119"/>
      </w:r>
      <w:r w:rsidRPr="004B58D3">
        <w:rPr>
          <w:sz w:val="22"/>
          <w:szCs w:val="22"/>
          <w:lang w:val="en-GB"/>
        </w:rPr>
        <w:t xml:space="preserve">. Several regional intangible cultural assets have additionally been listed as </w:t>
      </w:r>
      <w:r>
        <w:rPr>
          <w:sz w:val="22"/>
          <w:szCs w:val="22"/>
          <w:lang w:val="en-GB"/>
        </w:rPr>
        <w:t xml:space="preserve">the </w:t>
      </w:r>
      <w:r w:rsidRPr="004B58D3">
        <w:rPr>
          <w:sz w:val="22"/>
          <w:szCs w:val="22"/>
          <w:lang w:val="en-GB"/>
        </w:rPr>
        <w:t>heritage of humanity such as polyphonic songs (Georgia), musical instruments (Armenia, Azerbaijan), poems and storytellers (Armenia, Romania, Turkey), craftsmanship and arts (Armenia, Azerbaijan), traditional ceremonies and festivities (</w:t>
      </w:r>
      <w:r w:rsidR="00EE43FF">
        <w:rPr>
          <w:sz w:val="22"/>
          <w:szCs w:val="22"/>
          <w:lang w:val="en-GB"/>
        </w:rPr>
        <w:t>Armenia,</w:t>
      </w:r>
      <w:r w:rsidR="004B6512">
        <w:rPr>
          <w:sz w:val="22"/>
          <w:szCs w:val="22"/>
          <w:lang w:val="en-GB"/>
        </w:rPr>
        <w:t xml:space="preserve"> </w:t>
      </w:r>
      <w:r w:rsidRPr="004B58D3">
        <w:rPr>
          <w:sz w:val="22"/>
          <w:szCs w:val="22"/>
          <w:lang w:val="en-GB"/>
        </w:rPr>
        <w:t>Azerbaijan, Bulgaria, Turkey) and diet (Greece). This wealth of cultural variety offers considerable opportunities for cooperation.</w:t>
      </w:r>
    </w:p>
    <w:p w14:paraId="12C0BE28" w14:textId="77777777" w:rsidR="00D16147" w:rsidRPr="008242B5" w:rsidRDefault="00D16147" w:rsidP="000D36B6">
      <w:pPr>
        <w:spacing w:before="240" w:after="120"/>
        <w:rPr>
          <w:b/>
          <w:lang w:val="en-GB"/>
        </w:rPr>
      </w:pPr>
      <w:bookmarkStart w:id="52" w:name="_Toc246127445"/>
      <w:r w:rsidRPr="008242B5">
        <w:rPr>
          <w:b/>
          <w:lang w:val="en-GB"/>
        </w:rPr>
        <w:t>Civil society and local self-government</w:t>
      </w:r>
      <w:bookmarkEnd w:id="52"/>
    </w:p>
    <w:p w14:paraId="074BC32D"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In the last decade, civil society and civic movements, mostly informal, have been particularly active in the Black Sea region, notably in</w:t>
      </w:r>
      <w:r w:rsidR="00A912E1">
        <w:rPr>
          <w:sz w:val="22"/>
          <w:szCs w:val="22"/>
          <w:lang w:val="en-GB"/>
        </w:rPr>
        <w:t xml:space="preserve"> Armenia,</w:t>
      </w:r>
      <w:r w:rsidR="004B6512">
        <w:rPr>
          <w:sz w:val="22"/>
          <w:szCs w:val="22"/>
          <w:lang w:val="en-GB"/>
        </w:rPr>
        <w:t xml:space="preserve"> </w:t>
      </w:r>
      <w:r w:rsidRPr="004B58D3">
        <w:rPr>
          <w:sz w:val="22"/>
          <w:szCs w:val="22"/>
          <w:lang w:val="en-GB"/>
        </w:rPr>
        <w:t xml:space="preserve">Georgia, Ukraine and Moldova. The number of NGOs increased throughout the </w:t>
      </w:r>
      <w:r w:rsidR="00EF1770" w:rsidRPr="004B58D3">
        <w:rPr>
          <w:sz w:val="22"/>
          <w:szCs w:val="22"/>
          <w:lang w:val="en-GB"/>
        </w:rPr>
        <w:t>region;</w:t>
      </w:r>
      <w:r w:rsidRPr="004B58D3">
        <w:rPr>
          <w:sz w:val="22"/>
          <w:szCs w:val="22"/>
          <w:lang w:val="en-GB"/>
        </w:rPr>
        <w:t xml:space="preserve"> nonetheless they often remain poorly anchored in society, with low membership and volunteering levels and even lower levels of individual donations, relying mostly on foreign or public funds </w:t>
      </w:r>
      <w:r w:rsidRPr="004B58D3">
        <w:rPr>
          <w:sz w:val="22"/>
          <w:szCs w:val="22"/>
          <w:lang w:val="en-GB"/>
        </w:rPr>
        <w:lastRenderedPageBreak/>
        <w:t>(e.g. individual donations to NGOs in Moldova is ten times lower than to Churches)</w:t>
      </w:r>
      <w:r w:rsidRPr="004320D6">
        <w:rPr>
          <w:sz w:val="22"/>
          <w:szCs w:val="22"/>
          <w:vertAlign w:val="superscript"/>
        </w:rPr>
        <w:endnoteReference w:id="120"/>
      </w:r>
      <w:r w:rsidRPr="004B58D3">
        <w:rPr>
          <w:sz w:val="22"/>
          <w:szCs w:val="22"/>
          <w:lang w:val="en-GB"/>
        </w:rPr>
        <w:t>. With strong competition for funding, local NGOs often remain organization-</w:t>
      </w:r>
      <w:proofErr w:type="spellStart"/>
      <w:r w:rsidRPr="004B58D3">
        <w:rPr>
          <w:sz w:val="22"/>
          <w:szCs w:val="22"/>
          <w:lang w:val="en-GB"/>
        </w:rPr>
        <w:t>centered</w:t>
      </w:r>
      <w:proofErr w:type="spellEnd"/>
      <w:r w:rsidRPr="004B58D3">
        <w:rPr>
          <w:sz w:val="22"/>
          <w:szCs w:val="22"/>
          <w:lang w:val="en-GB"/>
        </w:rPr>
        <w:t xml:space="preserve"> rather than joining forces in coalitions and networks around issues. However, there are also positive initiatives of collective action, e.g. recently in Ukraine where an anti-tobacco coalition (gathering notably 40 NGOs) united so the Parliament passed a law banning smoking in public places. Even so, fostering a collaborative spirit among NGOs and connecting them to the wider society remains a challenge in large parts of the Black Sea Basin area. </w:t>
      </w:r>
    </w:p>
    <w:p w14:paraId="008B4322" w14:textId="0885245C" w:rsidR="00D16147" w:rsidRPr="004B58D3" w:rsidRDefault="00D16147" w:rsidP="00D16147">
      <w:pPr>
        <w:spacing w:before="120" w:after="0" w:line="252" w:lineRule="auto"/>
        <w:jc w:val="both"/>
        <w:rPr>
          <w:sz w:val="22"/>
          <w:szCs w:val="22"/>
          <w:lang w:val="en-GB"/>
        </w:rPr>
      </w:pPr>
      <w:r w:rsidRPr="004B58D3">
        <w:rPr>
          <w:sz w:val="22"/>
          <w:szCs w:val="22"/>
          <w:lang w:val="en-GB"/>
        </w:rPr>
        <w:t>At the level of the Black Sea Ba</w:t>
      </w:r>
      <w:r w:rsidR="00C815E1">
        <w:rPr>
          <w:sz w:val="22"/>
          <w:szCs w:val="22"/>
          <w:lang w:val="en-GB"/>
        </w:rPr>
        <w:t>sin, NGO cooperation has develo</w:t>
      </w:r>
      <w:r w:rsidRPr="004B58D3">
        <w:rPr>
          <w:sz w:val="22"/>
          <w:szCs w:val="22"/>
          <w:lang w:val="en-GB"/>
        </w:rPr>
        <w:t>ped within the Black Sea NGO Forum, which met regularly since its launch in Bucharest in 2008. The Eastern Partnership Civil Society Forum also provides a medium for cooperation among NGOs, from both sides of the EU external borders, on reforms in Black Sea Partner Countries</w:t>
      </w:r>
      <w:r w:rsidRPr="004320D6">
        <w:rPr>
          <w:rStyle w:val="FootnoteReference"/>
          <w:sz w:val="22"/>
          <w:szCs w:val="22"/>
        </w:rPr>
        <w:footnoteReference w:id="50"/>
      </w:r>
      <w:r w:rsidRPr="004B58D3">
        <w:rPr>
          <w:sz w:val="22"/>
          <w:szCs w:val="22"/>
          <w:lang w:val="en-GB"/>
        </w:rPr>
        <w:t>.</w:t>
      </w:r>
    </w:p>
    <w:p w14:paraId="799B2226"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All the countries in the Black Sea Basin region are members of the Council of Europe and signatories of the European Charter on local self-government, which was supplemented in 2009 by an additional protocol on citizen participation. They all take part in the Council of Europe Congress of the Local and Regional Authorities that promotes the principles of local democracy</w:t>
      </w:r>
      <w:r w:rsidRPr="004320D6">
        <w:rPr>
          <w:sz w:val="22"/>
          <w:szCs w:val="22"/>
          <w:vertAlign w:val="superscript"/>
        </w:rPr>
        <w:endnoteReference w:id="121"/>
      </w:r>
      <w:r w:rsidRPr="004B58D3">
        <w:rPr>
          <w:sz w:val="22"/>
          <w:szCs w:val="22"/>
          <w:lang w:val="en-GB"/>
        </w:rPr>
        <w:t xml:space="preserve">. </w:t>
      </w:r>
    </w:p>
    <w:p w14:paraId="4F7A11DA" w14:textId="77777777" w:rsidR="00D16147" w:rsidRPr="004B58D3" w:rsidRDefault="00D16147" w:rsidP="00D16147">
      <w:pPr>
        <w:spacing w:before="120" w:after="0" w:line="252" w:lineRule="auto"/>
        <w:jc w:val="both"/>
        <w:rPr>
          <w:sz w:val="22"/>
          <w:szCs w:val="22"/>
          <w:lang w:val="en-GB"/>
        </w:rPr>
      </w:pPr>
      <w:r w:rsidRPr="004B58D3">
        <w:rPr>
          <w:sz w:val="22"/>
          <w:szCs w:val="22"/>
          <w:lang w:val="en-GB"/>
        </w:rPr>
        <w:t>The Assembly of European Regions (AER) provides also an active forum for interregional cooperation at a wider Europe level, and membership at regional level from all the Black Sea Basin countries is widespread</w:t>
      </w:r>
      <w:r w:rsidRPr="004320D6">
        <w:rPr>
          <w:sz w:val="22"/>
          <w:szCs w:val="22"/>
          <w:vertAlign w:val="superscript"/>
        </w:rPr>
        <w:endnoteReference w:id="122"/>
      </w:r>
      <w:r w:rsidRPr="004B58D3">
        <w:rPr>
          <w:sz w:val="22"/>
          <w:szCs w:val="22"/>
          <w:lang w:val="en-GB"/>
        </w:rPr>
        <w:t xml:space="preserve">. In 2011, the EU Committee of the Regions established a Conference of the Regional and Local Authorities for the Eastern Partnership (CORLEAP) that provides a platform for dialogue between local and regional authorities from the EU and the Partner Countries. </w:t>
      </w:r>
      <w:r w:rsidR="0006620E" w:rsidRPr="0006620E">
        <w:rPr>
          <w:sz w:val="22"/>
          <w:szCs w:val="22"/>
          <w:lang w:val="en-GB"/>
        </w:rPr>
        <w:t xml:space="preserve">Under the umbrella of the Conference of Peripheral Maritime Regions of Europe (CPMR), </w:t>
      </w:r>
      <w:r w:rsidR="0006620E">
        <w:rPr>
          <w:sz w:val="22"/>
          <w:szCs w:val="22"/>
          <w:lang w:val="en-GB"/>
        </w:rPr>
        <w:t>a</w:t>
      </w:r>
      <w:r w:rsidR="0006620E" w:rsidRPr="0006620E">
        <w:rPr>
          <w:sz w:val="22"/>
          <w:szCs w:val="22"/>
          <w:lang w:val="en-GB"/>
        </w:rPr>
        <w:t xml:space="preserve"> Balkan and Black Sea Regional Commission (BBSRC) </w:t>
      </w:r>
      <w:r w:rsidR="0006620E">
        <w:rPr>
          <w:sz w:val="22"/>
          <w:szCs w:val="22"/>
          <w:lang w:val="en-GB"/>
        </w:rPr>
        <w:t xml:space="preserve">created in 2004 </w:t>
      </w:r>
      <w:r w:rsidR="0006620E" w:rsidRPr="0006620E">
        <w:rPr>
          <w:sz w:val="22"/>
          <w:szCs w:val="22"/>
          <w:lang w:val="en-GB"/>
        </w:rPr>
        <w:t>currently brings together 22 Regions from Greece, Turkey, Romania, Bulgaria, Croatia, Ukraine, and Albania to encourage dialogue and cooperation between sub-state spheres of government</w:t>
      </w:r>
      <w:r w:rsidR="0006620E">
        <w:rPr>
          <w:color w:val="0000FF"/>
          <w:sz w:val="22"/>
          <w:szCs w:val="22"/>
          <w:lang w:val="en-GB"/>
        </w:rPr>
        <w:t xml:space="preserve">. </w:t>
      </w:r>
      <w:r w:rsidRPr="004B58D3">
        <w:rPr>
          <w:sz w:val="22"/>
          <w:szCs w:val="22"/>
          <w:lang w:val="en-GB"/>
        </w:rPr>
        <w:t xml:space="preserve">At Black Sea Basin level, cooperation between local and regional authorities was promoted through the creation in 2008 of the Black Sea </w:t>
      </w:r>
      <w:proofErr w:type="spellStart"/>
      <w:r w:rsidRPr="004B58D3">
        <w:rPr>
          <w:sz w:val="22"/>
          <w:szCs w:val="22"/>
          <w:lang w:val="en-GB"/>
        </w:rPr>
        <w:t>Euroregion</w:t>
      </w:r>
      <w:proofErr w:type="spellEnd"/>
      <w:r w:rsidRPr="004B58D3">
        <w:rPr>
          <w:sz w:val="22"/>
          <w:szCs w:val="22"/>
          <w:lang w:val="en-GB"/>
        </w:rPr>
        <w:t xml:space="preserve">, though it still </w:t>
      </w:r>
      <w:r>
        <w:rPr>
          <w:sz w:val="22"/>
          <w:szCs w:val="22"/>
          <w:lang w:val="en-GB"/>
        </w:rPr>
        <w:t>has a</w:t>
      </w:r>
      <w:r w:rsidRPr="004B58D3">
        <w:rPr>
          <w:sz w:val="22"/>
          <w:szCs w:val="22"/>
          <w:lang w:val="en-GB"/>
        </w:rPr>
        <w:t xml:space="preserve"> limited membership. </w:t>
      </w:r>
    </w:p>
    <w:p w14:paraId="190BBBED" w14:textId="77777777" w:rsidR="00133D4D" w:rsidRDefault="00D16147" w:rsidP="00133D4D">
      <w:pPr>
        <w:spacing w:before="120" w:after="0" w:line="252" w:lineRule="auto"/>
        <w:jc w:val="both"/>
        <w:rPr>
          <w:sz w:val="22"/>
          <w:szCs w:val="22"/>
          <w:lang w:val="en-GB"/>
        </w:rPr>
      </w:pPr>
      <w:r w:rsidRPr="004B58D3">
        <w:rPr>
          <w:sz w:val="22"/>
          <w:szCs w:val="22"/>
          <w:lang w:val="en-GB"/>
        </w:rPr>
        <w:t xml:space="preserve">The Black Sea Forum for Dialogue and </w:t>
      </w:r>
      <w:proofErr w:type="gramStart"/>
      <w:r w:rsidRPr="004B58D3">
        <w:rPr>
          <w:sz w:val="22"/>
          <w:szCs w:val="22"/>
          <w:lang w:val="en-GB"/>
        </w:rPr>
        <w:t>Partnership,</w:t>
      </w:r>
      <w:proofErr w:type="gramEnd"/>
      <w:r w:rsidRPr="004B58D3">
        <w:rPr>
          <w:sz w:val="22"/>
          <w:szCs w:val="22"/>
          <w:lang w:val="en-GB"/>
        </w:rPr>
        <w:t xml:space="preserve"> created in 2006 and designed as a regional platform for</w:t>
      </w:r>
      <w:r w:rsidR="005D47A4">
        <w:rPr>
          <w:sz w:val="22"/>
          <w:szCs w:val="22"/>
          <w:lang w:val="en-GB"/>
        </w:rPr>
        <w:t xml:space="preserve"> </w:t>
      </w:r>
      <w:r w:rsidR="005D47A4" w:rsidRPr="004B58D3">
        <w:rPr>
          <w:sz w:val="22"/>
          <w:szCs w:val="22"/>
          <w:lang w:val="en-GB"/>
        </w:rPr>
        <w:t>international and regional organisations as well as state structures, appears to be affected by regional tensions</w:t>
      </w:r>
      <w:r w:rsidR="005D47A4" w:rsidRPr="004320D6">
        <w:rPr>
          <w:sz w:val="22"/>
          <w:szCs w:val="22"/>
          <w:vertAlign w:val="superscript"/>
        </w:rPr>
        <w:endnoteReference w:id="123"/>
      </w:r>
      <w:r w:rsidR="005D47A4" w:rsidRPr="004B58D3">
        <w:rPr>
          <w:sz w:val="22"/>
          <w:szCs w:val="22"/>
          <w:lang w:val="en-GB"/>
        </w:rPr>
        <w:t>.</w:t>
      </w:r>
    </w:p>
    <w:p w14:paraId="723543DE" w14:textId="77777777" w:rsidR="002B5D28" w:rsidRDefault="002B5D28">
      <w:pPr>
        <w:rPr>
          <w:sz w:val="22"/>
          <w:szCs w:val="22"/>
          <w:lang w:val="en-GB"/>
        </w:rPr>
      </w:pPr>
      <w:r>
        <w:rPr>
          <w:sz w:val="22"/>
          <w:szCs w:val="22"/>
          <w:lang w:val="en-GB"/>
        </w:rPr>
        <w:br w:type="page"/>
      </w:r>
    </w:p>
    <w:p w14:paraId="00799483" w14:textId="77777777" w:rsidR="00133D4D" w:rsidRPr="00133D4D" w:rsidRDefault="00133D4D" w:rsidP="00133D4D">
      <w:pPr>
        <w:spacing w:before="120" w:after="0" w:line="252" w:lineRule="auto"/>
        <w:jc w:val="both"/>
        <w:rPr>
          <w:sz w:val="22"/>
          <w:szCs w:val="22"/>
          <w:lang w:val="en-GB"/>
        </w:rPr>
      </w:pPr>
    </w:p>
    <w:tbl>
      <w:tblPr>
        <w:tblStyle w:val="ColorfulList"/>
        <w:tblW w:w="0" w:type="auto"/>
        <w:tblBorders>
          <w:top w:val="single" w:sz="18" w:space="0" w:color="983620" w:themeColor="accent2"/>
          <w:left w:val="single" w:sz="18" w:space="0" w:color="983620" w:themeColor="accent2"/>
          <w:bottom w:val="single" w:sz="18" w:space="0" w:color="983620" w:themeColor="accent2"/>
          <w:right w:val="single" w:sz="18" w:space="0" w:color="983620" w:themeColor="accent2"/>
        </w:tblBorders>
        <w:tblLayout w:type="fixed"/>
        <w:tblLook w:val="04A0" w:firstRow="1" w:lastRow="0" w:firstColumn="1" w:lastColumn="0" w:noHBand="0" w:noVBand="1"/>
      </w:tblPr>
      <w:tblGrid>
        <w:gridCol w:w="6629"/>
        <w:gridCol w:w="4394"/>
      </w:tblGrid>
      <w:tr w:rsidR="00D220D9" w:rsidRPr="00B71347" w14:paraId="501433A0" w14:textId="77777777" w:rsidTr="00DA548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1023" w:type="dxa"/>
            <w:gridSpan w:val="2"/>
            <w:noWrap/>
            <w:hideMark/>
          </w:tcPr>
          <w:p w14:paraId="5343189D" w14:textId="77777777" w:rsidR="00D220D9" w:rsidRPr="00682784" w:rsidRDefault="00D220D9" w:rsidP="00D220D9">
            <w:pPr>
              <w:jc w:val="center"/>
              <w:rPr>
                <w:lang w:val="en-GB"/>
              </w:rPr>
            </w:pPr>
            <w:r w:rsidRPr="00682784">
              <w:rPr>
                <w:lang w:val="en-GB"/>
              </w:rPr>
              <w:t>SWOT – CULTURE AND CIVIL SOCIETY</w:t>
            </w:r>
          </w:p>
        </w:tc>
      </w:tr>
      <w:tr w:rsidR="00D220D9" w:rsidRPr="00EF1770" w14:paraId="1C21D9A3"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6629" w:type="dxa"/>
            <w:tcBorders>
              <w:right w:val="single" w:sz="4" w:space="0" w:color="983620" w:themeColor="accent2"/>
            </w:tcBorders>
            <w:shd w:val="clear" w:color="auto" w:fill="A6A6A6" w:themeFill="background1" w:themeFillShade="A6"/>
            <w:noWrap/>
            <w:hideMark/>
          </w:tcPr>
          <w:p w14:paraId="320D5858" w14:textId="77777777" w:rsidR="00D220D9" w:rsidRPr="00EF1770" w:rsidRDefault="00D220D9" w:rsidP="00DA5484">
            <w:pPr>
              <w:jc w:val="center"/>
              <w:rPr>
                <w:sz w:val="22"/>
                <w:szCs w:val="22"/>
              </w:rPr>
            </w:pPr>
            <w:r w:rsidRPr="00EF1770">
              <w:rPr>
                <w:sz w:val="22"/>
                <w:szCs w:val="22"/>
              </w:rPr>
              <w:t>STRENGTHS</w:t>
            </w:r>
          </w:p>
        </w:tc>
        <w:tc>
          <w:tcPr>
            <w:tcW w:w="4394" w:type="dxa"/>
            <w:tcBorders>
              <w:left w:val="single" w:sz="4" w:space="0" w:color="983620" w:themeColor="accent2"/>
              <w:right w:val="single" w:sz="18" w:space="0" w:color="983620" w:themeColor="accent2"/>
            </w:tcBorders>
            <w:shd w:val="clear" w:color="auto" w:fill="A6A6A6" w:themeFill="background1" w:themeFillShade="A6"/>
            <w:hideMark/>
          </w:tcPr>
          <w:p w14:paraId="4502EBEE" w14:textId="77777777" w:rsidR="00D220D9" w:rsidRPr="00EF1770" w:rsidRDefault="00D220D9" w:rsidP="00DA548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F1770">
              <w:rPr>
                <w:b/>
                <w:sz w:val="22"/>
                <w:szCs w:val="22"/>
              </w:rPr>
              <w:t>WEAKNESSES</w:t>
            </w:r>
          </w:p>
        </w:tc>
      </w:tr>
      <w:tr w:rsidR="00D220D9" w:rsidRPr="00B71347" w14:paraId="2856264D" w14:textId="77777777" w:rsidTr="00A535CC">
        <w:trPr>
          <w:trHeight w:val="3946"/>
        </w:trPr>
        <w:tc>
          <w:tcPr>
            <w:cnfStyle w:val="001000000000" w:firstRow="0" w:lastRow="0" w:firstColumn="1" w:lastColumn="0" w:oddVBand="0" w:evenVBand="0" w:oddHBand="0" w:evenHBand="0" w:firstRowFirstColumn="0" w:firstRowLastColumn="0" w:lastRowFirstColumn="0" w:lastRowLastColumn="0"/>
            <w:tcW w:w="6629" w:type="dxa"/>
            <w:tcBorders>
              <w:right w:val="single" w:sz="4" w:space="0" w:color="983620" w:themeColor="accent2"/>
            </w:tcBorders>
            <w:hideMark/>
          </w:tcPr>
          <w:tbl>
            <w:tblPr>
              <w:tblW w:w="6379" w:type="dxa"/>
              <w:tblLayout w:type="fixed"/>
              <w:tblCellMar>
                <w:left w:w="70" w:type="dxa"/>
                <w:right w:w="70" w:type="dxa"/>
              </w:tblCellMar>
              <w:tblLook w:val="04A0" w:firstRow="1" w:lastRow="0" w:firstColumn="1" w:lastColumn="0" w:noHBand="0" w:noVBand="1"/>
            </w:tblPr>
            <w:tblGrid>
              <w:gridCol w:w="6379"/>
            </w:tblGrid>
            <w:tr w:rsidR="00D220D9" w:rsidRPr="00B71347" w14:paraId="2EFE077A" w14:textId="77777777" w:rsidTr="008E282C">
              <w:trPr>
                <w:trHeight w:val="3640"/>
              </w:trPr>
              <w:tc>
                <w:tcPr>
                  <w:tcW w:w="6379" w:type="dxa"/>
                  <w:tcBorders>
                    <w:top w:val="nil"/>
                    <w:left w:val="nil"/>
                  </w:tcBorders>
                  <w:shd w:val="clear" w:color="auto" w:fill="auto"/>
                  <w:vAlign w:val="center"/>
                  <w:hideMark/>
                </w:tcPr>
                <w:tbl>
                  <w:tblPr>
                    <w:tblW w:w="6451" w:type="dxa"/>
                    <w:tblLayout w:type="fixed"/>
                    <w:tblCellMar>
                      <w:left w:w="70" w:type="dxa"/>
                      <w:right w:w="70" w:type="dxa"/>
                    </w:tblCellMar>
                    <w:tblLook w:val="04A0" w:firstRow="1" w:lastRow="0" w:firstColumn="1" w:lastColumn="0" w:noHBand="0" w:noVBand="1"/>
                  </w:tblPr>
                  <w:tblGrid>
                    <w:gridCol w:w="6451"/>
                  </w:tblGrid>
                  <w:tr w:rsidR="008E282C" w:rsidRPr="00B71347" w14:paraId="235342DB" w14:textId="77777777" w:rsidTr="008E282C">
                    <w:trPr>
                      <w:trHeight w:val="3614"/>
                    </w:trPr>
                    <w:tc>
                      <w:tcPr>
                        <w:tcW w:w="6451" w:type="dxa"/>
                        <w:tcBorders>
                          <w:top w:val="nil"/>
                          <w:left w:val="nil"/>
                          <w:right w:val="nil"/>
                        </w:tcBorders>
                        <w:shd w:val="clear" w:color="auto" w:fill="auto"/>
                        <w:vAlign w:val="center"/>
                        <w:hideMark/>
                      </w:tcPr>
                      <w:tbl>
                        <w:tblPr>
                          <w:tblW w:w="6534" w:type="dxa"/>
                          <w:tblLayout w:type="fixed"/>
                          <w:tblCellMar>
                            <w:left w:w="70" w:type="dxa"/>
                            <w:right w:w="70" w:type="dxa"/>
                          </w:tblCellMar>
                          <w:tblLook w:val="04A0" w:firstRow="1" w:lastRow="0" w:firstColumn="1" w:lastColumn="0" w:noHBand="0" w:noVBand="1"/>
                        </w:tblPr>
                        <w:tblGrid>
                          <w:gridCol w:w="6534"/>
                        </w:tblGrid>
                        <w:tr w:rsidR="008E282C" w:rsidRPr="00B71347" w14:paraId="49C2C2D8" w14:textId="77777777" w:rsidTr="008E282C">
                          <w:trPr>
                            <w:trHeight w:val="3844"/>
                          </w:trPr>
                          <w:tc>
                            <w:tcPr>
                              <w:tcW w:w="6534" w:type="dxa"/>
                              <w:tcBorders>
                                <w:top w:val="nil"/>
                                <w:left w:val="nil"/>
                                <w:right w:val="nil"/>
                              </w:tcBorders>
                              <w:shd w:val="clear" w:color="auto" w:fill="auto"/>
                              <w:vAlign w:val="center"/>
                              <w:hideMark/>
                            </w:tcPr>
                            <w:p w14:paraId="59A70354"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BSB rich cultural heritage and strong cultural assets in architecture, </w:t>
                              </w:r>
                              <w:proofErr w:type="spellStart"/>
                              <w:r w:rsidRPr="00682784">
                                <w:rPr>
                                  <w:rFonts w:eastAsia="Times New Roman" w:cs="Times New Roman"/>
                                  <w:color w:val="000000"/>
                                  <w:sz w:val="22"/>
                                  <w:szCs w:val="22"/>
                                  <w:lang w:val="en-GB"/>
                                </w:rPr>
                                <w:t>archeology</w:t>
                              </w:r>
                              <w:proofErr w:type="spellEnd"/>
                              <w:r w:rsidRPr="00682784">
                                <w:rPr>
                                  <w:rFonts w:eastAsia="Times New Roman" w:cs="Times New Roman"/>
                                  <w:color w:val="000000"/>
                                  <w:sz w:val="22"/>
                                  <w:szCs w:val="22"/>
                                  <w:lang w:val="en-GB"/>
                                </w:rPr>
                                <w:t>, arts, music, literature, theatre and cinematography</w:t>
                              </w:r>
                            </w:p>
                            <w:p w14:paraId="7737816F"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Outstanding universal value recognised by UNESCO for 18 cultural places in BSB area (historical cities, religious architecture and </w:t>
                              </w:r>
                              <w:proofErr w:type="spellStart"/>
                              <w:r w:rsidRPr="00682784">
                                <w:rPr>
                                  <w:rFonts w:eastAsia="Times New Roman" w:cs="Times New Roman"/>
                                  <w:color w:val="000000"/>
                                  <w:sz w:val="22"/>
                                  <w:szCs w:val="22"/>
                                  <w:lang w:val="en-GB"/>
                                </w:rPr>
                                <w:t>archeological</w:t>
                              </w:r>
                              <w:proofErr w:type="spellEnd"/>
                              <w:r w:rsidRPr="00682784">
                                <w:rPr>
                                  <w:rFonts w:eastAsia="Times New Roman" w:cs="Times New Roman"/>
                                  <w:color w:val="000000"/>
                                  <w:sz w:val="22"/>
                                  <w:szCs w:val="22"/>
                                  <w:lang w:val="en-GB"/>
                                </w:rPr>
                                <w:t xml:space="preserve"> sites)</w:t>
                              </w:r>
                            </w:p>
                            <w:p w14:paraId="276D69F3"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Wealth of cultural variety, with numerous traditional </w:t>
                              </w:r>
                              <w:proofErr w:type="spellStart"/>
                              <w:r w:rsidRPr="00682784">
                                <w:rPr>
                                  <w:rFonts w:eastAsia="Times New Roman" w:cs="Times New Roman"/>
                                  <w:color w:val="000000"/>
                                  <w:sz w:val="22"/>
                                  <w:szCs w:val="22"/>
                                  <w:lang w:val="en-GB"/>
                                </w:rPr>
                                <w:t>craftmanship</w:t>
                              </w:r>
                              <w:proofErr w:type="spellEnd"/>
                              <w:r w:rsidRPr="00682784">
                                <w:rPr>
                                  <w:rFonts w:eastAsia="Times New Roman" w:cs="Times New Roman"/>
                                  <w:color w:val="000000"/>
                                  <w:sz w:val="22"/>
                                  <w:szCs w:val="22"/>
                                  <w:lang w:val="en-GB"/>
                                </w:rPr>
                                <w:t xml:space="preserve"> and other intangible cultural assets listed as heritage of humanity</w:t>
                              </w:r>
                            </w:p>
                            <w:p w14:paraId="2B86550A"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Civil society and civic movements, mostly informal, h</w:t>
                              </w:r>
                              <w:r w:rsidR="0024496E" w:rsidRPr="00682784">
                                <w:rPr>
                                  <w:rFonts w:eastAsia="Times New Roman" w:cs="Times New Roman"/>
                                  <w:color w:val="000000"/>
                                  <w:sz w:val="22"/>
                                  <w:szCs w:val="22"/>
                                  <w:lang w:val="en-GB"/>
                                </w:rPr>
                                <w:t>ave been particularly active - t</w:t>
                              </w:r>
                              <w:r w:rsidRPr="00682784">
                                <w:rPr>
                                  <w:rFonts w:eastAsia="Times New Roman" w:cs="Times New Roman"/>
                                  <w:color w:val="000000"/>
                                  <w:sz w:val="22"/>
                                  <w:szCs w:val="22"/>
                                  <w:lang w:val="en-GB"/>
                                </w:rPr>
                                <w:t>he number of NGOs increased throughout the region</w:t>
                              </w:r>
                            </w:p>
                            <w:p w14:paraId="5B79183A"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Creation in 2008 of the Black Sea </w:t>
                              </w:r>
                              <w:proofErr w:type="spellStart"/>
                              <w:r w:rsidRPr="00682784">
                                <w:rPr>
                                  <w:rFonts w:eastAsia="Times New Roman" w:cs="Times New Roman"/>
                                  <w:color w:val="000000"/>
                                  <w:sz w:val="22"/>
                                  <w:szCs w:val="22"/>
                                  <w:lang w:val="en-GB"/>
                                </w:rPr>
                                <w:t>Euroregion</w:t>
                              </w:r>
                              <w:proofErr w:type="spellEnd"/>
                            </w:p>
                            <w:p w14:paraId="4FA360BB" w14:textId="77777777" w:rsidR="008E282C" w:rsidRPr="00682784" w:rsidRDefault="008E282C" w:rsidP="0028075A">
                              <w:pPr>
                                <w:pStyle w:val="ListParagraph"/>
                                <w:numPr>
                                  <w:ilvl w:val="0"/>
                                  <w:numId w:val="41"/>
                                </w:numPr>
                                <w:spacing w:after="120" w:line="240" w:lineRule="auto"/>
                                <w:ind w:right="213" w:hanging="223"/>
                                <w:rPr>
                                  <w:rFonts w:eastAsia="Times New Roman" w:cs="Times New Roman"/>
                                  <w:color w:val="000000"/>
                                  <w:sz w:val="22"/>
                                  <w:szCs w:val="22"/>
                                  <w:lang w:val="en-GB"/>
                                </w:rPr>
                              </w:pPr>
                              <w:r w:rsidRPr="00682784">
                                <w:rPr>
                                  <w:rFonts w:eastAsia="Times New Roman" w:cs="Times New Roman"/>
                                  <w:color w:val="000000"/>
                                  <w:sz w:val="22"/>
                                  <w:szCs w:val="22"/>
                                  <w:lang w:val="en-GB"/>
                                </w:rPr>
                                <w:t>Black Sea NGO forum meets regularly</w:t>
                              </w:r>
                            </w:p>
                          </w:tc>
                        </w:tr>
                      </w:tbl>
                      <w:p w14:paraId="4FB9BB4C" w14:textId="77777777" w:rsidR="008E282C" w:rsidRPr="00682784" w:rsidRDefault="008E282C" w:rsidP="00A535CC">
                        <w:pPr>
                          <w:pStyle w:val="ListParagraph"/>
                          <w:spacing w:after="120" w:line="240" w:lineRule="auto"/>
                          <w:ind w:left="0"/>
                          <w:rPr>
                            <w:rFonts w:eastAsia="Times New Roman" w:cs="Times New Roman"/>
                            <w:color w:val="000000"/>
                            <w:sz w:val="22"/>
                            <w:szCs w:val="22"/>
                            <w:lang w:val="en-GB"/>
                          </w:rPr>
                        </w:pPr>
                      </w:p>
                    </w:tc>
                  </w:tr>
                </w:tbl>
                <w:p w14:paraId="4C3882C8" w14:textId="77777777" w:rsidR="00D220D9" w:rsidRPr="00682784" w:rsidRDefault="00D220D9" w:rsidP="00A535CC">
                  <w:pPr>
                    <w:pStyle w:val="ListParagraph"/>
                    <w:spacing w:after="120" w:line="240" w:lineRule="auto"/>
                    <w:ind w:left="714"/>
                    <w:rPr>
                      <w:rFonts w:eastAsia="Times New Roman" w:cs="Times New Roman"/>
                      <w:color w:val="000000"/>
                      <w:sz w:val="22"/>
                      <w:szCs w:val="22"/>
                      <w:lang w:val="en-GB"/>
                    </w:rPr>
                  </w:pPr>
                </w:p>
              </w:tc>
            </w:tr>
          </w:tbl>
          <w:p w14:paraId="62719E79" w14:textId="77777777" w:rsidR="00D220D9" w:rsidRPr="00682784" w:rsidRDefault="00D220D9" w:rsidP="00A535CC">
            <w:pPr>
              <w:pStyle w:val="ListParagraph"/>
              <w:spacing w:after="120"/>
              <w:rPr>
                <w:b w:val="0"/>
                <w:sz w:val="22"/>
                <w:szCs w:val="22"/>
                <w:lang w:val="en-GB"/>
              </w:rPr>
            </w:pPr>
          </w:p>
        </w:tc>
        <w:tc>
          <w:tcPr>
            <w:tcW w:w="4394" w:type="dxa"/>
            <w:tcBorders>
              <w:left w:val="single" w:sz="4" w:space="0" w:color="983620" w:themeColor="accent2"/>
            </w:tcBorders>
            <w:hideMark/>
          </w:tcPr>
          <w:p w14:paraId="3BD968EA" w14:textId="77777777" w:rsidR="00EC4E04" w:rsidRPr="00682784" w:rsidRDefault="00EC4E04" w:rsidP="00EC4E04">
            <w:pPr>
              <w:pStyle w:val="ListParagraph"/>
              <w:numPr>
                <w:ilvl w:val="0"/>
                <w:numId w:val="42"/>
              </w:numPr>
              <w:spacing w:after="120"/>
              <w:ind w:left="714" w:hanging="357"/>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val="en-GB"/>
              </w:rPr>
            </w:pPr>
            <w:r w:rsidRPr="00682784">
              <w:rPr>
                <w:rFonts w:eastAsia="Times New Roman" w:cs="Times New Roman"/>
                <w:color w:val="000000"/>
                <w:sz w:val="22"/>
                <w:szCs w:val="22"/>
                <w:lang w:val="en-GB"/>
              </w:rPr>
              <w:t>NGOs often remain poorly anchored in society, with low membership and volunteering levels</w:t>
            </w:r>
          </w:p>
          <w:p w14:paraId="1E9AB47F" w14:textId="77777777" w:rsidR="00EC4E04" w:rsidRPr="00682784" w:rsidRDefault="00EC4E04" w:rsidP="00EC4E04">
            <w:pPr>
              <w:pStyle w:val="ListParagraph"/>
              <w:numPr>
                <w:ilvl w:val="0"/>
                <w:numId w:val="42"/>
              </w:numPr>
              <w:spacing w:after="120"/>
              <w:ind w:left="714" w:hanging="357"/>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val="en-GB"/>
              </w:rPr>
            </w:pPr>
            <w:r w:rsidRPr="00682784">
              <w:rPr>
                <w:rFonts w:eastAsia="Times New Roman" w:cs="Times New Roman"/>
                <w:color w:val="000000"/>
                <w:sz w:val="22"/>
                <w:szCs w:val="22"/>
                <w:lang w:val="en-GB"/>
              </w:rPr>
              <w:t>NGOs often remain organization-</w:t>
            </w:r>
            <w:proofErr w:type="spellStart"/>
            <w:r w:rsidRPr="00682784">
              <w:rPr>
                <w:rFonts w:eastAsia="Times New Roman" w:cs="Times New Roman"/>
                <w:color w:val="000000"/>
                <w:sz w:val="22"/>
                <w:szCs w:val="22"/>
                <w:lang w:val="en-GB"/>
              </w:rPr>
              <w:t>centered</w:t>
            </w:r>
            <w:proofErr w:type="spellEnd"/>
            <w:r w:rsidRPr="00682784">
              <w:rPr>
                <w:rFonts w:eastAsia="Times New Roman" w:cs="Times New Roman"/>
                <w:color w:val="000000"/>
                <w:sz w:val="22"/>
                <w:szCs w:val="22"/>
                <w:lang w:val="en-GB"/>
              </w:rPr>
              <w:t xml:space="preserve"> rather than joining forces in coalitions and networks around issues</w:t>
            </w:r>
          </w:p>
          <w:p w14:paraId="300B3DA9" w14:textId="77777777" w:rsidR="00EC4E04" w:rsidRPr="00682784" w:rsidRDefault="00EC4E04" w:rsidP="00EC4E04">
            <w:pPr>
              <w:pStyle w:val="ListParagraph"/>
              <w:numPr>
                <w:ilvl w:val="0"/>
                <w:numId w:val="42"/>
              </w:numPr>
              <w:spacing w:after="120"/>
              <w:ind w:left="714" w:hanging="357"/>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val="en-GB"/>
              </w:rPr>
            </w:pPr>
            <w:r w:rsidRPr="00682784">
              <w:rPr>
                <w:rFonts w:eastAsia="Times New Roman" w:cs="Times New Roman"/>
                <w:color w:val="000000"/>
                <w:sz w:val="22"/>
                <w:szCs w:val="22"/>
                <w:lang w:val="en-GB"/>
              </w:rPr>
              <w:t xml:space="preserve">Black Sea </w:t>
            </w:r>
            <w:proofErr w:type="spellStart"/>
            <w:r w:rsidRPr="00682784">
              <w:rPr>
                <w:rFonts w:eastAsia="Times New Roman" w:cs="Times New Roman"/>
                <w:color w:val="000000"/>
                <w:sz w:val="22"/>
                <w:szCs w:val="22"/>
                <w:lang w:val="en-GB"/>
              </w:rPr>
              <w:t>Euroregion</w:t>
            </w:r>
            <w:proofErr w:type="spellEnd"/>
            <w:r w:rsidRPr="00682784">
              <w:rPr>
                <w:rFonts w:eastAsia="Times New Roman" w:cs="Times New Roman"/>
                <w:color w:val="000000"/>
                <w:sz w:val="22"/>
                <w:szCs w:val="22"/>
                <w:lang w:val="en-GB"/>
              </w:rPr>
              <w:t xml:space="preserve"> still gathers limited membership</w:t>
            </w:r>
          </w:p>
          <w:p w14:paraId="3A4947D9" w14:textId="77777777" w:rsidR="00D220D9" w:rsidRPr="00682784" w:rsidRDefault="00EC4E04" w:rsidP="00EC4E04">
            <w:pPr>
              <w:pStyle w:val="ListParagraph"/>
              <w:numPr>
                <w:ilvl w:val="0"/>
                <w:numId w:val="42"/>
              </w:numPr>
              <w:spacing w:after="120"/>
              <w:cnfStyle w:val="000000000000" w:firstRow="0" w:lastRow="0" w:firstColumn="0" w:lastColumn="0" w:oddVBand="0" w:evenVBand="0" w:oddHBand="0" w:evenHBand="0" w:firstRowFirstColumn="0" w:firstRowLastColumn="0" w:lastRowFirstColumn="0" w:lastRowLastColumn="0"/>
              <w:rPr>
                <w:sz w:val="22"/>
                <w:szCs w:val="22"/>
                <w:lang w:val="en-GB"/>
              </w:rPr>
            </w:pPr>
            <w:r w:rsidRPr="00682784">
              <w:rPr>
                <w:rFonts w:eastAsia="Times New Roman" w:cs="Times New Roman"/>
                <w:color w:val="000000"/>
                <w:sz w:val="22"/>
                <w:szCs w:val="22"/>
                <w:lang w:val="en-GB"/>
              </w:rPr>
              <w:t>Black Sea Forum for Dialogue and Partnership affected by regional tensions</w:t>
            </w:r>
          </w:p>
        </w:tc>
      </w:tr>
      <w:tr w:rsidR="00D220D9" w:rsidRPr="00EF1770" w14:paraId="44C452D6" w14:textId="77777777" w:rsidTr="001C68B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6629" w:type="dxa"/>
            <w:tcBorders>
              <w:right w:val="single" w:sz="4" w:space="0" w:color="983620" w:themeColor="accent2"/>
            </w:tcBorders>
            <w:shd w:val="clear" w:color="auto" w:fill="A6A6A6" w:themeFill="background1" w:themeFillShade="A6"/>
            <w:noWrap/>
            <w:hideMark/>
          </w:tcPr>
          <w:p w14:paraId="0C0822FB" w14:textId="77777777" w:rsidR="00D220D9" w:rsidRPr="00EF1770" w:rsidRDefault="00D220D9" w:rsidP="00DA5484">
            <w:pPr>
              <w:jc w:val="center"/>
              <w:rPr>
                <w:sz w:val="22"/>
                <w:szCs w:val="22"/>
              </w:rPr>
            </w:pPr>
            <w:r w:rsidRPr="00EF1770">
              <w:rPr>
                <w:sz w:val="22"/>
                <w:szCs w:val="22"/>
              </w:rPr>
              <w:t>OPPORTUNITIES</w:t>
            </w:r>
          </w:p>
        </w:tc>
        <w:tc>
          <w:tcPr>
            <w:tcW w:w="4394" w:type="dxa"/>
            <w:tcBorders>
              <w:left w:val="single" w:sz="4" w:space="0" w:color="983620" w:themeColor="accent2"/>
              <w:right w:val="single" w:sz="18" w:space="0" w:color="983620" w:themeColor="accent2"/>
            </w:tcBorders>
            <w:shd w:val="clear" w:color="auto" w:fill="A6A6A6" w:themeFill="background1" w:themeFillShade="A6"/>
            <w:hideMark/>
          </w:tcPr>
          <w:p w14:paraId="2F32A3D8" w14:textId="77777777" w:rsidR="00D220D9" w:rsidRPr="00EF1770" w:rsidRDefault="00D220D9" w:rsidP="00DA5484">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EF1770">
              <w:rPr>
                <w:b/>
                <w:sz w:val="22"/>
                <w:szCs w:val="22"/>
              </w:rPr>
              <w:t>THREATS</w:t>
            </w:r>
          </w:p>
        </w:tc>
      </w:tr>
      <w:tr w:rsidR="00D220D9" w:rsidRPr="00B71347" w14:paraId="7FA7C0D8" w14:textId="77777777" w:rsidTr="00A535CC">
        <w:trPr>
          <w:trHeight w:val="1837"/>
        </w:trPr>
        <w:tc>
          <w:tcPr>
            <w:cnfStyle w:val="001000000000" w:firstRow="0" w:lastRow="0" w:firstColumn="1" w:lastColumn="0" w:oddVBand="0" w:evenVBand="0" w:oddHBand="0" w:evenHBand="0" w:firstRowFirstColumn="0" w:firstRowLastColumn="0" w:lastRowFirstColumn="0" w:lastRowLastColumn="0"/>
            <w:tcW w:w="6629" w:type="dxa"/>
            <w:tcBorders>
              <w:right w:val="single" w:sz="4" w:space="0" w:color="983620" w:themeColor="accent2"/>
            </w:tcBorders>
            <w:hideMark/>
          </w:tcPr>
          <w:tbl>
            <w:tblPr>
              <w:tblW w:w="6237" w:type="dxa"/>
              <w:tblLayout w:type="fixed"/>
              <w:tblCellMar>
                <w:left w:w="70" w:type="dxa"/>
                <w:right w:w="70" w:type="dxa"/>
              </w:tblCellMar>
              <w:tblLook w:val="04A0" w:firstRow="1" w:lastRow="0" w:firstColumn="1" w:lastColumn="0" w:noHBand="0" w:noVBand="1"/>
            </w:tblPr>
            <w:tblGrid>
              <w:gridCol w:w="6237"/>
            </w:tblGrid>
            <w:tr w:rsidR="00A535CC" w:rsidRPr="00B71347" w14:paraId="701C46F9" w14:textId="77777777" w:rsidTr="00A535CC">
              <w:trPr>
                <w:trHeight w:val="2120"/>
              </w:trPr>
              <w:tc>
                <w:tcPr>
                  <w:tcW w:w="6237" w:type="dxa"/>
                  <w:tcBorders>
                    <w:top w:val="nil"/>
                    <w:left w:val="nil"/>
                  </w:tcBorders>
                  <w:shd w:val="clear" w:color="auto" w:fill="auto"/>
                  <w:vAlign w:val="center"/>
                  <w:hideMark/>
                </w:tcPr>
                <w:tbl>
                  <w:tblPr>
                    <w:tblW w:w="6167" w:type="dxa"/>
                    <w:tblLayout w:type="fixed"/>
                    <w:tblCellMar>
                      <w:left w:w="70" w:type="dxa"/>
                      <w:right w:w="70" w:type="dxa"/>
                    </w:tblCellMar>
                    <w:tblLook w:val="04A0" w:firstRow="1" w:lastRow="0" w:firstColumn="1" w:lastColumn="0" w:noHBand="0" w:noVBand="1"/>
                  </w:tblPr>
                  <w:tblGrid>
                    <w:gridCol w:w="6167"/>
                  </w:tblGrid>
                  <w:tr w:rsidR="00A535CC" w:rsidRPr="00B71347" w14:paraId="40A91673" w14:textId="77777777" w:rsidTr="00A535CC">
                    <w:trPr>
                      <w:trHeight w:val="1525"/>
                    </w:trPr>
                    <w:tc>
                      <w:tcPr>
                        <w:tcW w:w="6167" w:type="dxa"/>
                        <w:tcBorders>
                          <w:top w:val="nil"/>
                          <w:left w:val="nil"/>
                        </w:tcBorders>
                        <w:shd w:val="clear" w:color="auto" w:fill="auto"/>
                        <w:vAlign w:val="center"/>
                        <w:hideMark/>
                      </w:tcPr>
                      <w:p w14:paraId="3AAAAC84" w14:textId="77777777" w:rsidR="00A535CC" w:rsidRPr="00682784" w:rsidRDefault="00EC4E04" w:rsidP="005528C7">
                        <w:pPr>
                          <w:pStyle w:val="ListParagraph"/>
                          <w:numPr>
                            <w:ilvl w:val="0"/>
                            <w:numId w:val="42"/>
                          </w:numPr>
                          <w:spacing w:after="120"/>
                          <w:rPr>
                            <w:rFonts w:eastAsia="Times New Roman" w:cs="Times New Roman"/>
                            <w:color w:val="000000"/>
                            <w:sz w:val="22"/>
                            <w:szCs w:val="22"/>
                            <w:lang w:val="en-GB"/>
                          </w:rPr>
                        </w:pPr>
                        <w:r w:rsidRPr="00682784">
                          <w:rPr>
                            <w:rFonts w:eastAsia="Times New Roman" w:cs="Times New Roman"/>
                            <w:color w:val="000000"/>
                            <w:sz w:val="22"/>
                            <w:szCs w:val="22"/>
                            <w:lang w:val="en-GB"/>
                          </w:rPr>
                          <w:t>Council of Europe Congress of the Local and Regional Authorities, Assembl</w:t>
                        </w:r>
                        <w:r w:rsidR="005528C7">
                          <w:rPr>
                            <w:rFonts w:eastAsia="Times New Roman" w:cs="Times New Roman"/>
                            <w:color w:val="000000"/>
                            <w:sz w:val="22"/>
                            <w:szCs w:val="22"/>
                            <w:lang w:val="en-GB"/>
                          </w:rPr>
                          <w:t xml:space="preserve">y of European Regions (AER), CPMR Balkan and Black Sea Commission as well as </w:t>
                        </w:r>
                        <w:r w:rsidRPr="00682784">
                          <w:rPr>
                            <w:rFonts w:eastAsia="Times New Roman" w:cs="Times New Roman"/>
                            <w:color w:val="000000"/>
                            <w:sz w:val="22"/>
                            <w:szCs w:val="22"/>
                            <w:lang w:val="en-GB"/>
                          </w:rPr>
                          <w:t>EU Committee of the Regions Conference of the Regional and Local Authorities for the Eastern Partnership (CORLEAP) provide platforms for dialogue and cooperation</w:t>
                        </w:r>
                      </w:p>
                    </w:tc>
                  </w:tr>
                </w:tbl>
                <w:p w14:paraId="31CF1318" w14:textId="77777777" w:rsidR="00A535CC" w:rsidRPr="00682784" w:rsidRDefault="00A535CC" w:rsidP="00A535CC">
                  <w:pPr>
                    <w:pStyle w:val="ListParagraph"/>
                    <w:spacing w:after="120" w:line="240" w:lineRule="auto"/>
                    <w:ind w:left="0"/>
                    <w:rPr>
                      <w:rFonts w:eastAsia="Times New Roman" w:cs="Times New Roman"/>
                      <w:color w:val="000000"/>
                      <w:sz w:val="22"/>
                      <w:szCs w:val="22"/>
                      <w:lang w:val="en-GB"/>
                    </w:rPr>
                  </w:pPr>
                </w:p>
              </w:tc>
            </w:tr>
          </w:tbl>
          <w:p w14:paraId="07DBB4B3" w14:textId="77777777" w:rsidR="00D220D9" w:rsidRPr="00682784" w:rsidRDefault="00D220D9" w:rsidP="00A535CC">
            <w:pPr>
              <w:pStyle w:val="ListParagraph"/>
              <w:spacing w:after="120"/>
              <w:ind w:left="0"/>
              <w:rPr>
                <w:rFonts w:eastAsia="Times New Roman" w:cs="Times New Roman"/>
                <w:b w:val="0"/>
                <w:color w:val="000000"/>
                <w:sz w:val="22"/>
                <w:szCs w:val="22"/>
                <w:lang w:val="en-GB"/>
              </w:rPr>
            </w:pPr>
          </w:p>
        </w:tc>
        <w:tc>
          <w:tcPr>
            <w:tcW w:w="4394" w:type="dxa"/>
            <w:tcBorders>
              <w:left w:val="single" w:sz="4" w:space="0" w:color="983620" w:themeColor="accent2"/>
            </w:tcBorders>
            <w:hideMark/>
          </w:tcPr>
          <w:p w14:paraId="12AFDC6B" w14:textId="77777777" w:rsidR="00D220D9" w:rsidRPr="00682784" w:rsidRDefault="00D220D9" w:rsidP="00EC4E04">
            <w:pPr>
              <w:pStyle w:val="ListParagraph"/>
              <w:spacing w:after="120"/>
              <w:cnfStyle w:val="000000000000" w:firstRow="0" w:lastRow="0" w:firstColumn="0" w:lastColumn="0" w:oddVBand="0" w:evenVBand="0" w:oddHBand="0" w:evenHBand="0" w:firstRowFirstColumn="0" w:firstRowLastColumn="0" w:lastRowFirstColumn="0" w:lastRowLastColumn="0"/>
              <w:rPr>
                <w:sz w:val="22"/>
                <w:szCs w:val="22"/>
                <w:lang w:val="en-GB"/>
              </w:rPr>
            </w:pPr>
          </w:p>
        </w:tc>
      </w:tr>
    </w:tbl>
    <w:p w14:paraId="619E25B6" w14:textId="77777777" w:rsidR="00DD025B" w:rsidRPr="00DD025B" w:rsidRDefault="00DD025B" w:rsidP="00DD025B">
      <w:pPr>
        <w:pStyle w:val="Heading2"/>
        <w:spacing w:after="0" w:line="252" w:lineRule="auto"/>
        <w:jc w:val="left"/>
        <w:rPr>
          <w:sz w:val="10"/>
          <w:szCs w:val="10"/>
          <w:lang w:val="en-GB"/>
        </w:rPr>
      </w:pPr>
      <w:r>
        <w:rPr>
          <w:lang w:val="en-GB"/>
        </w:rPr>
        <w:br w:type="column"/>
      </w:r>
    </w:p>
    <w:p w14:paraId="0B19B214" w14:textId="77777777" w:rsidR="001353D6" w:rsidRDefault="00CF423C" w:rsidP="00CF423C">
      <w:pPr>
        <w:pStyle w:val="Heading1"/>
        <w:spacing w:before="200" w:after="0" w:line="252" w:lineRule="auto"/>
        <w:ind w:left="1077"/>
        <w:jc w:val="left"/>
        <w:rPr>
          <w:sz w:val="40"/>
          <w:szCs w:val="40"/>
          <w:lang w:val="en-GB"/>
        </w:rPr>
      </w:pPr>
      <w:bookmarkStart w:id="53" w:name="_Toc423436280"/>
      <w:r w:rsidRPr="00CF423C">
        <w:rPr>
          <w:bCs w:val="0"/>
          <w:sz w:val="40"/>
          <w:szCs w:val="40"/>
          <w:lang w:val="en-GB"/>
        </w:rPr>
        <w:t>4.</w:t>
      </w:r>
      <w:r>
        <w:rPr>
          <w:sz w:val="40"/>
          <w:szCs w:val="40"/>
          <w:lang w:val="en-GB"/>
        </w:rPr>
        <w:t xml:space="preserve"> </w:t>
      </w:r>
      <w:r w:rsidR="00D36BC9">
        <w:rPr>
          <w:sz w:val="40"/>
          <w:szCs w:val="40"/>
          <w:lang w:val="en-GB"/>
        </w:rPr>
        <w:t xml:space="preserve">  </w:t>
      </w:r>
      <w:r w:rsidR="009C00EE">
        <w:rPr>
          <w:sz w:val="40"/>
          <w:szCs w:val="40"/>
          <w:lang w:val="en-GB"/>
        </w:rPr>
        <w:t xml:space="preserve"> </w:t>
      </w:r>
      <w:r w:rsidR="001353D6">
        <w:rPr>
          <w:sz w:val="40"/>
          <w:szCs w:val="40"/>
          <w:lang w:val="en-GB"/>
        </w:rPr>
        <w:t xml:space="preserve">Black Sea Basin </w:t>
      </w:r>
      <w:r w:rsidR="00C316A8">
        <w:rPr>
          <w:sz w:val="40"/>
          <w:szCs w:val="40"/>
          <w:lang w:val="en-GB"/>
        </w:rPr>
        <w:t>strategic</w:t>
      </w:r>
      <w:r w:rsidR="0051368D">
        <w:rPr>
          <w:sz w:val="40"/>
          <w:szCs w:val="40"/>
          <w:lang w:val="en-GB"/>
        </w:rPr>
        <w:t xml:space="preserve"> analysi</w:t>
      </w:r>
      <w:r w:rsidR="001353D6">
        <w:rPr>
          <w:sz w:val="40"/>
          <w:szCs w:val="40"/>
          <w:lang w:val="en-GB"/>
        </w:rPr>
        <w:t>s and consultations</w:t>
      </w:r>
      <w:bookmarkEnd w:id="53"/>
    </w:p>
    <w:p w14:paraId="73D15F83" w14:textId="77777777" w:rsidR="001353D6" w:rsidRDefault="001353D6" w:rsidP="00EE604A">
      <w:pPr>
        <w:widowControl w:val="0"/>
        <w:autoSpaceDE w:val="0"/>
        <w:autoSpaceDN w:val="0"/>
        <w:adjustRightInd w:val="0"/>
        <w:spacing w:after="0" w:line="264" w:lineRule="auto"/>
        <w:jc w:val="both"/>
        <w:rPr>
          <w:rFonts w:eastAsia="Times New Roman" w:cs="Times New Roman"/>
          <w:sz w:val="22"/>
          <w:szCs w:val="22"/>
          <w:lang w:val="en-GB"/>
        </w:rPr>
      </w:pPr>
    </w:p>
    <w:p w14:paraId="424A11E9" w14:textId="77777777" w:rsidR="007B3966" w:rsidRPr="004408A1" w:rsidRDefault="00E326B7" w:rsidP="00EE604A">
      <w:pPr>
        <w:widowControl w:val="0"/>
        <w:autoSpaceDE w:val="0"/>
        <w:autoSpaceDN w:val="0"/>
        <w:adjustRightInd w:val="0"/>
        <w:spacing w:after="0" w:line="264" w:lineRule="auto"/>
        <w:jc w:val="both"/>
        <w:rPr>
          <w:rFonts w:eastAsia="Times New Roman" w:cs="Times New Roman"/>
          <w:i/>
          <w:sz w:val="22"/>
          <w:szCs w:val="22"/>
          <w:lang w:val="en-GB"/>
        </w:rPr>
      </w:pPr>
      <w:r w:rsidRPr="002C30C5">
        <w:rPr>
          <w:rFonts w:eastAsia="Times New Roman" w:cs="Times New Roman"/>
          <w:sz w:val="22"/>
          <w:szCs w:val="22"/>
          <w:lang w:val="en-GB"/>
        </w:rPr>
        <w:t>After identifying the key strengths, weaknesses, opportunities and threats within the cooperation area, analysis for</w:t>
      </w:r>
      <w:r w:rsidR="00090F4A" w:rsidRPr="002C30C5">
        <w:rPr>
          <w:rFonts w:eastAsia="Times New Roman" w:cs="Times New Roman"/>
          <w:sz w:val="22"/>
          <w:szCs w:val="22"/>
          <w:lang w:val="en-GB"/>
        </w:rPr>
        <w:t xml:space="preserve"> the programme</w:t>
      </w:r>
      <w:r w:rsidRPr="002C30C5">
        <w:rPr>
          <w:rFonts w:eastAsia="Times New Roman" w:cs="Times New Roman"/>
          <w:sz w:val="22"/>
          <w:szCs w:val="22"/>
          <w:lang w:val="en-GB"/>
        </w:rPr>
        <w:t xml:space="preserve"> strategy development further focused on past experience and lessons learnt</w:t>
      </w:r>
      <w:r w:rsidR="008D24CE" w:rsidRPr="002C30C5">
        <w:rPr>
          <w:rFonts w:eastAsia="Times New Roman" w:cs="Times New Roman"/>
          <w:sz w:val="22"/>
          <w:szCs w:val="22"/>
          <w:lang w:val="en-GB"/>
        </w:rPr>
        <w:t xml:space="preserve">. </w:t>
      </w:r>
      <w:r w:rsidR="00CA1791" w:rsidRPr="002C30C5">
        <w:rPr>
          <w:rFonts w:eastAsia="Times New Roman" w:cs="Times New Roman"/>
          <w:sz w:val="22"/>
          <w:szCs w:val="22"/>
          <w:lang w:val="en-GB"/>
        </w:rPr>
        <w:t xml:space="preserve">Broad </w:t>
      </w:r>
      <w:proofErr w:type="gramStart"/>
      <w:r w:rsidR="00CA1791" w:rsidRPr="002C30C5">
        <w:rPr>
          <w:rFonts w:eastAsia="Times New Roman" w:cs="Times New Roman"/>
          <w:sz w:val="22"/>
          <w:szCs w:val="22"/>
          <w:lang w:val="en-GB"/>
        </w:rPr>
        <w:t>stakeholders</w:t>
      </w:r>
      <w:proofErr w:type="gramEnd"/>
      <w:r w:rsidR="00CA1791" w:rsidRPr="002C30C5">
        <w:rPr>
          <w:rFonts w:eastAsia="Times New Roman" w:cs="Times New Roman"/>
          <w:sz w:val="22"/>
          <w:szCs w:val="22"/>
          <w:lang w:val="en-GB"/>
        </w:rPr>
        <w:t xml:space="preserve"> consultations were organised in the programme area in order to </w:t>
      </w:r>
      <w:r w:rsidR="00DF558C" w:rsidRPr="002C30C5">
        <w:rPr>
          <w:rFonts w:eastAsia="Times New Roman" w:cs="Times New Roman"/>
          <w:sz w:val="22"/>
          <w:szCs w:val="22"/>
          <w:lang w:val="en-GB"/>
        </w:rPr>
        <w:t xml:space="preserve">validate the SWOT and reflect on possible priorities. </w:t>
      </w:r>
      <w:r w:rsidR="008D24CE" w:rsidRPr="002C30C5">
        <w:rPr>
          <w:rFonts w:eastAsia="Times New Roman" w:cs="Times New Roman"/>
          <w:sz w:val="22"/>
          <w:szCs w:val="22"/>
          <w:lang w:val="en-GB"/>
        </w:rPr>
        <w:t>A review of other EU financial instruments was also carried out to ensure the strategy would not include elements that could more suitably be funded under other EU programmes.</w:t>
      </w:r>
      <w:r w:rsidR="008D24CE" w:rsidRPr="004408A1">
        <w:rPr>
          <w:rFonts w:eastAsia="Times New Roman" w:cs="Times New Roman"/>
          <w:sz w:val="22"/>
          <w:szCs w:val="22"/>
          <w:lang w:val="en-GB"/>
        </w:rPr>
        <w:t xml:space="preserve">  </w:t>
      </w:r>
    </w:p>
    <w:p w14:paraId="2E9DF216" w14:textId="77777777" w:rsidR="00AD4AF2" w:rsidRPr="0025034F" w:rsidRDefault="00CF423C" w:rsidP="00EE604A">
      <w:pPr>
        <w:pStyle w:val="Heading3"/>
        <w:spacing w:before="240" w:after="240" w:line="264" w:lineRule="auto"/>
        <w:rPr>
          <w:b/>
          <w:sz w:val="28"/>
          <w:szCs w:val="28"/>
          <w:lang w:val="en-GB"/>
        </w:rPr>
      </w:pPr>
      <w:bookmarkStart w:id="54" w:name="_Toc423436281"/>
      <w:r>
        <w:rPr>
          <w:b/>
          <w:sz w:val="28"/>
          <w:szCs w:val="28"/>
          <w:lang w:val="en-GB"/>
        </w:rPr>
        <w:t xml:space="preserve">4.1 </w:t>
      </w:r>
      <w:r w:rsidR="00AD4AF2" w:rsidRPr="0025034F">
        <w:rPr>
          <w:b/>
          <w:sz w:val="28"/>
          <w:szCs w:val="28"/>
          <w:lang w:val="en-GB"/>
        </w:rPr>
        <w:t>Past experience analysis</w:t>
      </w:r>
      <w:bookmarkEnd w:id="54"/>
    </w:p>
    <w:p w14:paraId="7C5CF2AE" w14:textId="77777777" w:rsidR="008E2BD5" w:rsidRDefault="00434E44" w:rsidP="00EE604A">
      <w:pPr>
        <w:spacing w:after="60" w:line="264" w:lineRule="auto"/>
        <w:jc w:val="both"/>
        <w:rPr>
          <w:sz w:val="22"/>
          <w:szCs w:val="22"/>
          <w:lang w:val="en-GB"/>
        </w:rPr>
      </w:pPr>
      <w:r w:rsidRPr="00D8564C">
        <w:rPr>
          <w:b/>
          <w:sz w:val="22"/>
          <w:szCs w:val="22"/>
          <w:lang w:val="en-GB"/>
        </w:rPr>
        <w:t xml:space="preserve">A review of </w:t>
      </w:r>
      <w:r w:rsidR="00FD7BAE">
        <w:rPr>
          <w:b/>
          <w:sz w:val="22"/>
          <w:szCs w:val="22"/>
          <w:lang w:val="en-GB"/>
        </w:rPr>
        <w:t xml:space="preserve">lessons </w:t>
      </w:r>
      <w:r w:rsidR="00825A83">
        <w:rPr>
          <w:b/>
          <w:sz w:val="22"/>
          <w:szCs w:val="22"/>
          <w:lang w:val="en-GB"/>
        </w:rPr>
        <w:t xml:space="preserve">learned </w:t>
      </w:r>
      <w:r w:rsidR="00FD7BAE">
        <w:rPr>
          <w:b/>
          <w:sz w:val="22"/>
          <w:szCs w:val="22"/>
          <w:lang w:val="en-GB"/>
        </w:rPr>
        <w:t xml:space="preserve">from </w:t>
      </w:r>
      <w:r w:rsidR="00892485">
        <w:rPr>
          <w:b/>
          <w:sz w:val="22"/>
          <w:szCs w:val="22"/>
          <w:lang w:val="en-GB"/>
        </w:rPr>
        <w:t xml:space="preserve">Black Sea </w:t>
      </w:r>
      <w:r w:rsidR="00FD7BAE">
        <w:rPr>
          <w:b/>
          <w:sz w:val="22"/>
          <w:szCs w:val="22"/>
          <w:lang w:val="en-GB"/>
        </w:rPr>
        <w:t xml:space="preserve">Basin 2007-13 </w:t>
      </w:r>
      <w:r w:rsidRPr="00D8564C">
        <w:rPr>
          <w:b/>
          <w:sz w:val="22"/>
          <w:szCs w:val="22"/>
          <w:lang w:val="en-GB"/>
        </w:rPr>
        <w:t>programme</w:t>
      </w:r>
      <w:r w:rsidR="00B7609F" w:rsidRPr="00D8564C">
        <w:rPr>
          <w:b/>
          <w:sz w:val="22"/>
          <w:szCs w:val="22"/>
          <w:lang w:val="en-GB"/>
        </w:rPr>
        <w:t xml:space="preserve"> </w:t>
      </w:r>
      <w:r w:rsidR="00B7609F" w:rsidRPr="008C6029">
        <w:rPr>
          <w:sz w:val="22"/>
          <w:szCs w:val="22"/>
          <w:lang w:val="en-GB"/>
        </w:rPr>
        <w:t>m</w:t>
      </w:r>
      <w:r w:rsidR="00DC5F64" w:rsidRPr="008C6029">
        <w:rPr>
          <w:sz w:val="22"/>
          <w:szCs w:val="22"/>
          <w:lang w:val="en-GB"/>
        </w:rPr>
        <w:t>onitoring rep</w:t>
      </w:r>
      <w:r w:rsidR="00E5430F" w:rsidRPr="008C6029">
        <w:rPr>
          <w:sz w:val="22"/>
          <w:szCs w:val="22"/>
          <w:lang w:val="en-GB"/>
        </w:rPr>
        <w:t xml:space="preserve">orts </w:t>
      </w:r>
      <w:r w:rsidRPr="008C6029">
        <w:rPr>
          <w:sz w:val="22"/>
          <w:szCs w:val="22"/>
          <w:lang w:val="en-GB"/>
        </w:rPr>
        <w:t xml:space="preserve">(2012, 2013) </w:t>
      </w:r>
      <w:r w:rsidR="00E5430F" w:rsidRPr="008C6029">
        <w:rPr>
          <w:sz w:val="22"/>
          <w:szCs w:val="22"/>
          <w:lang w:val="en-GB"/>
        </w:rPr>
        <w:t>and EC mid-term evaluation</w:t>
      </w:r>
      <w:r>
        <w:rPr>
          <w:sz w:val="22"/>
          <w:szCs w:val="22"/>
          <w:lang w:val="en-GB"/>
        </w:rPr>
        <w:t xml:space="preserve"> provide</w:t>
      </w:r>
      <w:r w:rsidR="00916E1A">
        <w:rPr>
          <w:sz w:val="22"/>
          <w:szCs w:val="22"/>
          <w:lang w:val="en-GB"/>
        </w:rPr>
        <w:t>d</w:t>
      </w:r>
      <w:r>
        <w:rPr>
          <w:sz w:val="22"/>
          <w:szCs w:val="22"/>
          <w:lang w:val="en-GB"/>
        </w:rPr>
        <w:t xml:space="preserve"> </w:t>
      </w:r>
      <w:r w:rsidR="003A5E0C">
        <w:rPr>
          <w:sz w:val="22"/>
          <w:szCs w:val="22"/>
          <w:lang w:val="en-GB"/>
        </w:rPr>
        <w:t>the following information</w:t>
      </w:r>
      <w:r w:rsidR="00603665">
        <w:rPr>
          <w:sz w:val="22"/>
          <w:szCs w:val="22"/>
          <w:lang w:val="en-GB"/>
        </w:rPr>
        <w:t xml:space="preserve"> for the strategy development</w:t>
      </w:r>
      <w:r w:rsidR="008E2BD5">
        <w:rPr>
          <w:sz w:val="22"/>
          <w:szCs w:val="22"/>
          <w:lang w:val="en-GB"/>
        </w:rPr>
        <w:t>:</w:t>
      </w:r>
    </w:p>
    <w:p w14:paraId="14D7025D" w14:textId="77777777" w:rsidR="008E2BD5" w:rsidRDefault="005B1E9C" w:rsidP="007426FD">
      <w:pPr>
        <w:pStyle w:val="ListParagraph"/>
        <w:numPr>
          <w:ilvl w:val="0"/>
          <w:numId w:val="4"/>
        </w:numPr>
        <w:spacing w:line="264" w:lineRule="auto"/>
        <w:jc w:val="both"/>
        <w:rPr>
          <w:sz w:val="22"/>
          <w:szCs w:val="22"/>
          <w:lang w:val="en-GB"/>
        </w:rPr>
      </w:pPr>
      <w:r>
        <w:rPr>
          <w:sz w:val="22"/>
          <w:szCs w:val="22"/>
          <w:lang w:val="en-GB"/>
        </w:rPr>
        <w:t>The</w:t>
      </w:r>
      <w:r w:rsidRPr="008E2BD5">
        <w:rPr>
          <w:sz w:val="22"/>
          <w:szCs w:val="22"/>
          <w:lang w:val="en-GB"/>
        </w:rPr>
        <w:t xml:space="preserve"> </w:t>
      </w:r>
      <w:r w:rsidR="008E2BD5" w:rsidRPr="008E2BD5">
        <w:rPr>
          <w:sz w:val="22"/>
          <w:szCs w:val="22"/>
          <w:lang w:val="en-GB"/>
        </w:rPr>
        <w:t xml:space="preserve">strong relevance of the programme and its </w:t>
      </w:r>
      <w:r w:rsidR="0041439E">
        <w:rPr>
          <w:sz w:val="22"/>
          <w:szCs w:val="22"/>
          <w:lang w:val="en-GB"/>
        </w:rPr>
        <w:t xml:space="preserve">current </w:t>
      </w:r>
      <w:r w:rsidR="008E2BD5" w:rsidRPr="008E2BD5">
        <w:rPr>
          <w:sz w:val="22"/>
          <w:szCs w:val="22"/>
          <w:lang w:val="en-GB"/>
        </w:rPr>
        <w:t xml:space="preserve">priorities </w:t>
      </w:r>
      <w:r w:rsidR="000E1DE5">
        <w:rPr>
          <w:sz w:val="22"/>
          <w:szCs w:val="22"/>
          <w:lang w:val="en-GB"/>
        </w:rPr>
        <w:t>for all participating countries:</w:t>
      </w:r>
      <w:r w:rsidR="008E2BD5" w:rsidRPr="008E2BD5">
        <w:rPr>
          <w:sz w:val="22"/>
          <w:szCs w:val="22"/>
          <w:lang w:val="en-GB"/>
        </w:rPr>
        <w:t xml:space="preserve"> </w:t>
      </w:r>
      <w:r w:rsidR="009E304F">
        <w:rPr>
          <w:sz w:val="22"/>
          <w:szCs w:val="22"/>
          <w:lang w:val="en-GB"/>
        </w:rPr>
        <w:t xml:space="preserve">programme priorities are </w:t>
      </w:r>
      <w:r w:rsidR="00CF41E4" w:rsidRPr="00CF41E4">
        <w:rPr>
          <w:sz w:val="22"/>
          <w:szCs w:val="22"/>
          <w:lang w:val="en-GB"/>
        </w:rPr>
        <w:t xml:space="preserve">in line with </w:t>
      </w:r>
      <w:r w:rsidR="0085309B">
        <w:rPr>
          <w:sz w:val="22"/>
          <w:szCs w:val="22"/>
          <w:lang w:val="en-GB"/>
        </w:rPr>
        <w:t>the needs of the programme area</w:t>
      </w:r>
      <w:r w:rsidR="00CF41E4" w:rsidRPr="00CF41E4">
        <w:rPr>
          <w:sz w:val="22"/>
          <w:szCs w:val="22"/>
          <w:lang w:val="en-GB"/>
        </w:rPr>
        <w:t xml:space="preserve"> with the greatest alignment being with </w:t>
      </w:r>
      <w:r w:rsidR="008A1E8B">
        <w:rPr>
          <w:sz w:val="22"/>
          <w:szCs w:val="22"/>
          <w:lang w:val="en-GB"/>
        </w:rPr>
        <w:t>O</w:t>
      </w:r>
      <w:r w:rsidR="00CF41E4" w:rsidRPr="00CF41E4">
        <w:rPr>
          <w:sz w:val="22"/>
          <w:szCs w:val="22"/>
          <w:lang w:val="en-GB"/>
        </w:rPr>
        <w:t>bjective</w:t>
      </w:r>
      <w:r w:rsidR="009E304F">
        <w:rPr>
          <w:sz w:val="22"/>
          <w:szCs w:val="22"/>
          <w:lang w:val="en-GB"/>
        </w:rPr>
        <w:t xml:space="preserve"> 1 (</w:t>
      </w:r>
      <w:r w:rsidR="00CF41E4" w:rsidRPr="00CF41E4">
        <w:rPr>
          <w:sz w:val="22"/>
          <w:szCs w:val="22"/>
          <w:lang w:val="en-GB"/>
        </w:rPr>
        <w:t>Promote economic and social development in regions on both sides of common borders</w:t>
      </w:r>
      <w:r w:rsidR="009E304F">
        <w:rPr>
          <w:sz w:val="22"/>
          <w:szCs w:val="22"/>
          <w:lang w:val="en-GB"/>
        </w:rPr>
        <w:t>)</w:t>
      </w:r>
      <w:r w:rsidR="00CF41E4" w:rsidRPr="00CF41E4">
        <w:rPr>
          <w:sz w:val="22"/>
          <w:szCs w:val="22"/>
          <w:lang w:val="en-GB"/>
        </w:rPr>
        <w:t>;</w:t>
      </w:r>
    </w:p>
    <w:p w14:paraId="178254B9" w14:textId="77777777" w:rsidR="004A161A" w:rsidRDefault="005B1E9C" w:rsidP="007426FD">
      <w:pPr>
        <w:pStyle w:val="ListParagraph"/>
        <w:numPr>
          <w:ilvl w:val="0"/>
          <w:numId w:val="4"/>
        </w:numPr>
        <w:spacing w:line="264" w:lineRule="auto"/>
        <w:jc w:val="both"/>
        <w:rPr>
          <w:sz w:val="22"/>
          <w:szCs w:val="22"/>
          <w:lang w:val="en-GB"/>
        </w:rPr>
      </w:pPr>
      <w:r>
        <w:rPr>
          <w:sz w:val="22"/>
          <w:szCs w:val="22"/>
          <w:lang w:val="en-GB"/>
        </w:rPr>
        <w:t>Recognition of t</w:t>
      </w:r>
      <w:r w:rsidR="003715F9">
        <w:rPr>
          <w:sz w:val="22"/>
          <w:szCs w:val="22"/>
          <w:lang w:val="en-GB"/>
        </w:rPr>
        <w:t>he programme</w:t>
      </w:r>
      <w:r w:rsidR="008E2BD5">
        <w:rPr>
          <w:sz w:val="22"/>
          <w:szCs w:val="22"/>
          <w:lang w:val="en-GB"/>
        </w:rPr>
        <w:t xml:space="preserve"> as an</w:t>
      </w:r>
      <w:r w:rsidR="00C110F2">
        <w:rPr>
          <w:sz w:val="22"/>
          <w:szCs w:val="22"/>
          <w:lang w:val="en-GB"/>
        </w:rPr>
        <w:t xml:space="preserve"> instrument for facilitatin</w:t>
      </w:r>
      <w:r>
        <w:rPr>
          <w:sz w:val="22"/>
          <w:szCs w:val="22"/>
          <w:lang w:val="en-GB"/>
        </w:rPr>
        <w:t>g</w:t>
      </w:r>
      <w:r w:rsidR="00C110F2">
        <w:rPr>
          <w:sz w:val="22"/>
          <w:szCs w:val="22"/>
          <w:lang w:val="en-GB"/>
        </w:rPr>
        <w:t xml:space="preserve"> </w:t>
      </w:r>
      <w:r w:rsidR="004A161A">
        <w:rPr>
          <w:sz w:val="22"/>
          <w:szCs w:val="22"/>
          <w:lang w:val="en-GB"/>
        </w:rPr>
        <w:t>cross-border cooperation</w:t>
      </w:r>
      <w:r w:rsidR="00892485">
        <w:rPr>
          <w:sz w:val="22"/>
          <w:szCs w:val="22"/>
          <w:lang w:val="en-GB"/>
        </w:rPr>
        <w:t>;</w:t>
      </w:r>
    </w:p>
    <w:p w14:paraId="7DF8F3C0" w14:textId="77777777" w:rsidR="004A161A" w:rsidRPr="004A161A" w:rsidRDefault="004A161A" w:rsidP="007426FD">
      <w:pPr>
        <w:pStyle w:val="ListParagraph"/>
        <w:numPr>
          <w:ilvl w:val="0"/>
          <w:numId w:val="4"/>
        </w:numPr>
        <w:spacing w:line="264" w:lineRule="auto"/>
        <w:jc w:val="both"/>
        <w:rPr>
          <w:sz w:val="22"/>
          <w:szCs w:val="22"/>
          <w:lang w:val="en-GB"/>
        </w:rPr>
      </w:pPr>
      <w:r w:rsidRPr="004A161A">
        <w:rPr>
          <w:sz w:val="22"/>
          <w:szCs w:val="22"/>
          <w:lang w:val="en-GB"/>
        </w:rPr>
        <w:t>Over-ambitious, unrealistic indicators at programme level</w:t>
      </w:r>
      <w:r w:rsidR="00892485">
        <w:rPr>
          <w:sz w:val="22"/>
          <w:szCs w:val="22"/>
          <w:lang w:val="en-GB"/>
        </w:rPr>
        <w:t>;</w:t>
      </w:r>
    </w:p>
    <w:p w14:paraId="52AC15F1" w14:textId="77777777" w:rsidR="008E2BD5" w:rsidRPr="00821B60" w:rsidRDefault="005E1B89" w:rsidP="007426FD">
      <w:pPr>
        <w:pStyle w:val="ListParagraph"/>
        <w:numPr>
          <w:ilvl w:val="0"/>
          <w:numId w:val="4"/>
        </w:numPr>
        <w:spacing w:line="264" w:lineRule="auto"/>
        <w:jc w:val="both"/>
        <w:rPr>
          <w:sz w:val="22"/>
          <w:szCs w:val="22"/>
          <w:lang w:val="en-GB"/>
        </w:rPr>
      </w:pPr>
      <w:r>
        <w:rPr>
          <w:sz w:val="22"/>
          <w:szCs w:val="22"/>
          <w:lang w:val="en-GB"/>
        </w:rPr>
        <w:t xml:space="preserve">Some </w:t>
      </w:r>
      <w:r w:rsidR="005B1E9C">
        <w:rPr>
          <w:sz w:val="22"/>
          <w:szCs w:val="22"/>
          <w:lang w:val="en-GB"/>
        </w:rPr>
        <w:t xml:space="preserve">performance </w:t>
      </w:r>
      <w:r>
        <w:rPr>
          <w:sz w:val="22"/>
          <w:szCs w:val="22"/>
          <w:lang w:val="en-GB"/>
        </w:rPr>
        <w:t xml:space="preserve">difficulties </w:t>
      </w:r>
      <w:r w:rsidR="005B1E9C">
        <w:rPr>
          <w:sz w:val="22"/>
          <w:szCs w:val="22"/>
          <w:lang w:val="en-GB"/>
        </w:rPr>
        <w:t xml:space="preserve">for projects </w:t>
      </w:r>
      <w:r>
        <w:rPr>
          <w:sz w:val="22"/>
          <w:szCs w:val="22"/>
          <w:lang w:val="en-GB"/>
        </w:rPr>
        <w:t xml:space="preserve">under the first </w:t>
      </w:r>
      <w:r w:rsidRPr="00EF6373">
        <w:rPr>
          <w:sz w:val="22"/>
          <w:szCs w:val="22"/>
          <w:lang w:val="en-GB"/>
        </w:rPr>
        <w:t>priority (</w:t>
      </w:r>
      <w:r w:rsidR="00EF6373" w:rsidRPr="00EE604A">
        <w:rPr>
          <w:sz w:val="22"/>
          <w:szCs w:val="22"/>
          <w:lang w:val="en-GB"/>
        </w:rPr>
        <w:t>some projects focused on promoting economic cooperation and establishing complicated systems, such as multi-country information databases on companies and products, without having sufficient experience in the</w:t>
      </w:r>
      <w:r w:rsidR="00EF6373" w:rsidRPr="00EF6373">
        <w:rPr>
          <w:sz w:val="22"/>
          <w:szCs w:val="22"/>
          <w:lang w:val="en-GB"/>
        </w:rPr>
        <w:t xml:space="preserve"> area</w:t>
      </w:r>
      <w:r w:rsidRPr="00EF6373">
        <w:rPr>
          <w:sz w:val="22"/>
          <w:szCs w:val="22"/>
          <w:lang w:val="en-GB"/>
        </w:rPr>
        <w:t>).</w:t>
      </w:r>
      <w:r>
        <w:rPr>
          <w:sz w:val="22"/>
          <w:szCs w:val="22"/>
          <w:lang w:val="en-GB"/>
        </w:rPr>
        <w:t xml:space="preserve"> Some </w:t>
      </w:r>
      <w:r w:rsidR="00825A83">
        <w:rPr>
          <w:sz w:val="22"/>
          <w:szCs w:val="22"/>
          <w:lang w:val="en-GB"/>
        </w:rPr>
        <w:t xml:space="preserve">internal, </w:t>
      </w:r>
      <w:r w:rsidR="00B33B80" w:rsidRPr="004408A1">
        <w:rPr>
          <w:sz w:val="22"/>
          <w:szCs w:val="22"/>
          <w:lang w:val="en-GB"/>
        </w:rPr>
        <w:t xml:space="preserve">administrative impediments in the second priority </w:t>
      </w:r>
      <w:r w:rsidR="00DB0615" w:rsidRPr="004408A1">
        <w:rPr>
          <w:sz w:val="22"/>
          <w:szCs w:val="22"/>
          <w:lang w:val="en-GB"/>
        </w:rPr>
        <w:t>for the ENPI East countries</w:t>
      </w:r>
      <w:r w:rsidR="00B33B80" w:rsidRPr="004408A1">
        <w:rPr>
          <w:sz w:val="22"/>
          <w:szCs w:val="22"/>
          <w:lang w:val="en-GB"/>
        </w:rPr>
        <w:t xml:space="preserve"> (</w:t>
      </w:r>
      <w:r w:rsidR="00DB0615" w:rsidRPr="004408A1">
        <w:rPr>
          <w:sz w:val="22"/>
          <w:szCs w:val="22"/>
          <w:lang w:val="en-GB"/>
        </w:rPr>
        <w:t>complexity of off</w:t>
      </w:r>
      <w:r w:rsidR="001D1691" w:rsidRPr="004408A1">
        <w:rPr>
          <w:sz w:val="22"/>
          <w:szCs w:val="22"/>
          <w:lang w:val="en-GB"/>
        </w:rPr>
        <w:t>icial mutual recognition of study programmes/</w:t>
      </w:r>
      <w:r w:rsidR="00EA35E3" w:rsidRPr="004408A1">
        <w:rPr>
          <w:sz w:val="22"/>
          <w:szCs w:val="22"/>
          <w:lang w:val="en-GB"/>
        </w:rPr>
        <w:t>diplomas/material</w:t>
      </w:r>
      <w:r w:rsidR="00957FDB" w:rsidRPr="004408A1">
        <w:rPr>
          <w:sz w:val="22"/>
          <w:szCs w:val="22"/>
          <w:lang w:val="en-GB"/>
        </w:rPr>
        <w:t>s</w:t>
      </w:r>
      <w:r w:rsidR="00B33B80" w:rsidRPr="004408A1">
        <w:rPr>
          <w:sz w:val="22"/>
          <w:szCs w:val="22"/>
          <w:lang w:val="en-GB"/>
        </w:rPr>
        <w:t>)</w:t>
      </w:r>
      <w:r w:rsidR="008A010D" w:rsidRPr="004408A1">
        <w:rPr>
          <w:sz w:val="22"/>
          <w:szCs w:val="22"/>
          <w:lang w:val="en-GB"/>
        </w:rPr>
        <w:t>.</w:t>
      </w:r>
      <w:r w:rsidR="008A010D" w:rsidRPr="004408A1">
        <w:rPr>
          <w:lang w:val="en-GB"/>
        </w:rPr>
        <w:t xml:space="preserve"> </w:t>
      </w:r>
      <w:r w:rsidR="008A010D" w:rsidRPr="004408A1">
        <w:rPr>
          <w:sz w:val="22"/>
          <w:szCs w:val="22"/>
          <w:lang w:val="en-GB"/>
        </w:rPr>
        <w:t>Some projects implied improvement of national policies, amendments in legislation (beyond the scope of the project);</w:t>
      </w:r>
    </w:p>
    <w:p w14:paraId="2ED2AEDF" w14:textId="77777777" w:rsidR="00821B60" w:rsidRDefault="00DC6A7C" w:rsidP="007426FD">
      <w:pPr>
        <w:pStyle w:val="ListParagraph"/>
        <w:numPr>
          <w:ilvl w:val="0"/>
          <w:numId w:val="4"/>
        </w:numPr>
        <w:spacing w:line="264" w:lineRule="auto"/>
        <w:jc w:val="both"/>
        <w:rPr>
          <w:sz w:val="22"/>
          <w:szCs w:val="22"/>
          <w:lang w:val="en-GB"/>
        </w:rPr>
      </w:pPr>
      <w:r w:rsidRPr="004408A1">
        <w:rPr>
          <w:sz w:val="22"/>
          <w:szCs w:val="22"/>
          <w:lang w:val="en-GB"/>
        </w:rPr>
        <w:t>Often problematic</w:t>
      </w:r>
      <w:r w:rsidR="00821B60" w:rsidRPr="004408A1">
        <w:rPr>
          <w:sz w:val="22"/>
          <w:szCs w:val="22"/>
          <w:lang w:val="en-GB"/>
        </w:rPr>
        <w:t xml:space="preserve"> financial sustainability/</w:t>
      </w:r>
      <w:r w:rsidR="005438BA" w:rsidRPr="004408A1">
        <w:rPr>
          <w:sz w:val="22"/>
          <w:szCs w:val="22"/>
          <w:lang w:val="en-GB"/>
        </w:rPr>
        <w:t xml:space="preserve">lack of </w:t>
      </w:r>
      <w:r w:rsidR="00821B60" w:rsidRPr="004408A1">
        <w:rPr>
          <w:sz w:val="22"/>
          <w:szCs w:val="22"/>
          <w:lang w:val="en-GB"/>
        </w:rPr>
        <w:t>exit str</w:t>
      </w:r>
      <w:r w:rsidRPr="004408A1">
        <w:rPr>
          <w:sz w:val="22"/>
          <w:szCs w:val="22"/>
          <w:lang w:val="en-GB"/>
        </w:rPr>
        <w:t>ategies</w:t>
      </w:r>
      <w:r w:rsidR="00821B60" w:rsidRPr="004408A1">
        <w:rPr>
          <w:sz w:val="22"/>
          <w:szCs w:val="22"/>
          <w:lang w:val="en-GB"/>
        </w:rPr>
        <w:t xml:space="preserve"> a</w:t>
      </w:r>
      <w:r w:rsidR="00142D94">
        <w:rPr>
          <w:sz w:val="22"/>
          <w:szCs w:val="22"/>
          <w:lang w:val="en-GB"/>
        </w:rPr>
        <w:t>t project level</w:t>
      </w:r>
      <w:r w:rsidR="00892485" w:rsidRPr="004408A1">
        <w:rPr>
          <w:sz w:val="22"/>
          <w:szCs w:val="22"/>
          <w:lang w:val="en-GB"/>
        </w:rPr>
        <w:t>;</w:t>
      </w:r>
    </w:p>
    <w:p w14:paraId="638B5F33" w14:textId="77777777" w:rsidR="00123B4F" w:rsidRPr="00123B4F" w:rsidRDefault="00123B4F" w:rsidP="00123B4F">
      <w:pPr>
        <w:pStyle w:val="ListParagraph"/>
        <w:numPr>
          <w:ilvl w:val="0"/>
          <w:numId w:val="4"/>
        </w:numPr>
        <w:spacing w:line="264" w:lineRule="auto"/>
        <w:jc w:val="both"/>
        <w:rPr>
          <w:sz w:val="22"/>
          <w:szCs w:val="22"/>
          <w:lang w:val="en-GB"/>
        </w:rPr>
      </w:pPr>
      <w:r w:rsidRPr="00123B4F">
        <w:rPr>
          <w:sz w:val="22"/>
          <w:szCs w:val="22"/>
          <w:lang w:val="en-GB"/>
        </w:rPr>
        <w:t xml:space="preserve">Result oriented monitoring system must be developed in order to assess the success of implementation at project level; </w:t>
      </w:r>
    </w:p>
    <w:p w14:paraId="74D01E96" w14:textId="77777777" w:rsidR="005A42FC" w:rsidRDefault="005A42FC" w:rsidP="007426FD">
      <w:pPr>
        <w:pStyle w:val="ListParagraph"/>
        <w:numPr>
          <w:ilvl w:val="0"/>
          <w:numId w:val="4"/>
        </w:numPr>
        <w:spacing w:line="264" w:lineRule="auto"/>
        <w:jc w:val="both"/>
        <w:rPr>
          <w:sz w:val="22"/>
          <w:szCs w:val="22"/>
          <w:lang w:val="en-GB"/>
        </w:rPr>
      </w:pPr>
      <w:r w:rsidRPr="004408A1">
        <w:rPr>
          <w:sz w:val="22"/>
          <w:szCs w:val="22"/>
          <w:lang w:val="en-GB"/>
        </w:rPr>
        <w:t>24-month intervention is</w:t>
      </w:r>
      <w:r w:rsidR="00097060" w:rsidRPr="004408A1">
        <w:rPr>
          <w:sz w:val="22"/>
          <w:szCs w:val="22"/>
          <w:lang w:val="en-GB"/>
        </w:rPr>
        <w:t xml:space="preserve"> </w:t>
      </w:r>
      <w:r w:rsidRPr="004408A1">
        <w:rPr>
          <w:sz w:val="22"/>
          <w:szCs w:val="22"/>
          <w:lang w:val="en-GB"/>
        </w:rPr>
        <w:t xml:space="preserve">too short for </w:t>
      </w:r>
      <w:r w:rsidR="00097060" w:rsidRPr="004408A1">
        <w:rPr>
          <w:sz w:val="22"/>
          <w:szCs w:val="22"/>
          <w:lang w:val="en-GB"/>
        </w:rPr>
        <w:t>some actions</w:t>
      </w:r>
      <w:r w:rsidR="00892485" w:rsidRPr="004408A1">
        <w:rPr>
          <w:sz w:val="22"/>
          <w:szCs w:val="22"/>
          <w:lang w:val="en-GB"/>
        </w:rPr>
        <w:t>;</w:t>
      </w:r>
    </w:p>
    <w:p w14:paraId="6F325261" w14:textId="77777777" w:rsidR="00123B4F" w:rsidRPr="00DE4734" w:rsidRDefault="00123B4F" w:rsidP="007426FD">
      <w:pPr>
        <w:pStyle w:val="ListParagraph"/>
        <w:numPr>
          <w:ilvl w:val="0"/>
          <w:numId w:val="4"/>
        </w:numPr>
        <w:spacing w:line="264" w:lineRule="auto"/>
        <w:jc w:val="both"/>
        <w:rPr>
          <w:sz w:val="22"/>
          <w:szCs w:val="22"/>
          <w:lang w:val="en-GB"/>
        </w:rPr>
      </w:pPr>
      <w:r w:rsidRPr="00123B4F">
        <w:rPr>
          <w:sz w:val="22"/>
          <w:szCs w:val="22"/>
          <w:lang w:val="en-GB"/>
        </w:rPr>
        <w:t>Visibility requirements are fulfilled but attention must be paid to the dissemination of project results;</w:t>
      </w:r>
    </w:p>
    <w:p w14:paraId="788F5709" w14:textId="77777777" w:rsidR="00821B60" w:rsidRPr="00821B60" w:rsidRDefault="00DE4734" w:rsidP="007426FD">
      <w:pPr>
        <w:pStyle w:val="ListParagraph"/>
        <w:numPr>
          <w:ilvl w:val="0"/>
          <w:numId w:val="4"/>
        </w:numPr>
        <w:spacing w:line="264" w:lineRule="auto"/>
        <w:jc w:val="both"/>
        <w:rPr>
          <w:sz w:val="22"/>
          <w:szCs w:val="22"/>
          <w:lang w:val="en-GB"/>
        </w:rPr>
      </w:pPr>
      <w:r w:rsidRPr="0015403A">
        <w:rPr>
          <w:sz w:val="22"/>
          <w:szCs w:val="22"/>
          <w:lang w:val="en-GB"/>
        </w:rPr>
        <w:t xml:space="preserve">No correlation between projects under the </w:t>
      </w:r>
      <w:r w:rsidR="0015403A">
        <w:rPr>
          <w:sz w:val="22"/>
          <w:szCs w:val="22"/>
          <w:lang w:val="en-GB"/>
        </w:rPr>
        <w:t>same priority (t</w:t>
      </w:r>
      <w:r w:rsidRPr="0015403A">
        <w:rPr>
          <w:sz w:val="22"/>
          <w:szCs w:val="22"/>
          <w:lang w:val="en-GB"/>
        </w:rPr>
        <w:t>he projects tend to be implemented on</w:t>
      </w:r>
      <w:r w:rsidR="0015403A">
        <w:rPr>
          <w:sz w:val="22"/>
          <w:szCs w:val="22"/>
          <w:lang w:val="en-GB"/>
        </w:rPr>
        <w:t xml:space="preserve"> a</w:t>
      </w:r>
      <w:r w:rsidRPr="0015403A">
        <w:rPr>
          <w:sz w:val="22"/>
          <w:szCs w:val="22"/>
          <w:lang w:val="en-GB"/>
        </w:rPr>
        <w:t xml:space="preserve"> </w:t>
      </w:r>
      <w:r w:rsidR="008A1E8B">
        <w:rPr>
          <w:sz w:val="22"/>
          <w:szCs w:val="22"/>
          <w:lang w:val="en-GB"/>
        </w:rPr>
        <w:t>‘</w:t>
      </w:r>
      <w:r w:rsidRPr="0015403A">
        <w:rPr>
          <w:sz w:val="22"/>
          <w:szCs w:val="22"/>
          <w:lang w:val="en-GB"/>
        </w:rPr>
        <w:t>individual bas</w:t>
      </w:r>
      <w:r w:rsidR="008A1E8B">
        <w:rPr>
          <w:sz w:val="22"/>
          <w:szCs w:val="22"/>
          <w:lang w:val="en-GB"/>
        </w:rPr>
        <w:t>is’</w:t>
      </w:r>
      <w:r w:rsidRPr="0015403A">
        <w:rPr>
          <w:sz w:val="22"/>
          <w:szCs w:val="22"/>
          <w:lang w:val="en-GB"/>
        </w:rPr>
        <w:t xml:space="preserve">, without having the bigger </w:t>
      </w:r>
      <w:r w:rsidR="008A1E8B">
        <w:rPr>
          <w:sz w:val="22"/>
          <w:szCs w:val="22"/>
          <w:lang w:val="en-GB"/>
        </w:rPr>
        <w:t>p</w:t>
      </w:r>
      <w:r w:rsidRPr="0015403A">
        <w:rPr>
          <w:sz w:val="22"/>
          <w:szCs w:val="22"/>
          <w:lang w:val="en-GB"/>
        </w:rPr>
        <w:t>rogramme picture</w:t>
      </w:r>
      <w:r w:rsidR="0015403A">
        <w:rPr>
          <w:sz w:val="22"/>
          <w:szCs w:val="22"/>
          <w:lang w:val="en-GB"/>
        </w:rPr>
        <w:t>)</w:t>
      </w:r>
      <w:r w:rsidR="00892485">
        <w:rPr>
          <w:sz w:val="22"/>
          <w:szCs w:val="22"/>
          <w:lang w:val="en-GB"/>
        </w:rPr>
        <w:t>;</w:t>
      </w:r>
    </w:p>
    <w:p w14:paraId="2E0AE197" w14:textId="77777777" w:rsidR="00AC7079" w:rsidRDefault="005559CF" w:rsidP="007426FD">
      <w:pPr>
        <w:pStyle w:val="ListParagraph"/>
        <w:numPr>
          <w:ilvl w:val="0"/>
          <w:numId w:val="4"/>
        </w:numPr>
        <w:spacing w:line="264" w:lineRule="auto"/>
        <w:jc w:val="both"/>
        <w:rPr>
          <w:sz w:val="22"/>
          <w:szCs w:val="22"/>
          <w:lang w:val="en-GB"/>
        </w:rPr>
      </w:pPr>
      <w:r>
        <w:rPr>
          <w:sz w:val="22"/>
          <w:szCs w:val="22"/>
          <w:lang w:val="en-GB"/>
        </w:rPr>
        <w:t>Excellent cooperation among partner countries leading</w:t>
      </w:r>
      <w:r w:rsidR="00CF004E">
        <w:rPr>
          <w:sz w:val="22"/>
          <w:szCs w:val="22"/>
          <w:lang w:val="en-GB"/>
        </w:rPr>
        <w:t xml:space="preserve"> to stable</w:t>
      </w:r>
      <w:r>
        <w:rPr>
          <w:sz w:val="22"/>
          <w:szCs w:val="22"/>
          <w:lang w:val="en-GB"/>
        </w:rPr>
        <w:t xml:space="preserve"> partnerships</w:t>
      </w:r>
      <w:r w:rsidR="000B71FE">
        <w:rPr>
          <w:sz w:val="22"/>
          <w:szCs w:val="22"/>
          <w:lang w:val="en-GB"/>
        </w:rPr>
        <w:t xml:space="preserve"> (among </w:t>
      </w:r>
      <w:r w:rsidR="008A1E8B">
        <w:rPr>
          <w:sz w:val="22"/>
          <w:szCs w:val="22"/>
          <w:lang w:val="en-GB"/>
        </w:rPr>
        <w:t>u</w:t>
      </w:r>
      <w:r w:rsidR="000B71FE">
        <w:rPr>
          <w:sz w:val="22"/>
          <w:szCs w:val="22"/>
          <w:lang w:val="en-GB"/>
        </w:rPr>
        <w:t xml:space="preserve">niversities and research </w:t>
      </w:r>
      <w:proofErr w:type="spellStart"/>
      <w:r w:rsidR="000B71FE">
        <w:rPr>
          <w:sz w:val="22"/>
          <w:szCs w:val="22"/>
          <w:lang w:val="en-GB"/>
        </w:rPr>
        <w:t>centers</w:t>
      </w:r>
      <w:proofErr w:type="spellEnd"/>
      <w:r w:rsidR="000B71FE">
        <w:rPr>
          <w:sz w:val="22"/>
          <w:szCs w:val="22"/>
          <w:lang w:val="en-GB"/>
        </w:rPr>
        <w:t>, local administrations, NGOs…)</w:t>
      </w:r>
      <w:r>
        <w:rPr>
          <w:sz w:val="22"/>
          <w:szCs w:val="22"/>
          <w:lang w:val="en-GB"/>
        </w:rPr>
        <w:t>.</w:t>
      </w:r>
    </w:p>
    <w:p w14:paraId="727D384B" w14:textId="77777777" w:rsidR="00916E1A" w:rsidRDefault="00614F06" w:rsidP="00EE604A">
      <w:pPr>
        <w:widowControl w:val="0"/>
        <w:autoSpaceDE w:val="0"/>
        <w:autoSpaceDN w:val="0"/>
        <w:adjustRightInd w:val="0"/>
        <w:spacing w:after="60" w:line="264" w:lineRule="auto"/>
        <w:jc w:val="both"/>
        <w:rPr>
          <w:sz w:val="22"/>
          <w:szCs w:val="22"/>
          <w:lang w:val="en-GB"/>
        </w:rPr>
      </w:pPr>
      <w:r>
        <w:rPr>
          <w:b/>
          <w:sz w:val="22"/>
          <w:szCs w:val="22"/>
          <w:lang w:val="en-GB"/>
        </w:rPr>
        <w:t xml:space="preserve">A mapping of </w:t>
      </w:r>
      <w:r w:rsidR="001C12DE" w:rsidRPr="00D8564C">
        <w:rPr>
          <w:b/>
          <w:sz w:val="22"/>
          <w:szCs w:val="22"/>
          <w:lang w:val="en-GB"/>
        </w:rPr>
        <w:t>projects</w:t>
      </w:r>
      <w:r>
        <w:rPr>
          <w:b/>
          <w:sz w:val="22"/>
          <w:szCs w:val="22"/>
          <w:lang w:val="en-GB"/>
        </w:rPr>
        <w:t xml:space="preserve"> </w:t>
      </w:r>
      <w:r w:rsidR="00FD7BAE">
        <w:rPr>
          <w:b/>
          <w:sz w:val="22"/>
          <w:szCs w:val="22"/>
          <w:lang w:val="en-GB"/>
        </w:rPr>
        <w:t>awarded under the Black Sea Basin 2007-13 two</w:t>
      </w:r>
      <w:r w:rsidR="00420BF4">
        <w:rPr>
          <w:b/>
          <w:sz w:val="22"/>
          <w:szCs w:val="22"/>
          <w:lang w:val="en-GB"/>
        </w:rPr>
        <w:t xml:space="preserve"> </w:t>
      </w:r>
      <w:r>
        <w:rPr>
          <w:b/>
          <w:sz w:val="22"/>
          <w:szCs w:val="22"/>
          <w:lang w:val="en-GB"/>
        </w:rPr>
        <w:t>call</w:t>
      </w:r>
      <w:r w:rsidR="00420BF4">
        <w:rPr>
          <w:b/>
          <w:sz w:val="22"/>
          <w:szCs w:val="22"/>
          <w:lang w:val="en-GB"/>
        </w:rPr>
        <w:t>s</w:t>
      </w:r>
      <w:r>
        <w:rPr>
          <w:b/>
          <w:sz w:val="22"/>
          <w:szCs w:val="22"/>
          <w:lang w:val="en-GB"/>
        </w:rPr>
        <w:t xml:space="preserve"> for proposals</w:t>
      </w:r>
      <w:r w:rsidR="00500E6E">
        <w:rPr>
          <w:b/>
          <w:sz w:val="22"/>
          <w:szCs w:val="22"/>
          <w:lang w:val="en-GB"/>
        </w:rPr>
        <w:t xml:space="preserve"> </w:t>
      </w:r>
      <w:r w:rsidR="00420BF4">
        <w:rPr>
          <w:sz w:val="22"/>
          <w:szCs w:val="22"/>
          <w:lang w:val="en-GB"/>
        </w:rPr>
        <w:t>according to key themes</w:t>
      </w:r>
      <w:r w:rsidR="00500E6E">
        <w:rPr>
          <w:rStyle w:val="FootnoteReference"/>
          <w:b/>
          <w:sz w:val="22"/>
          <w:szCs w:val="22"/>
          <w:lang w:val="en-GB"/>
        </w:rPr>
        <w:footnoteReference w:id="51"/>
      </w:r>
      <w:r w:rsidR="00420BF4">
        <w:rPr>
          <w:sz w:val="22"/>
          <w:szCs w:val="22"/>
          <w:lang w:val="en-GB"/>
        </w:rPr>
        <w:t xml:space="preserve"> </w:t>
      </w:r>
      <w:r w:rsidR="001C12DE">
        <w:rPr>
          <w:sz w:val="22"/>
          <w:szCs w:val="22"/>
          <w:lang w:val="en-GB"/>
        </w:rPr>
        <w:t xml:space="preserve">allowed </w:t>
      </w:r>
      <w:r w:rsidR="008A1E8B">
        <w:rPr>
          <w:sz w:val="22"/>
          <w:szCs w:val="22"/>
          <w:lang w:val="en-GB"/>
        </w:rPr>
        <w:t xml:space="preserve">the identification of </w:t>
      </w:r>
      <w:r w:rsidR="001C12DE">
        <w:rPr>
          <w:sz w:val="22"/>
          <w:szCs w:val="22"/>
          <w:lang w:val="en-GB"/>
        </w:rPr>
        <w:t xml:space="preserve">the </w:t>
      </w:r>
      <w:r w:rsidR="00420BF4">
        <w:rPr>
          <w:sz w:val="22"/>
          <w:szCs w:val="22"/>
          <w:lang w:val="en-GB"/>
        </w:rPr>
        <w:t>main</w:t>
      </w:r>
      <w:r>
        <w:rPr>
          <w:sz w:val="22"/>
          <w:szCs w:val="22"/>
          <w:lang w:val="en-GB"/>
        </w:rPr>
        <w:t xml:space="preserve"> </w:t>
      </w:r>
      <w:r w:rsidR="00825A83">
        <w:rPr>
          <w:sz w:val="22"/>
          <w:szCs w:val="22"/>
          <w:lang w:val="en-GB"/>
        </w:rPr>
        <w:t xml:space="preserve">areas </w:t>
      </w:r>
      <w:r w:rsidR="001C12DE">
        <w:rPr>
          <w:sz w:val="22"/>
          <w:szCs w:val="22"/>
          <w:lang w:val="en-GB"/>
        </w:rPr>
        <w:t xml:space="preserve">of interest </w:t>
      </w:r>
      <w:r w:rsidR="008A1E8B">
        <w:rPr>
          <w:sz w:val="22"/>
          <w:szCs w:val="22"/>
          <w:lang w:val="en-GB"/>
        </w:rPr>
        <w:t xml:space="preserve">for </w:t>
      </w:r>
      <w:r w:rsidR="009C325E">
        <w:rPr>
          <w:sz w:val="22"/>
          <w:szCs w:val="22"/>
          <w:lang w:val="en-GB"/>
        </w:rPr>
        <w:t>project beneficiaries and partners</w:t>
      </w:r>
      <w:r w:rsidR="009D6FBE">
        <w:rPr>
          <w:sz w:val="22"/>
          <w:szCs w:val="22"/>
          <w:lang w:val="en-GB"/>
        </w:rPr>
        <w:t xml:space="preserve"> within the programme priorities</w:t>
      </w:r>
      <w:r w:rsidR="00825A83">
        <w:rPr>
          <w:sz w:val="22"/>
          <w:szCs w:val="22"/>
          <w:lang w:val="en-GB"/>
        </w:rPr>
        <w:t xml:space="preserve"> and action already taken in particular fields</w:t>
      </w:r>
      <w:r w:rsidR="0063702A">
        <w:rPr>
          <w:sz w:val="22"/>
          <w:szCs w:val="22"/>
          <w:lang w:val="en-GB"/>
        </w:rPr>
        <w:t xml:space="preserve">. It also provided information on </w:t>
      </w:r>
      <w:r w:rsidR="008A1E8B">
        <w:rPr>
          <w:sz w:val="22"/>
          <w:szCs w:val="22"/>
          <w:lang w:val="en-GB"/>
        </w:rPr>
        <w:t xml:space="preserve">the </w:t>
      </w:r>
      <w:r w:rsidR="009D6FBE">
        <w:rPr>
          <w:sz w:val="22"/>
          <w:szCs w:val="22"/>
          <w:lang w:val="en-GB"/>
        </w:rPr>
        <w:t xml:space="preserve">fields of competence </w:t>
      </w:r>
      <w:r w:rsidR="008A1E8B">
        <w:rPr>
          <w:sz w:val="22"/>
          <w:szCs w:val="22"/>
          <w:lang w:val="en-GB"/>
        </w:rPr>
        <w:t xml:space="preserve">among </w:t>
      </w:r>
      <w:r w:rsidR="0063702A">
        <w:rPr>
          <w:sz w:val="22"/>
          <w:szCs w:val="22"/>
          <w:lang w:val="en-GB"/>
        </w:rPr>
        <w:t>regional</w:t>
      </w:r>
      <w:r w:rsidR="009C325E">
        <w:rPr>
          <w:sz w:val="22"/>
          <w:szCs w:val="22"/>
          <w:lang w:val="en-GB"/>
        </w:rPr>
        <w:t xml:space="preserve"> stakeholders</w:t>
      </w:r>
      <w:r w:rsidR="0063702A">
        <w:rPr>
          <w:sz w:val="22"/>
          <w:szCs w:val="22"/>
          <w:lang w:val="en-GB"/>
        </w:rPr>
        <w:t>,</w:t>
      </w:r>
      <w:r w:rsidR="00C5523B">
        <w:rPr>
          <w:sz w:val="22"/>
          <w:szCs w:val="22"/>
          <w:lang w:val="en-GB"/>
        </w:rPr>
        <w:t xml:space="preserve"> as only successful applications were </w:t>
      </w:r>
      <w:r w:rsidR="0063702A">
        <w:rPr>
          <w:sz w:val="22"/>
          <w:szCs w:val="22"/>
          <w:lang w:val="en-GB"/>
        </w:rPr>
        <w:t>analysed</w:t>
      </w:r>
      <w:r w:rsidR="001C12DE">
        <w:rPr>
          <w:sz w:val="22"/>
          <w:szCs w:val="22"/>
          <w:lang w:val="en-GB"/>
        </w:rPr>
        <w:t xml:space="preserve">. </w:t>
      </w:r>
    </w:p>
    <w:p w14:paraId="48E5784D" w14:textId="77777777" w:rsidR="00614F06" w:rsidRDefault="00614F06" w:rsidP="00EE604A">
      <w:pPr>
        <w:spacing w:before="120" w:after="60" w:line="264" w:lineRule="auto"/>
        <w:jc w:val="both"/>
        <w:rPr>
          <w:sz w:val="22"/>
          <w:szCs w:val="22"/>
          <w:lang w:val="en-GB"/>
        </w:rPr>
      </w:pPr>
      <w:r>
        <w:rPr>
          <w:b/>
          <w:sz w:val="22"/>
          <w:szCs w:val="22"/>
          <w:lang w:val="en-GB"/>
        </w:rPr>
        <w:lastRenderedPageBreak/>
        <w:t>A s</w:t>
      </w:r>
      <w:r w:rsidRPr="00D8564C">
        <w:rPr>
          <w:b/>
          <w:sz w:val="22"/>
          <w:szCs w:val="22"/>
          <w:lang w:val="en-GB"/>
        </w:rPr>
        <w:t>urvey on current priorities and future needs</w:t>
      </w:r>
      <w:r w:rsidR="00D627A6">
        <w:rPr>
          <w:rStyle w:val="FootnoteReference"/>
          <w:b/>
          <w:sz w:val="22"/>
          <w:szCs w:val="22"/>
          <w:lang w:val="en-GB"/>
        </w:rPr>
        <w:footnoteReference w:id="52"/>
      </w:r>
      <w:r w:rsidR="00420BF4">
        <w:rPr>
          <w:sz w:val="22"/>
          <w:szCs w:val="22"/>
          <w:lang w:val="en-GB"/>
        </w:rPr>
        <w:t xml:space="preserve">, carried out via a questionnaire forwarded </w:t>
      </w:r>
      <w:r w:rsidR="00916E1A">
        <w:rPr>
          <w:sz w:val="22"/>
          <w:szCs w:val="22"/>
          <w:lang w:val="en-GB"/>
        </w:rPr>
        <w:t xml:space="preserve">in June 2013 </w:t>
      </w:r>
      <w:r w:rsidR="00EF56D2">
        <w:rPr>
          <w:sz w:val="22"/>
          <w:szCs w:val="22"/>
          <w:lang w:val="en-GB"/>
        </w:rPr>
        <w:t>to the National Info Points, Joint Monitoring Committee</w:t>
      </w:r>
      <w:r w:rsidR="00420BF4" w:rsidRPr="007D0872">
        <w:rPr>
          <w:sz w:val="22"/>
          <w:szCs w:val="22"/>
          <w:lang w:val="en-GB"/>
        </w:rPr>
        <w:t xml:space="preserve"> members, </w:t>
      </w:r>
      <w:r w:rsidR="00916E1A" w:rsidRPr="007D0872">
        <w:rPr>
          <w:sz w:val="22"/>
          <w:szCs w:val="22"/>
          <w:lang w:val="en-GB"/>
        </w:rPr>
        <w:t>current beneficiaries and partners and potential applicants</w:t>
      </w:r>
      <w:r w:rsidR="00D166DB">
        <w:rPr>
          <w:sz w:val="22"/>
          <w:szCs w:val="22"/>
          <w:lang w:val="en-GB"/>
        </w:rPr>
        <w:t xml:space="preserve"> </w:t>
      </w:r>
      <w:r w:rsidR="00825A83">
        <w:rPr>
          <w:sz w:val="22"/>
          <w:szCs w:val="22"/>
          <w:lang w:val="en-GB"/>
        </w:rPr>
        <w:t>provided</w:t>
      </w:r>
      <w:r w:rsidR="00BF7D2D">
        <w:rPr>
          <w:sz w:val="22"/>
          <w:szCs w:val="22"/>
          <w:lang w:val="en-GB"/>
        </w:rPr>
        <w:t xml:space="preserve"> information on the relevance</w:t>
      </w:r>
      <w:r w:rsidR="00420BF4">
        <w:rPr>
          <w:sz w:val="22"/>
          <w:szCs w:val="22"/>
          <w:lang w:val="en-GB"/>
        </w:rPr>
        <w:t xml:space="preserve"> of the current programme strategy and </w:t>
      </w:r>
      <w:r w:rsidR="00BF7D2D">
        <w:rPr>
          <w:sz w:val="22"/>
          <w:szCs w:val="22"/>
          <w:lang w:val="en-GB"/>
        </w:rPr>
        <w:t xml:space="preserve">of </w:t>
      </w:r>
      <w:r w:rsidR="00420BF4">
        <w:rPr>
          <w:sz w:val="22"/>
          <w:szCs w:val="22"/>
          <w:lang w:val="en-GB"/>
        </w:rPr>
        <w:t>further fields of interest</w:t>
      </w:r>
      <w:r w:rsidR="00C81E6D">
        <w:rPr>
          <w:sz w:val="22"/>
          <w:szCs w:val="22"/>
          <w:lang w:val="en-GB"/>
        </w:rPr>
        <w:t xml:space="preserve"> for </w:t>
      </w:r>
      <w:r w:rsidR="00C327AE">
        <w:rPr>
          <w:sz w:val="22"/>
          <w:szCs w:val="22"/>
          <w:lang w:val="en-GB"/>
        </w:rPr>
        <w:t xml:space="preserve">cross-border </w:t>
      </w:r>
      <w:r w:rsidR="00C81E6D">
        <w:rPr>
          <w:sz w:val="22"/>
          <w:szCs w:val="22"/>
          <w:lang w:val="en-GB"/>
        </w:rPr>
        <w:t>cooperation</w:t>
      </w:r>
      <w:r w:rsidR="00420BF4">
        <w:rPr>
          <w:sz w:val="22"/>
          <w:szCs w:val="22"/>
          <w:lang w:val="en-GB"/>
        </w:rPr>
        <w:t>.</w:t>
      </w:r>
    </w:p>
    <w:p w14:paraId="264500E9" w14:textId="77777777" w:rsidR="00657E63" w:rsidRPr="00657E63" w:rsidRDefault="00892485" w:rsidP="00657E63">
      <w:pPr>
        <w:spacing w:before="120" w:after="0" w:line="240" w:lineRule="auto"/>
        <w:jc w:val="both"/>
        <w:rPr>
          <w:sz w:val="22"/>
          <w:szCs w:val="22"/>
          <w:lang w:val="en-GB"/>
        </w:rPr>
      </w:pPr>
      <w:r w:rsidRPr="009D6FBE">
        <w:rPr>
          <w:b/>
          <w:sz w:val="22"/>
          <w:szCs w:val="22"/>
          <w:lang w:val="en-GB"/>
        </w:rPr>
        <w:t>The outcomes of past experience analysis were combined with the results of the SWOT analysis</w:t>
      </w:r>
      <w:r w:rsidR="003477F9">
        <w:rPr>
          <w:rStyle w:val="FootnoteReference"/>
          <w:b/>
          <w:sz w:val="22"/>
          <w:szCs w:val="22"/>
          <w:lang w:val="en-GB"/>
        </w:rPr>
        <w:footnoteReference w:id="53"/>
      </w:r>
      <w:r w:rsidRPr="009D6FBE">
        <w:rPr>
          <w:b/>
          <w:sz w:val="22"/>
          <w:szCs w:val="22"/>
          <w:lang w:val="en-GB"/>
        </w:rPr>
        <w:t xml:space="preserve"> and compared </w:t>
      </w:r>
      <w:r w:rsidR="00825A83">
        <w:rPr>
          <w:b/>
          <w:sz w:val="22"/>
          <w:szCs w:val="22"/>
          <w:lang w:val="en-GB"/>
        </w:rPr>
        <w:t>with</w:t>
      </w:r>
      <w:r w:rsidR="00825A83" w:rsidRPr="009D6FBE">
        <w:rPr>
          <w:b/>
          <w:sz w:val="22"/>
          <w:szCs w:val="22"/>
          <w:lang w:val="en-GB"/>
        </w:rPr>
        <w:t xml:space="preserve"> </w:t>
      </w:r>
      <w:r w:rsidR="005E2AB9">
        <w:rPr>
          <w:b/>
          <w:sz w:val="22"/>
          <w:szCs w:val="22"/>
          <w:lang w:val="en-GB"/>
        </w:rPr>
        <w:t xml:space="preserve">the list of ENI </w:t>
      </w:r>
      <w:r w:rsidRPr="009D6FBE">
        <w:rPr>
          <w:b/>
          <w:sz w:val="22"/>
          <w:szCs w:val="22"/>
          <w:lang w:val="en-GB"/>
        </w:rPr>
        <w:t>CBC thematic objectives and indicative priorities</w:t>
      </w:r>
      <w:r w:rsidR="00A5047C">
        <w:rPr>
          <w:rStyle w:val="FootnoteReference"/>
          <w:b/>
          <w:sz w:val="22"/>
          <w:szCs w:val="22"/>
          <w:lang w:val="en-GB"/>
        </w:rPr>
        <w:footnoteReference w:id="54"/>
      </w:r>
      <w:r w:rsidR="009D6FBE">
        <w:rPr>
          <w:b/>
          <w:sz w:val="22"/>
          <w:szCs w:val="22"/>
          <w:lang w:val="en-GB"/>
        </w:rPr>
        <w:t xml:space="preserve"> </w:t>
      </w:r>
      <w:r w:rsidR="00657E63">
        <w:rPr>
          <w:sz w:val="22"/>
          <w:szCs w:val="22"/>
          <w:lang w:val="en-GB"/>
        </w:rPr>
        <w:t xml:space="preserve">- </w:t>
      </w:r>
      <w:r w:rsidR="009D6FBE" w:rsidRPr="00C429DD">
        <w:rPr>
          <w:sz w:val="22"/>
          <w:szCs w:val="22"/>
          <w:lang w:val="en-GB"/>
        </w:rPr>
        <w:t>see table below</w:t>
      </w:r>
      <w:r w:rsidR="008A1E8B">
        <w:rPr>
          <w:sz w:val="22"/>
          <w:szCs w:val="22"/>
          <w:lang w:val="en-GB"/>
        </w:rPr>
        <w:t>.</w:t>
      </w:r>
      <w:r w:rsidR="00657E63" w:rsidRPr="00657E63">
        <w:rPr>
          <w:rFonts w:eastAsia="Times New Roman" w:cs="Times New Roman"/>
          <w:color w:val="000000"/>
          <w:sz w:val="22"/>
          <w:szCs w:val="22"/>
          <w:lang w:val="en-GB"/>
        </w:rPr>
        <w:t xml:space="preserve"> </w:t>
      </w:r>
      <w:r w:rsidR="008A1E8B">
        <w:rPr>
          <w:rFonts w:eastAsia="Times New Roman" w:cs="Times New Roman"/>
          <w:color w:val="000000"/>
          <w:sz w:val="22"/>
          <w:szCs w:val="22"/>
          <w:lang w:val="en-GB"/>
        </w:rPr>
        <w:t>I</w:t>
      </w:r>
      <w:r w:rsidR="00657E63" w:rsidRPr="00657E63">
        <w:rPr>
          <w:rFonts w:eastAsia="Times New Roman" w:cs="Times New Roman"/>
          <w:color w:val="000000"/>
          <w:sz w:val="22"/>
          <w:szCs w:val="22"/>
          <w:lang w:val="en-GB"/>
        </w:rPr>
        <w:t>ndicative priorities justified by at least two analyses, including strongly by one are highlighted in light green</w:t>
      </w:r>
      <w:r w:rsidR="008A1E8B">
        <w:rPr>
          <w:rFonts w:eastAsia="Times New Roman" w:cs="Times New Roman"/>
          <w:color w:val="000000"/>
          <w:sz w:val="22"/>
          <w:szCs w:val="22"/>
          <w:lang w:val="en-GB"/>
        </w:rPr>
        <w:t>.</w:t>
      </w:r>
      <w:r w:rsidR="00657E63" w:rsidRPr="00657E63">
        <w:rPr>
          <w:rFonts w:eastAsia="Times New Roman" w:cs="Times New Roman"/>
          <w:color w:val="000000"/>
          <w:sz w:val="22"/>
          <w:szCs w:val="22"/>
          <w:lang w:val="en-GB"/>
        </w:rPr>
        <w:t xml:space="preserve"> </w:t>
      </w:r>
      <w:r w:rsidR="008A1E8B">
        <w:rPr>
          <w:rFonts w:eastAsia="Times New Roman" w:cs="Times New Roman"/>
          <w:color w:val="000000"/>
          <w:sz w:val="22"/>
          <w:szCs w:val="22"/>
          <w:lang w:val="en-GB"/>
        </w:rPr>
        <w:t>W</w:t>
      </w:r>
      <w:r w:rsidR="00657E63" w:rsidRPr="00657E63">
        <w:rPr>
          <w:rFonts w:eastAsia="Times New Roman" w:cs="Times New Roman"/>
          <w:color w:val="000000"/>
          <w:sz w:val="22"/>
          <w:szCs w:val="22"/>
          <w:lang w:val="en-GB"/>
        </w:rPr>
        <w:t xml:space="preserve">hen strongly justified by at least two analyses, priorities are highlighted in dark green. </w:t>
      </w:r>
    </w:p>
    <w:p w14:paraId="4040A371" w14:textId="77777777" w:rsidR="005E22F7" w:rsidRPr="00541CA7" w:rsidRDefault="005E22F7" w:rsidP="002C01EA">
      <w:pPr>
        <w:spacing w:before="120" w:after="0" w:line="252" w:lineRule="auto"/>
        <w:jc w:val="both"/>
        <w:rPr>
          <w:sz w:val="6"/>
          <w:szCs w:val="6"/>
          <w:lang w:val="en-GB"/>
        </w:rPr>
      </w:pPr>
    </w:p>
    <w:tbl>
      <w:tblPr>
        <w:tblW w:w="10930" w:type="dxa"/>
        <w:tblInd w:w="55" w:type="dxa"/>
        <w:tblLayout w:type="fixed"/>
        <w:tblCellMar>
          <w:left w:w="70" w:type="dxa"/>
          <w:right w:w="70" w:type="dxa"/>
        </w:tblCellMar>
        <w:tblLook w:val="04A0" w:firstRow="1" w:lastRow="0" w:firstColumn="1" w:lastColumn="0" w:noHBand="0" w:noVBand="1"/>
      </w:tblPr>
      <w:tblGrid>
        <w:gridCol w:w="3134"/>
        <w:gridCol w:w="7796"/>
      </w:tblGrid>
      <w:tr w:rsidR="00EE4813" w:rsidRPr="00EE4813" w14:paraId="44AFC89A" w14:textId="77777777" w:rsidTr="008C2056">
        <w:trPr>
          <w:trHeight w:val="320"/>
        </w:trPr>
        <w:tc>
          <w:tcPr>
            <w:tcW w:w="3134" w:type="dxa"/>
            <w:tcBorders>
              <w:top w:val="single" w:sz="4" w:space="0" w:color="auto"/>
              <w:left w:val="single" w:sz="4" w:space="0" w:color="4F81BD"/>
              <w:bottom w:val="nil"/>
              <w:right w:val="nil"/>
            </w:tcBorders>
            <w:shd w:val="clear" w:color="4F81BD" w:fill="4F81BD"/>
            <w:noWrap/>
            <w:vAlign w:val="bottom"/>
            <w:hideMark/>
          </w:tcPr>
          <w:p w14:paraId="0ACAF3C1" w14:textId="77777777" w:rsidR="00EE4813" w:rsidRPr="00EE4813" w:rsidRDefault="00EE4813" w:rsidP="00205FC0">
            <w:pPr>
              <w:spacing w:after="0" w:line="240" w:lineRule="auto"/>
              <w:rPr>
                <w:rFonts w:ascii="Calibri" w:eastAsia="Times New Roman" w:hAnsi="Calibri" w:cs="Times New Roman"/>
                <w:b/>
                <w:bCs/>
                <w:color w:val="FFFFFF"/>
                <w:sz w:val="20"/>
                <w:szCs w:val="20"/>
              </w:rPr>
            </w:pPr>
            <w:proofErr w:type="spellStart"/>
            <w:r w:rsidRPr="00EE4813">
              <w:rPr>
                <w:rFonts w:ascii="Calibri" w:eastAsia="Times New Roman" w:hAnsi="Calibri" w:cs="Times New Roman"/>
                <w:b/>
                <w:bCs/>
                <w:color w:val="FFFFFF"/>
                <w:sz w:val="20"/>
                <w:szCs w:val="20"/>
              </w:rPr>
              <w:t>Thematic</w:t>
            </w:r>
            <w:proofErr w:type="spellEnd"/>
            <w:r w:rsidRPr="00EE4813">
              <w:rPr>
                <w:rFonts w:ascii="Calibri" w:eastAsia="Times New Roman" w:hAnsi="Calibri" w:cs="Times New Roman"/>
                <w:b/>
                <w:bCs/>
                <w:color w:val="FFFFFF"/>
                <w:sz w:val="20"/>
                <w:szCs w:val="20"/>
              </w:rPr>
              <w:t xml:space="preserve"> Objectives</w:t>
            </w:r>
          </w:p>
        </w:tc>
        <w:tc>
          <w:tcPr>
            <w:tcW w:w="7796" w:type="dxa"/>
            <w:tcBorders>
              <w:top w:val="single" w:sz="4" w:space="0" w:color="auto"/>
              <w:left w:val="nil"/>
              <w:bottom w:val="nil"/>
              <w:right w:val="single" w:sz="4" w:space="0" w:color="4F81BD"/>
            </w:tcBorders>
            <w:shd w:val="clear" w:color="4F81BD" w:fill="4F81BD"/>
            <w:noWrap/>
            <w:vAlign w:val="bottom"/>
            <w:hideMark/>
          </w:tcPr>
          <w:p w14:paraId="26F5F474" w14:textId="77777777" w:rsidR="00EE4813" w:rsidRPr="00EE4813" w:rsidRDefault="00EE4813" w:rsidP="00205FC0">
            <w:pPr>
              <w:spacing w:after="0" w:line="240" w:lineRule="auto"/>
              <w:rPr>
                <w:rFonts w:ascii="Calibri" w:eastAsia="Times New Roman" w:hAnsi="Calibri" w:cs="Times New Roman"/>
                <w:b/>
                <w:bCs/>
                <w:color w:val="FFFFFF"/>
                <w:sz w:val="20"/>
                <w:szCs w:val="20"/>
              </w:rPr>
            </w:pPr>
            <w:r w:rsidRPr="00EE4813">
              <w:rPr>
                <w:rFonts w:ascii="Calibri" w:eastAsia="Times New Roman" w:hAnsi="Calibri" w:cs="Times New Roman"/>
                <w:b/>
                <w:bCs/>
                <w:color w:val="FFFFFF"/>
                <w:sz w:val="20"/>
                <w:szCs w:val="20"/>
              </w:rPr>
              <w:t xml:space="preserve">Indicative </w:t>
            </w:r>
            <w:proofErr w:type="spellStart"/>
            <w:r w:rsidRPr="00EE4813">
              <w:rPr>
                <w:rFonts w:ascii="Calibri" w:eastAsia="Times New Roman" w:hAnsi="Calibri" w:cs="Times New Roman"/>
                <w:b/>
                <w:bCs/>
                <w:color w:val="FFFFFF"/>
                <w:sz w:val="20"/>
                <w:szCs w:val="20"/>
              </w:rPr>
              <w:t>priorities</w:t>
            </w:r>
            <w:proofErr w:type="spellEnd"/>
          </w:p>
        </w:tc>
      </w:tr>
      <w:tr w:rsidR="00EE4813" w:rsidRPr="00B71347" w14:paraId="6F77F43D" w14:textId="77777777" w:rsidTr="00825A83">
        <w:trPr>
          <w:trHeight w:val="219"/>
        </w:trPr>
        <w:tc>
          <w:tcPr>
            <w:tcW w:w="3134" w:type="dxa"/>
            <w:vMerge w:val="restart"/>
            <w:tcBorders>
              <w:top w:val="single" w:sz="8" w:space="0" w:color="auto"/>
              <w:left w:val="single" w:sz="8" w:space="0" w:color="auto"/>
              <w:right w:val="single" w:sz="4" w:space="0" w:color="auto"/>
            </w:tcBorders>
            <w:shd w:val="clear" w:color="auto" w:fill="auto"/>
            <w:vAlign w:val="center"/>
            <w:hideMark/>
          </w:tcPr>
          <w:p w14:paraId="26AF9A35" w14:textId="77777777" w:rsidR="00EE4813" w:rsidRPr="00D43759" w:rsidRDefault="00EE4813" w:rsidP="00825A83">
            <w:pPr>
              <w:spacing w:after="0" w:line="240" w:lineRule="auto"/>
              <w:rPr>
                <w:rFonts w:ascii="Calibri" w:eastAsia="Times New Roman" w:hAnsi="Calibri" w:cs="Times New Roman"/>
                <w:sz w:val="20"/>
                <w:szCs w:val="20"/>
              </w:rPr>
            </w:pPr>
            <w:r w:rsidRPr="00D43759">
              <w:rPr>
                <w:rFonts w:ascii="Calibri" w:eastAsia="Times New Roman" w:hAnsi="Calibri" w:cs="Times New Roman"/>
                <w:sz w:val="20"/>
                <w:szCs w:val="20"/>
              </w:rPr>
              <w:t xml:space="preserve">1. Business and SME </w:t>
            </w:r>
            <w:proofErr w:type="spellStart"/>
            <w:r w:rsidRPr="00D43759">
              <w:rPr>
                <w:rFonts w:ascii="Calibri" w:eastAsia="Times New Roman" w:hAnsi="Calibri" w:cs="Times New Roman"/>
                <w:sz w:val="20"/>
                <w:szCs w:val="20"/>
              </w:rPr>
              <w:t>development</w:t>
            </w:r>
            <w:proofErr w:type="spellEnd"/>
            <w:r w:rsidRPr="00D43759">
              <w:rPr>
                <w:rFonts w:ascii="Calibri" w:eastAsia="Times New Roman" w:hAnsi="Calibri" w:cs="Times New Roman"/>
                <w:sz w:val="20"/>
                <w:szCs w:val="20"/>
              </w:rPr>
              <w:t xml:space="preserve"> </w:t>
            </w:r>
          </w:p>
        </w:tc>
        <w:tc>
          <w:tcPr>
            <w:tcW w:w="7796" w:type="dxa"/>
            <w:tcBorders>
              <w:top w:val="single" w:sz="8" w:space="0" w:color="auto"/>
              <w:left w:val="nil"/>
              <w:bottom w:val="single" w:sz="4" w:space="0" w:color="auto"/>
              <w:right w:val="single" w:sz="8" w:space="0" w:color="auto"/>
            </w:tcBorders>
            <w:shd w:val="clear" w:color="auto" w:fill="auto"/>
            <w:vAlign w:val="bottom"/>
            <w:hideMark/>
          </w:tcPr>
          <w:p w14:paraId="39BBAA10"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Fostering cooperation between public and private sector</w:t>
            </w:r>
          </w:p>
        </w:tc>
      </w:tr>
      <w:tr w:rsidR="00EE4813" w:rsidRPr="00EE4813" w14:paraId="271B8770" w14:textId="77777777" w:rsidTr="008C2056">
        <w:trPr>
          <w:trHeight w:val="191"/>
        </w:trPr>
        <w:tc>
          <w:tcPr>
            <w:tcW w:w="3134" w:type="dxa"/>
            <w:vMerge/>
            <w:tcBorders>
              <w:left w:val="single" w:sz="8" w:space="0" w:color="auto"/>
              <w:right w:val="single" w:sz="4" w:space="0" w:color="auto"/>
            </w:tcBorders>
            <w:shd w:val="clear" w:color="auto" w:fill="auto"/>
            <w:vAlign w:val="bottom"/>
            <w:hideMark/>
          </w:tcPr>
          <w:p w14:paraId="67E1AC7D"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nil"/>
              <w:left w:val="nil"/>
              <w:bottom w:val="single" w:sz="4" w:space="0" w:color="auto"/>
              <w:right w:val="single" w:sz="8" w:space="0" w:color="auto"/>
            </w:tcBorders>
            <w:shd w:val="clear" w:color="auto" w:fill="auto"/>
            <w:vAlign w:val="bottom"/>
            <w:hideMark/>
          </w:tcPr>
          <w:p w14:paraId="57A319A4" w14:textId="77777777" w:rsidR="00EE4813" w:rsidRPr="008C2056" w:rsidRDefault="00EE4813" w:rsidP="00205FC0">
            <w:pPr>
              <w:spacing w:after="0" w:line="200" w:lineRule="atLeast"/>
              <w:rPr>
                <w:rFonts w:ascii="Calibri" w:eastAsia="Times New Roman" w:hAnsi="Calibri" w:cs="Times New Roman"/>
                <w:color w:val="000000"/>
                <w:sz w:val="18"/>
                <w:szCs w:val="18"/>
              </w:rPr>
            </w:pPr>
            <w:proofErr w:type="spellStart"/>
            <w:r w:rsidRPr="008C2056">
              <w:rPr>
                <w:rFonts w:ascii="Calibri" w:eastAsia="Times New Roman" w:hAnsi="Calibri" w:cs="Times New Roman"/>
                <w:color w:val="000000"/>
                <w:sz w:val="18"/>
                <w:szCs w:val="18"/>
              </w:rPr>
              <w:t>Strenghtening</w:t>
            </w:r>
            <w:proofErr w:type="spellEnd"/>
            <w:r w:rsidRPr="008C2056">
              <w:rPr>
                <w:rFonts w:ascii="Calibri" w:eastAsia="Times New Roman" w:hAnsi="Calibri" w:cs="Times New Roman"/>
                <w:color w:val="000000"/>
                <w:sz w:val="18"/>
                <w:szCs w:val="18"/>
              </w:rPr>
              <w:t xml:space="preserve"> </w:t>
            </w:r>
            <w:proofErr w:type="spellStart"/>
            <w:r w:rsidRPr="008C2056">
              <w:rPr>
                <w:rFonts w:ascii="Calibri" w:eastAsia="Times New Roman" w:hAnsi="Calibri" w:cs="Times New Roman"/>
                <w:color w:val="000000"/>
                <w:sz w:val="18"/>
                <w:szCs w:val="18"/>
              </w:rPr>
              <w:t>economic</w:t>
            </w:r>
            <w:proofErr w:type="spellEnd"/>
            <w:r w:rsidRPr="008C2056">
              <w:rPr>
                <w:rFonts w:ascii="Calibri" w:eastAsia="Times New Roman" w:hAnsi="Calibri" w:cs="Times New Roman"/>
                <w:color w:val="000000"/>
                <w:sz w:val="18"/>
                <w:szCs w:val="18"/>
              </w:rPr>
              <w:t xml:space="preserve"> clusters</w:t>
            </w:r>
          </w:p>
        </w:tc>
      </w:tr>
      <w:tr w:rsidR="00EE4813" w:rsidRPr="00EE4813" w14:paraId="76C45D46" w14:textId="77777777" w:rsidTr="008C2056">
        <w:trPr>
          <w:trHeight w:val="192"/>
        </w:trPr>
        <w:tc>
          <w:tcPr>
            <w:tcW w:w="3134" w:type="dxa"/>
            <w:vMerge/>
            <w:tcBorders>
              <w:left w:val="single" w:sz="8" w:space="0" w:color="auto"/>
              <w:right w:val="single" w:sz="4" w:space="0" w:color="auto"/>
            </w:tcBorders>
            <w:shd w:val="clear" w:color="auto" w:fill="auto"/>
            <w:vAlign w:val="bottom"/>
            <w:hideMark/>
          </w:tcPr>
          <w:p w14:paraId="6627ABE0"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nil"/>
              <w:left w:val="nil"/>
              <w:bottom w:val="single" w:sz="4" w:space="0" w:color="auto"/>
              <w:right w:val="single" w:sz="8" w:space="0" w:color="auto"/>
            </w:tcBorders>
            <w:shd w:val="clear" w:color="auto" w:fill="auto"/>
            <w:vAlign w:val="bottom"/>
            <w:hideMark/>
          </w:tcPr>
          <w:p w14:paraId="1AF9A890" w14:textId="77777777" w:rsidR="00EE4813" w:rsidRPr="008C2056" w:rsidRDefault="00EE4813" w:rsidP="00205FC0">
            <w:pPr>
              <w:spacing w:after="0" w:line="200" w:lineRule="atLeast"/>
              <w:rPr>
                <w:rFonts w:ascii="Calibri" w:eastAsia="Times New Roman" w:hAnsi="Calibri" w:cs="Times New Roman"/>
                <w:color w:val="000000"/>
                <w:sz w:val="18"/>
                <w:szCs w:val="18"/>
              </w:rPr>
            </w:pPr>
            <w:proofErr w:type="spellStart"/>
            <w:r w:rsidRPr="008C2056">
              <w:rPr>
                <w:rFonts w:ascii="Calibri" w:eastAsia="Times New Roman" w:hAnsi="Calibri" w:cs="Times New Roman"/>
                <w:color w:val="000000"/>
                <w:sz w:val="18"/>
                <w:szCs w:val="18"/>
              </w:rPr>
              <w:t>Enhancement</w:t>
            </w:r>
            <w:proofErr w:type="spellEnd"/>
            <w:r w:rsidRPr="008C2056">
              <w:rPr>
                <w:rFonts w:ascii="Calibri" w:eastAsia="Times New Roman" w:hAnsi="Calibri" w:cs="Times New Roman"/>
                <w:color w:val="000000"/>
                <w:sz w:val="18"/>
                <w:szCs w:val="18"/>
              </w:rPr>
              <w:t xml:space="preserve"> of </w:t>
            </w:r>
            <w:proofErr w:type="spellStart"/>
            <w:r w:rsidRPr="008C2056">
              <w:rPr>
                <w:rFonts w:ascii="Calibri" w:eastAsia="Times New Roman" w:hAnsi="Calibri" w:cs="Times New Roman"/>
                <w:color w:val="000000"/>
                <w:sz w:val="18"/>
                <w:szCs w:val="18"/>
              </w:rPr>
              <w:t>competitiveness</w:t>
            </w:r>
            <w:proofErr w:type="spellEnd"/>
          </w:p>
        </w:tc>
      </w:tr>
      <w:tr w:rsidR="00EE4813" w:rsidRPr="00B71347" w14:paraId="1384BECA" w14:textId="77777777" w:rsidTr="008C2056">
        <w:trPr>
          <w:trHeight w:val="110"/>
        </w:trPr>
        <w:tc>
          <w:tcPr>
            <w:tcW w:w="3134" w:type="dxa"/>
            <w:vMerge/>
            <w:tcBorders>
              <w:left w:val="single" w:sz="8" w:space="0" w:color="auto"/>
              <w:right w:val="single" w:sz="4" w:space="0" w:color="auto"/>
            </w:tcBorders>
            <w:shd w:val="clear" w:color="auto" w:fill="auto"/>
            <w:vAlign w:val="bottom"/>
            <w:hideMark/>
          </w:tcPr>
          <w:p w14:paraId="663B32C6"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single" w:sz="4" w:space="0" w:color="auto"/>
              <w:left w:val="single" w:sz="4" w:space="0" w:color="auto"/>
              <w:bottom w:val="single" w:sz="4" w:space="0" w:color="auto"/>
              <w:right w:val="single" w:sz="8" w:space="0" w:color="auto"/>
            </w:tcBorders>
            <w:shd w:val="clear" w:color="000000" w:fill="9BBB59"/>
            <w:vAlign w:val="bottom"/>
            <w:hideMark/>
          </w:tcPr>
          <w:p w14:paraId="0817C8F3"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Promotion of and support to entrepreneurship</w:t>
            </w:r>
          </w:p>
        </w:tc>
      </w:tr>
      <w:tr w:rsidR="00EE4813" w:rsidRPr="00B71347" w14:paraId="499DBD83" w14:textId="77777777" w:rsidTr="008C2056">
        <w:trPr>
          <w:trHeight w:val="260"/>
        </w:trPr>
        <w:tc>
          <w:tcPr>
            <w:tcW w:w="3134" w:type="dxa"/>
            <w:vMerge/>
            <w:tcBorders>
              <w:left w:val="single" w:sz="8" w:space="0" w:color="auto"/>
              <w:bottom w:val="double" w:sz="6" w:space="0" w:color="auto"/>
              <w:right w:val="single" w:sz="4" w:space="0" w:color="auto"/>
            </w:tcBorders>
            <w:shd w:val="clear" w:color="auto" w:fill="auto"/>
            <w:vAlign w:val="bottom"/>
            <w:hideMark/>
          </w:tcPr>
          <w:p w14:paraId="6697FACF"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double" w:sz="6" w:space="0" w:color="auto"/>
              <w:right w:val="single" w:sz="8" w:space="0" w:color="auto"/>
            </w:tcBorders>
            <w:shd w:val="clear" w:color="000000" w:fill="9BBB59"/>
            <w:vAlign w:val="bottom"/>
            <w:hideMark/>
          </w:tcPr>
          <w:p w14:paraId="6F7DD693"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the development and modernisation of businesses in specific sectors (</w:t>
            </w:r>
            <w:proofErr w:type="spellStart"/>
            <w:r w:rsidRPr="004408A1">
              <w:rPr>
                <w:rFonts w:ascii="Calibri" w:eastAsia="Times New Roman" w:hAnsi="Calibri" w:cs="Times New Roman"/>
                <w:sz w:val="18"/>
                <w:szCs w:val="18"/>
                <w:lang w:val="en-GB"/>
              </w:rPr>
              <w:t>eg</w:t>
            </w:r>
            <w:proofErr w:type="spellEnd"/>
            <w:r w:rsidRPr="004408A1">
              <w:rPr>
                <w:rFonts w:ascii="Calibri" w:eastAsia="Times New Roman" w:hAnsi="Calibri" w:cs="Times New Roman"/>
                <w:sz w:val="18"/>
                <w:szCs w:val="18"/>
                <w:lang w:val="en-GB"/>
              </w:rPr>
              <w:t xml:space="preserve"> tourism, agriculture)</w:t>
            </w:r>
          </w:p>
        </w:tc>
      </w:tr>
      <w:tr w:rsidR="00EE4813" w:rsidRPr="00B71347" w14:paraId="3578C39F" w14:textId="77777777" w:rsidTr="00394215">
        <w:trPr>
          <w:trHeight w:val="371"/>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437C2B06" w14:textId="77777777" w:rsidR="00EE4813"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2. Support to education, research, technological development and innovation </w:t>
            </w:r>
          </w:p>
        </w:tc>
        <w:tc>
          <w:tcPr>
            <w:tcW w:w="7796" w:type="dxa"/>
            <w:tcBorders>
              <w:top w:val="single" w:sz="4" w:space="0" w:color="4F81BD"/>
              <w:left w:val="single" w:sz="4" w:space="0" w:color="auto"/>
              <w:bottom w:val="single" w:sz="4" w:space="0" w:color="auto"/>
              <w:right w:val="single" w:sz="8" w:space="0" w:color="auto"/>
            </w:tcBorders>
            <w:shd w:val="clear" w:color="auto" w:fill="auto"/>
            <w:vAlign w:val="bottom"/>
            <w:hideMark/>
          </w:tcPr>
          <w:p w14:paraId="0D8B5641"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Fostering cooperation between businesses and training institutions for innovation and R&amp;D, joint educational planning</w:t>
            </w:r>
          </w:p>
        </w:tc>
      </w:tr>
      <w:tr w:rsidR="00EE4813" w:rsidRPr="00B71347" w14:paraId="15F576AF" w14:textId="77777777" w:rsidTr="008C2056">
        <w:trPr>
          <w:trHeight w:val="215"/>
        </w:trPr>
        <w:tc>
          <w:tcPr>
            <w:tcW w:w="3134" w:type="dxa"/>
            <w:vMerge/>
            <w:tcBorders>
              <w:left w:val="single" w:sz="8" w:space="0" w:color="auto"/>
              <w:right w:val="single" w:sz="4" w:space="0" w:color="auto"/>
            </w:tcBorders>
            <w:shd w:val="clear" w:color="auto" w:fill="auto"/>
            <w:vAlign w:val="bottom"/>
            <w:hideMark/>
          </w:tcPr>
          <w:p w14:paraId="74F57397"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076056FA"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Promotion of skills development and lifelong learning</w:t>
            </w:r>
          </w:p>
        </w:tc>
      </w:tr>
      <w:tr w:rsidR="00EE4813" w:rsidRPr="00B71347" w14:paraId="7D53CC03" w14:textId="77777777" w:rsidTr="008C2056">
        <w:trPr>
          <w:trHeight w:val="190"/>
        </w:trPr>
        <w:tc>
          <w:tcPr>
            <w:tcW w:w="3134" w:type="dxa"/>
            <w:vMerge/>
            <w:tcBorders>
              <w:left w:val="single" w:sz="8" w:space="0" w:color="auto"/>
              <w:right w:val="single" w:sz="4" w:space="0" w:color="auto"/>
            </w:tcBorders>
            <w:shd w:val="clear" w:color="auto" w:fill="auto"/>
            <w:vAlign w:val="bottom"/>
            <w:hideMark/>
          </w:tcPr>
          <w:p w14:paraId="04D6E474"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nil"/>
              <w:left w:val="nil"/>
              <w:bottom w:val="single" w:sz="4" w:space="0" w:color="auto"/>
              <w:right w:val="single" w:sz="8" w:space="0" w:color="auto"/>
            </w:tcBorders>
            <w:shd w:val="clear" w:color="auto" w:fill="auto"/>
            <w:vAlign w:val="bottom"/>
            <w:hideMark/>
          </w:tcPr>
          <w:p w14:paraId="4306F78E"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Supporting local cooperation in education</w:t>
            </w:r>
          </w:p>
        </w:tc>
      </w:tr>
      <w:tr w:rsidR="00EE4813" w:rsidRPr="00B71347" w14:paraId="4496F532" w14:textId="77777777" w:rsidTr="008C2056">
        <w:trPr>
          <w:trHeight w:val="236"/>
        </w:trPr>
        <w:tc>
          <w:tcPr>
            <w:tcW w:w="3134" w:type="dxa"/>
            <w:vMerge/>
            <w:tcBorders>
              <w:left w:val="single" w:sz="8" w:space="0" w:color="auto"/>
              <w:bottom w:val="double" w:sz="6" w:space="0" w:color="auto"/>
              <w:right w:val="single" w:sz="4" w:space="0" w:color="auto"/>
            </w:tcBorders>
            <w:shd w:val="clear" w:color="auto" w:fill="auto"/>
            <w:vAlign w:val="bottom"/>
            <w:hideMark/>
          </w:tcPr>
          <w:p w14:paraId="12C68F98"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double" w:sz="6" w:space="0" w:color="auto"/>
              <w:right w:val="single" w:sz="8" w:space="0" w:color="auto"/>
            </w:tcBorders>
            <w:shd w:val="clear" w:color="000000" w:fill="9BBB59"/>
            <w:vAlign w:val="bottom"/>
            <w:hideMark/>
          </w:tcPr>
          <w:p w14:paraId="667F8179"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Promotion of and support to research and innovation</w:t>
            </w:r>
          </w:p>
        </w:tc>
      </w:tr>
      <w:tr w:rsidR="00EE4813" w:rsidRPr="00B71347" w14:paraId="289D946F" w14:textId="77777777" w:rsidTr="00394215">
        <w:trPr>
          <w:trHeight w:val="185"/>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6E494AC4" w14:textId="77777777" w:rsidR="00EE4813"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3. Promotion of local culture and preservation of historical heritage </w:t>
            </w:r>
          </w:p>
        </w:tc>
        <w:tc>
          <w:tcPr>
            <w:tcW w:w="7796" w:type="dxa"/>
            <w:tcBorders>
              <w:top w:val="single" w:sz="4" w:space="0" w:color="4F81BD"/>
              <w:left w:val="single" w:sz="4" w:space="0" w:color="auto"/>
              <w:bottom w:val="single" w:sz="4" w:space="0" w:color="auto"/>
              <w:right w:val="single" w:sz="8" w:space="0" w:color="auto"/>
            </w:tcBorders>
            <w:shd w:val="clear" w:color="000000" w:fill="9BBB59"/>
            <w:vAlign w:val="bottom"/>
            <w:hideMark/>
          </w:tcPr>
          <w:p w14:paraId="0CC6259C"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Promoting local culture and history</w:t>
            </w:r>
          </w:p>
        </w:tc>
      </w:tr>
      <w:tr w:rsidR="00EE4813" w:rsidRPr="00B71347" w14:paraId="58686EB5" w14:textId="77777777" w:rsidTr="008C2056">
        <w:trPr>
          <w:trHeight w:val="226"/>
        </w:trPr>
        <w:tc>
          <w:tcPr>
            <w:tcW w:w="3134" w:type="dxa"/>
            <w:vMerge/>
            <w:tcBorders>
              <w:left w:val="single" w:sz="8" w:space="0" w:color="auto"/>
              <w:bottom w:val="double" w:sz="6" w:space="0" w:color="auto"/>
              <w:right w:val="single" w:sz="4" w:space="0" w:color="auto"/>
            </w:tcBorders>
            <w:shd w:val="clear" w:color="auto" w:fill="auto"/>
            <w:vAlign w:val="bottom"/>
            <w:hideMark/>
          </w:tcPr>
          <w:p w14:paraId="40543A18"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nil"/>
              <w:left w:val="nil"/>
              <w:bottom w:val="double" w:sz="6" w:space="0" w:color="auto"/>
              <w:right w:val="single" w:sz="8" w:space="0" w:color="auto"/>
            </w:tcBorders>
            <w:shd w:val="clear" w:color="auto" w:fill="auto"/>
            <w:vAlign w:val="bottom"/>
            <w:hideMark/>
          </w:tcPr>
          <w:p w14:paraId="7A458767"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Supporting traditional skills for local economic development</w:t>
            </w:r>
          </w:p>
        </w:tc>
      </w:tr>
      <w:tr w:rsidR="00EE4813" w:rsidRPr="00B71347" w14:paraId="28AB0878" w14:textId="77777777" w:rsidTr="00394215">
        <w:trPr>
          <w:trHeight w:val="207"/>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396BEBFF" w14:textId="77777777" w:rsidR="00EE4813"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4. Promotion of social inclusion and fight against poverty </w:t>
            </w:r>
          </w:p>
        </w:tc>
        <w:tc>
          <w:tcPr>
            <w:tcW w:w="7796" w:type="dxa"/>
            <w:tcBorders>
              <w:top w:val="single" w:sz="4" w:space="0" w:color="4F81BD"/>
              <w:left w:val="single" w:sz="4" w:space="0" w:color="auto"/>
              <w:bottom w:val="single" w:sz="4" w:space="0" w:color="auto"/>
              <w:right w:val="single" w:sz="8" w:space="0" w:color="auto"/>
            </w:tcBorders>
            <w:shd w:val="clear" w:color="000000" w:fill="9BBB59"/>
            <w:vAlign w:val="bottom"/>
            <w:hideMark/>
          </w:tcPr>
          <w:p w14:paraId="7C497218"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the development of social services</w:t>
            </w:r>
          </w:p>
        </w:tc>
      </w:tr>
      <w:tr w:rsidR="00EE4813" w:rsidRPr="00B71347" w14:paraId="16A6431C" w14:textId="77777777" w:rsidTr="002F7CE7">
        <w:trPr>
          <w:trHeight w:val="248"/>
        </w:trPr>
        <w:tc>
          <w:tcPr>
            <w:tcW w:w="3134" w:type="dxa"/>
            <w:vMerge/>
            <w:tcBorders>
              <w:left w:val="single" w:sz="8" w:space="0" w:color="auto"/>
              <w:right w:val="single" w:sz="4" w:space="0" w:color="auto"/>
            </w:tcBorders>
            <w:shd w:val="clear" w:color="auto" w:fill="auto"/>
            <w:vAlign w:val="bottom"/>
            <w:hideMark/>
          </w:tcPr>
          <w:p w14:paraId="44709FE9"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9BBB59"/>
            <w:vAlign w:val="bottom"/>
            <w:hideMark/>
          </w:tcPr>
          <w:p w14:paraId="2FB38FF4"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Enhancing the access to social services</w:t>
            </w:r>
          </w:p>
        </w:tc>
      </w:tr>
      <w:tr w:rsidR="00EE4813" w:rsidRPr="00B71347" w14:paraId="07E7DFA2" w14:textId="77777777" w:rsidTr="002F7CE7">
        <w:trPr>
          <w:trHeight w:val="139"/>
        </w:trPr>
        <w:tc>
          <w:tcPr>
            <w:tcW w:w="3134" w:type="dxa"/>
            <w:vMerge/>
            <w:tcBorders>
              <w:left w:val="single" w:sz="8" w:space="0" w:color="auto"/>
              <w:right w:val="single" w:sz="4" w:space="0" w:color="auto"/>
            </w:tcBorders>
            <w:shd w:val="clear" w:color="auto" w:fill="auto"/>
            <w:vAlign w:val="bottom"/>
            <w:hideMark/>
          </w:tcPr>
          <w:p w14:paraId="036936E2"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766B27EE"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Promoting gender equality and equal opportunities</w:t>
            </w:r>
          </w:p>
        </w:tc>
      </w:tr>
      <w:tr w:rsidR="00EE4813" w:rsidRPr="00B71347" w14:paraId="6664E2E3" w14:textId="77777777" w:rsidTr="002F7CE7">
        <w:trPr>
          <w:trHeight w:val="212"/>
        </w:trPr>
        <w:tc>
          <w:tcPr>
            <w:tcW w:w="3134" w:type="dxa"/>
            <w:vMerge/>
            <w:tcBorders>
              <w:left w:val="single" w:sz="8" w:space="0" w:color="auto"/>
              <w:right w:val="single" w:sz="4" w:space="0" w:color="auto"/>
            </w:tcBorders>
            <w:shd w:val="clear" w:color="auto" w:fill="auto"/>
            <w:vAlign w:val="bottom"/>
            <w:hideMark/>
          </w:tcPr>
          <w:p w14:paraId="657AFB3A"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9BBB59"/>
            <w:vAlign w:val="bottom"/>
            <w:hideMark/>
          </w:tcPr>
          <w:p w14:paraId="3A04D4CF"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the integration of immigrants and vulnerable groups</w:t>
            </w:r>
          </w:p>
        </w:tc>
      </w:tr>
      <w:tr w:rsidR="00EE4813" w:rsidRPr="00B71347" w14:paraId="3A2ADA64" w14:textId="77777777" w:rsidTr="002F7CE7">
        <w:trPr>
          <w:trHeight w:val="258"/>
        </w:trPr>
        <w:tc>
          <w:tcPr>
            <w:tcW w:w="3134" w:type="dxa"/>
            <w:vMerge/>
            <w:tcBorders>
              <w:left w:val="single" w:sz="8" w:space="0" w:color="auto"/>
              <w:right w:val="single" w:sz="4" w:space="0" w:color="auto"/>
            </w:tcBorders>
            <w:shd w:val="clear" w:color="auto" w:fill="auto"/>
            <w:vAlign w:val="bottom"/>
            <w:hideMark/>
          </w:tcPr>
          <w:p w14:paraId="47610890"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70925DF1"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Promoting employment and supporting labour mobility</w:t>
            </w:r>
          </w:p>
        </w:tc>
      </w:tr>
      <w:tr w:rsidR="00EE4813" w:rsidRPr="00EE4813" w14:paraId="76BAA7B1" w14:textId="77777777" w:rsidTr="0080321C">
        <w:trPr>
          <w:trHeight w:val="290"/>
        </w:trPr>
        <w:tc>
          <w:tcPr>
            <w:tcW w:w="3134" w:type="dxa"/>
            <w:vMerge/>
            <w:tcBorders>
              <w:left w:val="single" w:sz="8" w:space="0" w:color="auto"/>
              <w:bottom w:val="double" w:sz="6" w:space="0" w:color="auto"/>
              <w:right w:val="single" w:sz="4" w:space="0" w:color="auto"/>
            </w:tcBorders>
            <w:shd w:val="clear" w:color="auto" w:fill="auto"/>
            <w:vAlign w:val="bottom"/>
            <w:hideMark/>
          </w:tcPr>
          <w:p w14:paraId="19090147"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double" w:sz="6" w:space="0" w:color="auto"/>
              <w:right w:val="single" w:sz="8" w:space="0" w:color="auto"/>
            </w:tcBorders>
            <w:shd w:val="clear" w:color="000000" w:fill="C4D79B"/>
            <w:vAlign w:val="bottom"/>
            <w:hideMark/>
          </w:tcPr>
          <w:p w14:paraId="0982B732" w14:textId="77777777" w:rsidR="00EE4813" w:rsidRPr="008C2056" w:rsidRDefault="00EE4813" w:rsidP="00205FC0">
            <w:pPr>
              <w:spacing w:after="0" w:line="200" w:lineRule="atLeast"/>
              <w:rPr>
                <w:rFonts w:ascii="Calibri" w:eastAsia="Times New Roman" w:hAnsi="Calibri" w:cs="Times New Roman"/>
                <w:sz w:val="18"/>
                <w:szCs w:val="18"/>
              </w:rPr>
            </w:pPr>
            <w:proofErr w:type="spellStart"/>
            <w:r w:rsidRPr="008C2056">
              <w:rPr>
                <w:rFonts w:ascii="Calibri" w:eastAsia="Times New Roman" w:hAnsi="Calibri" w:cs="Times New Roman"/>
                <w:sz w:val="18"/>
                <w:szCs w:val="18"/>
              </w:rPr>
              <w:t>Stimulate</w:t>
            </w:r>
            <w:proofErr w:type="spellEnd"/>
            <w:r w:rsidRPr="008C2056">
              <w:rPr>
                <w:rFonts w:ascii="Calibri" w:eastAsia="Times New Roman" w:hAnsi="Calibri" w:cs="Times New Roman"/>
                <w:sz w:val="18"/>
                <w:szCs w:val="18"/>
              </w:rPr>
              <w:t xml:space="preserve"> </w:t>
            </w:r>
            <w:proofErr w:type="spellStart"/>
            <w:r w:rsidRPr="008C2056">
              <w:rPr>
                <w:rFonts w:ascii="Calibri" w:eastAsia="Times New Roman" w:hAnsi="Calibri" w:cs="Times New Roman"/>
                <w:sz w:val="18"/>
                <w:szCs w:val="18"/>
              </w:rPr>
              <w:t>employment</w:t>
            </w:r>
            <w:proofErr w:type="spellEnd"/>
            <w:r w:rsidRPr="008C2056">
              <w:rPr>
                <w:rFonts w:ascii="Calibri" w:eastAsia="Times New Roman" w:hAnsi="Calibri" w:cs="Times New Roman"/>
                <w:sz w:val="18"/>
                <w:szCs w:val="18"/>
              </w:rPr>
              <w:t xml:space="preserve"> for </w:t>
            </w:r>
            <w:proofErr w:type="spellStart"/>
            <w:r w:rsidRPr="008C2056">
              <w:rPr>
                <w:rFonts w:ascii="Calibri" w:eastAsia="Times New Roman" w:hAnsi="Calibri" w:cs="Times New Roman"/>
                <w:sz w:val="18"/>
                <w:szCs w:val="18"/>
              </w:rPr>
              <w:t>youth</w:t>
            </w:r>
            <w:proofErr w:type="spellEnd"/>
          </w:p>
        </w:tc>
      </w:tr>
      <w:tr w:rsidR="00EE4813" w:rsidRPr="00B71347" w14:paraId="20320D7F" w14:textId="77777777" w:rsidTr="00394215">
        <w:trPr>
          <w:trHeight w:val="287"/>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71C029C8" w14:textId="77777777" w:rsidR="00EE4813"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5. Support to local and regional good governance </w:t>
            </w:r>
          </w:p>
        </w:tc>
        <w:tc>
          <w:tcPr>
            <w:tcW w:w="7796" w:type="dxa"/>
            <w:tcBorders>
              <w:top w:val="single" w:sz="4" w:space="0" w:color="4F81BD"/>
              <w:left w:val="single" w:sz="4" w:space="0" w:color="auto"/>
              <w:bottom w:val="single" w:sz="4" w:space="0" w:color="auto"/>
              <w:right w:val="single" w:sz="8" w:space="0" w:color="auto"/>
            </w:tcBorders>
            <w:shd w:val="clear" w:color="000000" w:fill="C4D79B"/>
            <w:vAlign w:val="bottom"/>
            <w:hideMark/>
          </w:tcPr>
          <w:p w14:paraId="740FE0DA"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Increasing capacity of local and regional authorities and communities</w:t>
            </w:r>
          </w:p>
        </w:tc>
      </w:tr>
      <w:tr w:rsidR="00EE4813" w:rsidRPr="00EE4813" w14:paraId="07C0542A" w14:textId="77777777" w:rsidTr="0080321C">
        <w:trPr>
          <w:trHeight w:val="214"/>
        </w:trPr>
        <w:tc>
          <w:tcPr>
            <w:tcW w:w="3134" w:type="dxa"/>
            <w:vMerge/>
            <w:tcBorders>
              <w:left w:val="single" w:sz="8" w:space="0" w:color="auto"/>
              <w:right w:val="single" w:sz="4" w:space="0" w:color="auto"/>
            </w:tcBorders>
            <w:shd w:val="clear" w:color="auto" w:fill="auto"/>
            <w:vAlign w:val="bottom"/>
            <w:hideMark/>
          </w:tcPr>
          <w:p w14:paraId="3B3C962E"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nil"/>
              <w:left w:val="nil"/>
              <w:bottom w:val="single" w:sz="4" w:space="0" w:color="auto"/>
              <w:right w:val="single" w:sz="8" w:space="0" w:color="auto"/>
            </w:tcBorders>
            <w:shd w:val="clear" w:color="auto" w:fill="auto"/>
            <w:vAlign w:val="bottom"/>
            <w:hideMark/>
          </w:tcPr>
          <w:p w14:paraId="1E5A42C5" w14:textId="77777777" w:rsidR="00EE4813" w:rsidRPr="008C2056" w:rsidRDefault="00EE4813" w:rsidP="00205FC0">
            <w:pPr>
              <w:spacing w:after="0" w:line="200" w:lineRule="atLeast"/>
              <w:rPr>
                <w:rFonts w:ascii="Calibri" w:eastAsia="Times New Roman" w:hAnsi="Calibri" w:cs="Times New Roman"/>
                <w:color w:val="000000"/>
                <w:sz w:val="18"/>
                <w:szCs w:val="18"/>
              </w:rPr>
            </w:pPr>
            <w:r w:rsidRPr="008C2056">
              <w:rPr>
                <w:rFonts w:ascii="Calibri" w:eastAsia="Times New Roman" w:hAnsi="Calibri" w:cs="Times New Roman"/>
                <w:color w:val="000000"/>
                <w:sz w:val="18"/>
                <w:szCs w:val="18"/>
              </w:rPr>
              <w:t xml:space="preserve">Coordination of planning </w:t>
            </w:r>
            <w:proofErr w:type="spellStart"/>
            <w:r w:rsidRPr="008C2056">
              <w:rPr>
                <w:rFonts w:ascii="Calibri" w:eastAsia="Times New Roman" w:hAnsi="Calibri" w:cs="Times New Roman"/>
                <w:color w:val="000000"/>
                <w:sz w:val="18"/>
                <w:szCs w:val="18"/>
              </w:rPr>
              <w:t>activities</w:t>
            </w:r>
            <w:proofErr w:type="spellEnd"/>
          </w:p>
        </w:tc>
      </w:tr>
      <w:tr w:rsidR="00EE4813" w:rsidRPr="00EE4813" w14:paraId="6CA24C83" w14:textId="77777777" w:rsidTr="0080321C">
        <w:trPr>
          <w:trHeight w:val="190"/>
        </w:trPr>
        <w:tc>
          <w:tcPr>
            <w:tcW w:w="3134" w:type="dxa"/>
            <w:vMerge/>
            <w:tcBorders>
              <w:left w:val="single" w:sz="8" w:space="0" w:color="auto"/>
              <w:right w:val="single" w:sz="4" w:space="0" w:color="auto"/>
            </w:tcBorders>
            <w:shd w:val="clear" w:color="auto" w:fill="auto"/>
            <w:vAlign w:val="bottom"/>
            <w:hideMark/>
          </w:tcPr>
          <w:p w14:paraId="78698581"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03339330" w14:textId="77777777" w:rsidR="00EE4813" w:rsidRPr="008C2056" w:rsidRDefault="00EE4813" w:rsidP="00205FC0">
            <w:pPr>
              <w:spacing w:after="0" w:line="200" w:lineRule="atLeast"/>
              <w:rPr>
                <w:rFonts w:ascii="Calibri" w:eastAsia="Times New Roman" w:hAnsi="Calibri" w:cs="Times New Roman"/>
                <w:sz w:val="18"/>
                <w:szCs w:val="18"/>
              </w:rPr>
            </w:pPr>
            <w:r w:rsidRPr="008C2056">
              <w:rPr>
                <w:rFonts w:ascii="Calibri" w:eastAsia="Times New Roman" w:hAnsi="Calibri" w:cs="Times New Roman"/>
                <w:sz w:val="18"/>
                <w:szCs w:val="18"/>
              </w:rPr>
              <w:t xml:space="preserve">Support to </w:t>
            </w:r>
            <w:proofErr w:type="spellStart"/>
            <w:r w:rsidRPr="008C2056">
              <w:rPr>
                <w:rFonts w:ascii="Calibri" w:eastAsia="Times New Roman" w:hAnsi="Calibri" w:cs="Times New Roman"/>
                <w:sz w:val="18"/>
                <w:szCs w:val="18"/>
              </w:rPr>
              <w:t>regional</w:t>
            </w:r>
            <w:proofErr w:type="spellEnd"/>
            <w:r w:rsidRPr="008C2056">
              <w:rPr>
                <w:rFonts w:ascii="Calibri" w:eastAsia="Times New Roman" w:hAnsi="Calibri" w:cs="Times New Roman"/>
                <w:sz w:val="18"/>
                <w:szCs w:val="18"/>
              </w:rPr>
              <w:t xml:space="preserve"> </w:t>
            </w:r>
            <w:proofErr w:type="spellStart"/>
            <w:r w:rsidRPr="008C2056">
              <w:rPr>
                <w:rFonts w:ascii="Calibri" w:eastAsia="Times New Roman" w:hAnsi="Calibri" w:cs="Times New Roman"/>
                <w:sz w:val="18"/>
                <w:szCs w:val="18"/>
              </w:rPr>
              <w:t>integration</w:t>
            </w:r>
            <w:proofErr w:type="spellEnd"/>
          </w:p>
        </w:tc>
      </w:tr>
      <w:tr w:rsidR="00EE4813" w:rsidRPr="00B71347" w14:paraId="685D60F5" w14:textId="77777777" w:rsidTr="0080321C">
        <w:trPr>
          <w:trHeight w:val="192"/>
        </w:trPr>
        <w:tc>
          <w:tcPr>
            <w:tcW w:w="3134" w:type="dxa"/>
            <w:vMerge/>
            <w:tcBorders>
              <w:left w:val="single" w:sz="8" w:space="0" w:color="auto"/>
              <w:bottom w:val="double" w:sz="6" w:space="0" w:color="auto"/>
              <w:right w:val="single" w:sz="4" w:space="0" w:color="auto"/>
            </w:tcBorders>
            <w:shd w:val="clear" w:color="auto" w:fill="auto"/>
            <w:vAlign w:val="bottom"/>
            <w:hideMark/>
          </w:tcPr>
          <w:p w14:paraId="295E20A6"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nil"/>
              <w:left w:val="nil"/>
              <w:bottom w:val="double" w:sz="6" w:space="0" w:color="auto"/>
              <w:right w:val="single" w:sz="8" w:space="0" w:color="auto"/>
            </w:tcBorders>
            <w:shd w:val="clear" w:color="auto" w:fill="auto"/>
            <w:vAlign w:val="bottom"/>
            <w:hideMark/>
          </w:tcPr>
          <w:p w14:paraId="1B174FCE"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Promoting legal and administrative cooperation</w:t>
            </w:r>
          </w:p>
        </w:tc>
      </w:tr>
      <w:tr w:rsidR="00EE4813" w:rsidRPr="00EE4813" w14:paraId="6015B0FB" w14:textId="77777777" w:rsidTr="00394215">
        <w:trPr>
          <w:trHeight w:val="211"/>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615D9003" w14:textId="77777777" w:rsidR="00EE4813" w:rsidRPr="00D43759" w:rsidRDefault="0047244B" w:rsidP="00AE352F">
            <w:pPr>
              <w:spacing w:after="0" w:line="240" w:lineRule="auto"/>
              <w:rPr>
                <w:rFonts w:ascii="Calibri" w:eastAsia="Times New Roman" w:hAnsi="Calibri" w:cs="Times New Roman"/>
                <w:sz w:val="20"/>
                <w:szCs w:val="20"/>
              </w:rPr>
            </w:pPr>
            <w:r>
              <w:rPr>
                <w:rFonts w:ascii="Calibri" w:eastAsia="Times New Roman" w:hAnsi="Calibri" w:cs="Times New Roman"/>
                <w:sz w:val="20"/>
                <w:szCs w:val="20"/>
              </w:rPr>
              <w:t xml:space="preserve">6. </w:t>
            </w:r>
            <w:proofErr w:type="spellStart"/>
            <w:r>
              <w:rPr>
                <w:rFonts w:ascii="Calibri" w:eastAsia="Times New Roman" w:hAnsi="Calibri" w:cs="Times New Roman"/>
                <w:sz w:val="20"/>
                <w:szCs w:val="20"/>
              </w:rPr>
              <w:t>Environmental</w:t>
            </w:r>
            <w:proofErr w:type="spellEnd"/>
            <w:r>
              <w:rPr>
                <w:rFonts w:ascii="Calibri" w:eastAsia="Times New Roman" w:hAnsi="Calibri" w:cs="Times New Roman"/>
                <w:sz w:val="20"/>
                <w:szCs w:val="20"/>
              </w:rPr>
              <w:t xml:space="preserve"> protection and</w:t>
            </w:r>
            <w:r w:rsidR="00EE4813" w:rsidRPr="00D43759">
              <w:rPr>
                <w:rFonts w:ascii="Calibri" w:eastAsia="Times New Roman" w:hAnsi="Calibri" w:cs="Times New Roman"/>
                <w:sz w:val="20"/>
                <w:szCs w:val="20"/>
              </w:rPr>
              <w:t xml:space="preserve"> </w:t>
            </w:r>
            <w:proofErr w:type="spellStart"/>
            <w:r w:rsidR="00EE4813" w:rsidRPr="00D43759">
              <w:rPr>
                <w:rFonts w:ascii="Calibri" w:eastAsia="Times New Roman" w:hAnsi="Calibri" w:cs="Times New Roman"/>
                <w:sz w:val="20"/>
                <w:szCs w:val="20"/>
              </w:rPr>
              <w:t>climate</w:t>
            </w:r>
            <w:proofErr w:type="spellEnd"/>
            <w:r w:rsidR="00EE4813" w:rsidRPr="00D43759">
              <w:rPr>
                <w:rFonts w:ascii="Calibri" w:eastAsia="Times New Roman" w:hAnsi="Calibri" w:cs="Times New Roman"/>
                <w:sz w:val="20"/>
                <w:szCs w:val="20"/>
              </w:rPr>
              <w:t xml:space="preserve"> </w:t>
            </w:r>
            <w:r>
              <w:rPr>
                <w:rFonts w:ascii="Calibri" w:eastAsia="Times New Roman" w:hAnsi="Calibri" w:cs="Times New Roman"/>
                <w:sz w:val="20"/>
                <w:szCs w:val="20"/>
              </w:rPr>
              <w:t>change adaptation</w:t>
            </w:r>
            <w:r w:rsidR="00EE4813" w:rsidRPr="00D43759">
              <w:rPr>
                <w:rFonts w:ascii="Calibri" w:eastAsia="Times New Roman" w:hAnsi="Calibri" w:cs="Times New Roman"/>
                <w:sz w:val="20"/>
                <w:szCs w:val="20"/>
              </w:rPr>
              <w:t> </w:t>
            </w:r>
          </w:p>
        </w:tc>
        <w:tc>
          <w:tcPr>
            <w:tcW w:w="7796" w:type="dxa"/>
            <w:tcBorders>
              <w:top w:val="single" w:sz="4" w:space="0" w:color="4F81BD"/>
              <w:left w:val="single" w:sz="4" w:space="0" w:color="auto"/>
              <w:bottom w:val="single" w:sz="4" w:space="0" w:color="auto"/>
              <w:right w:val="single" w:sz="8" w:space="0" w:color="auto"/>
            </w:tcBorders>
            <w:shd w:val="clear" w:color="000000" w:fill="9BBB59"/>
            <w:vAlign w:val="bottom"/>
            <w:hideMark/>
          </w:tcPr>
          <w:p w14:paraId="5D6AAA57" w14:textId="77777777" w:rsidR="00EE4813" w:rsidRPr="008C2056" w:rsidRDefault="00EE4813" w:rsidP="00205FC0">
            <w:pPr>
              <w:spacing w:after="0" w:line="200" w:lineRule="atLeast"/>
              <w:rPr>
                <w:rFonts w:ascii="Calibri" w:eastAsia="Times New Roman" w:hAnsi="Calibri" w:cs="Times New Roman"/>
                <w:sz w:val="18"/>
                <w:szCs w:val="18"/>
              </w:rPr>
            </w:pPr>
            <w:r w:rsidRPr="008C2056">
              <w:rPr>
                <w:rFonts w:ascii="Calibri" w:eastAsia="Times New Roman" w:hAnsi="Calibri" w:cs="Times New Roman"/>
                <w:sz w:val="18"/>
                <w:szCs w:val="18"/>
              </w:rPr>
              <w:t xml:space="preserve">Joint actions for </w:t>
            </w:r>
            <w:proofErr w:type="spellStart"/>
            <w:r w:rsidRPr="008C2056">
              <w:rPr>
                <w:rFonts w:ascii="Calibri" w:eastAsia="Times New Roman" w:hAnsi="Calibri" w:cs="Times New Roman"/>
                <w:sz w:val="18"/>
                <w:szCs w:val="18"/>
              </w:rPr>
              <w:t>environmental</w:t>
            </w:r>
            <w:proofErr w:type="spellEnd"/>
            <w:r w:rsidRPr="008C2056">
              <w:rPr>
                <w:rFonts w:ascii="Calibri" w:eastAsia="Times New Roman" w:hAnsi="Calibri" w:cs="Times New Roman"/>
                <w:sz w:val="18"/>
                <w:szCs w:val="18"/>
              </w:rPr>
              <w:t xml:space="preserve"> protection</w:t>
            </w:r>
          </w:p>
        </w:tc>
      </w:tr>
      <w:tr w:rsidR="00EE4813" w:rsidRPr="00B71347" w14:paraId="50B8C60D" w14:textId="77777777" w:rsidTr="002F7CE7">
        <w:trPr>
          <w:trHeight w:val="252"/>
        </w:trPr>
        <w:tc>
          <w:tcPr>
            <w:tcW w:w="3134" w:type="dxa"/>
            <w:vMerge/>
            <w:tcBorders>
              <w:left w:val="single" w:sz="8" w:space="0" w:color="auto"/>
              <w:right w:val="single" w:sz="4" w:space="0" w:color="auto"/>
            </w:tcBorders>
            <w:shd w:val="clear" w:color="auto" w:fill="auto"/>
            <w:vAlign w:val="bottom"/>
            <w:hideMark/>
          </w:tcPr>
          <w:p w14:paraId="3B33842C"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4262508B"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Preservation and sustainable use of natural resources</w:t>
            </w:r>
          </w:p>
        </w:tc>
      </w:tr>
      <w:tr w:rsidR="00EE4813" w:rsidRPr="00B71347" w14:paraId="7B126829" w14:textId="77777777" w:rsidTr="002F7CE7">
        <w:trPr>
          <w:trHeight w:val="154"/>
        </w:trPr>
        <w:tc>
          <w:tcPr>
            <w:tcW w:w="3134" w:type="dxa"/>
            <w:vMerge/>
            <w:tcBorders>
              <w:left w:val="single" w:sz="8" w:space="0" w:color="auto"/>
              <w:right w:val="single" w:sz="4" w:space="0" w:color="auto"/>
            </w:tcBorders>
            <w:shd w:val="clear" w:color="auto" w:fill="auto"/>
            <w:vAlign w:val="bottom"/>
            <w:hideMark/>
          </w:tcPr>
          <w:p w14:paraId="5B92CD98"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9BBB59"/>
            <w:vAlign w:val="bottom"/>
            <w:hideMark/>
          </w:tcPr>
          <w:p w14:paraId="29E61723"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energy efficiency and to the use of renewable energy</w:t>
            </w:r>
          </w:p>
        </w:tc>
      </w:tr>
      <w:tr w:rsidR="00EE4813" w:rsidRPr="00B71347" w14:paraId="18908E4C" w14:textId="77777777" w:rsidTr="002F7CE7">
        <w:trPr>
          <w:trHeight w:val="204"/>
        </w:trPr>
        <w:tc>
          <w:tcPr>
            <w:tcW w:w="3134" w:type="dxa"/>
            <w:vMerge/>
            <w:tcBorders>
              <w:left w:val="single" w:sz="8" w:space="0" w:color="auto"/>
              <w:right w:val="single" w:sz="4" w:space="0" w:color="auto"/>
            </w:tcBorders>
            <w:shd w:val="clear" w:color="auto" w:fill="auto"/>
            <w:vAlign w:val="bottom"/>
            <w:hideMark/>
          </w:tcPr>
          <w:p w14:paraId="0C32F3EB"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single" w:sz="4" w:space="0" w:color="auto"/>
              <w:right w:val="single" w:sz="8" w:space="0" w:color="auto"/>
            </w:tcBorders>
            <w:shd w:val="clear" w:color="000000" w:fill="C4D79B"/>
            <w:vAlign w:val="bottom"/>
            <w:hideMark/>
          </w:tcPr>
          <w:p w14:paraId="19C43E23"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Promotion of a low carbon economy</w:t>
            </w:r>
          </w:p>
        </w:tc>
      </w:tr>
      <w:tr w:rsidR="00EE4813" w:rsidRPr="00B71347" w14:paraId="5839485F" w14:textId="77777777" w:rsidTr="002F7CE7">
        <w:trPr>
          <w:trHeight w:val="132"/>
        </w:trPr>
        <w:tc>
          <w:tcPr>
            <w:tcW w:w="3134" w:type="dxa"/>
            <w:vMerge/>
            <w:tcBorders>
              <w:left w:val="single" w:sz="8" w:space="0" w:color="auto"/>
              <w:bottom w:val="double" w:sz="6" w:space="0" w:color="auto"/>
              <w:right w:val="single" w:sz="4" w:space="0" w:color="auto"/>
            </w:tcBorders>
            <w:shd w:val="clear" w:color="auto" w:fill="auto"/>
            <w:vAlign w:val="bottom"/>
            <w:hideMark/>
          </w:tcPr>
          <w:p w14:paraId="7CAFBB51"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double" w:sz="6" w:space="0" w:color="auto"/>
              <w:right w:val="single" w:sz="8" w:space="0" w:color="auto"/>
            </w:tcBorders>
            <w:shd w:val="clear" w:color="000000" w:fill="9BBB59"/>
            <w:vAlign w:val="bottom"/>
            <w:hideMark/>
          </w:tcPr>
          <w:p w14:paraId="7CB21E17"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sustainable waste and waste water management systems</w:t>
            </w:r>
          </w:p>
        </w:tc>
      </w:tr>
      <w:tr w:rsidR="00EE4813" w:rsidRPr="00B71347" w14:paraId="343B6C7D" w14:textId="77777777" w:rsidTr="00394215">
        <w:trPr>
          <w:trHeight w:val="307"/>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289A53A2" w14:textId="77777777" w:rsidR="008C2056"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7. Improvement of accessibility to the regions, development of transport and communication networks and systems </w:t>
            </w:r>
          </w:p>
        </w:tc>
        <w:tc>
          <w:tcPr>
            <w:tcW w:w="7796" w:type="dxa"/>
            <w:tcBorders>
              <w:top w:val="single" w:sz="4" w:space="0" w:color="4F81BD"/>
              <w:left w:val="single" w:sz="4" w:space="0" w:color="auto"/>
              <w:bottom w:val="single" w:sz="4" w:space="0" w:color="auto"/>
              <w:right w:val="single" w:sz="8" w:space="0" w:color="auto"/>
            </w:tcBorders>
            <w:shd w:val="clear" w:color="000000" w:fill="C4D79B"/>
            <w:vAlign w:val="bottom"/>
            <w:hideMark/>
          </w:tcPr>
          <w:p w14:paraId="43872FA4"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Improving the mobility of persons and goods</w:t>
            </w:r>
          </w:p>
        </w:tc>
      </w:tr>
      <w:tr w:rsidR="00EE4813" w:rsidRPr="00EE4813" w14:paraId="468FFFC1" w14:textId="77777777" w:rsidTr="008C2056">
        <w:trPr>
          <w:trHeight w:val="300"/>
        </w:trPr>
        <w:tc>
          <w:tcPr>
            <w:tcW w:w="3134" w:type="dxa"/>
            <w:vMerge/>
            <w:tcBorders>
              <w:left w:val="single" w:sz="8" w:space="0" w:color="auto"/>
              <w:right w:val="single" w:sz="4" w:space="0" w:color="auto"/>
            </w:tcBorders>
            <w:shd w:val="clear" w:color="auto" w:fill="auto"/>
            <w:vAlign w:val="bottom"/>
            <w:hideMark/>
          </w:tcPr>
          <w:p w14:paraId="66BDBCF1" w14:textId="77777777" w:rsidR="00EE4813" w:rsidRPr="004408A1" w:rsidRDefault="00EE4813" w:rsidP="00205FC0">
            <w:pPr>
              <w:spacing w:after="0" w:line="240" w:lineRule="auto"/>
              <w:rPr>
                <w:rFonts w:ascii="Calibri" w:eastAsia="Times New Roman" w:hAnsi="Calibri" w:cs="Times New Roman"/>
                <w:sz w:val="20"/>
                <w:szCs w:val="20"/>
                <w:lang w:val="en-GB"/>
              </w:rPr>
            </w:pPr>
          </w:p>
        </w:tc>
        <w:tc>
          <w:tcPr>
            <w:tcW w:w="7796" w:type="dxa"/>
            <w:tcBorders>
              <w:top w:val="single" w:sz="4" w:space="0" w:color="auto"/>
              <w:left w:val="single" w:sz="4" w:space="0" w:color="auto"/>
              <w:bottom w:val="nil"/>
              <w:right w:val="single" w:sz="8" w:space="0" w:color="auto"/>
            </w:tcBorders>
            <w:shd w:val="clear" w:color="000000" w:fill="9BBB59"/>
            <w:vAlign w:val="bottom"/>
            <w:hideMark/>
          </w:tcPr>
          <w:p w14:paraId="180658F9" w14:textId="77777777" w:rsidR="00EE4813" w:rsidRPr="008C2056" w:rsidRDefault="00EE4813" w:rsidP="00205FC0">
            <w:pPr>
              <w:spacing w:after="0" w:line="200" w:lineRule="atLeast"/>
              <w:rPr>
                <w:rFonts w:ascii="Calibri" w:eastAsia="Times New Roman" w:hAnsi="Calibri" w:cs="Times New Roman"/>
                <w:sz w:val="18"/>
                <w:szCs w:val="18"/>
              </w:rPr>
            </w:pPr>
            <w:proofErr w:type="spellStart"/>
            <w:r w:rsidRPr="008C2056">
              <w:rPr>
                <w:rFonts w:ascii="Calibri" w:eastAsia="Times New Roman" w:hAnsi="Calibri" w:cs="Times New Roman"/>
                <w:sz w:val="18"/>
                <w:szCs w:val="18"/>
              </w:rPr>
              <w:t>Developing</w:t>
            </w:r>
            <w:proofErr w:type="spellEnd"/>
            <w:r w:rsidRPr="008C2056">
              <w:rPr>
                <w:rFonts w:ascii="Calibri" w:eastAsia="Times New Roman" w:hAnsi="Calibri" w:cs="Times New Roman"/>
                <w:sz w:val="18"/>
                <w:szCs w:val="18"/>
              </w:rPr>
              <w:t xml:space="preserve"> transport services and infrastructures</w:t>
            </w:r>
          </w:p>
        </w:tc>
      </w:tr>
      <w:tr w:rsidR="00EE4813" w:rsidRPr="00EE4813" w14:paraId="3600D99C" w14:textId="77777777" w:rsidTr="008C2056">
        <w:trPr>
          <w:trHeight w:val="238"/>
        </w:trPr>
        <w:tc>
          <w:tcPr>
            <w:tcW w:w="3134" w:type="dxa"/>
            <w:vMerge/>
            <w:tcBorders>
              <w:left w:val="single" w:sz="8" w:space="0" w:color="auto"/>
              <w:bottom w:val="double" w:sz="6" w:space="0" w:color="auto"/>
              <w:right w:val="single" w:sz="4" w:space="0" w:color="auto"/>
            </w:tcBorders>
            <w:shd w:val="clear" w:color="auto" w:fill="auto"/>
            <w:vAlign w:val="bottom"/>
            <w:hideMark/>
          </w:tcPr>
          <w:p w14:paraId="1D536AE7" w14:textId="77777777" w:rsidR="00EE4813" w:rsidRPr="00D43759" w:rsidRDefault="00EE4813" w:rsidP="00205FC0">
            <w:pPr>
              <w:spacing w:after="0" w:line="240" w:lineRule="auto"/>
              <w:rPr>
                <w:rFonts w:ascii="Calibri" w:eastAsia="Times New Roman" w:hAnsi="Calibri" w:cs="Times New Roman"/>
                <w:sz w:val="20"/>
                <w:szCs w:val="20"/>
              </w:rPr>
            </w:pPr>
          </w:p>
        </w:tc>
        <w:tc>
          <w:tcPr>
            <w:tcW w:w="7796" w:type="dxa"/>
            <w:tcBorders>
              <w:top w:val="single" w:sz="4" w:space="0" w:color="auto"/>
              <w:left w:val="single" w:sz="4" w:space="0" w:color="auto"/>
              <w:bottom w:val="double" w:sz="6" w:space="0" w:color="auto"/>
              <w:right w:val="single" w:sz="8" w:space="0" w:color="auto"/>
            </w:tcBorders>
            <w:shd w:val="clear" w:color="000000" w:fill="C4D79B"/>
            <w:vAlign w:val="bottom"/>
            <w:hideMark/>
          </w:tcPr>
          <w:p w14:paraId="2438E6F4" w14:textId="77777777" w:rsidR="00EE4813" w:rsidRPr="008C2056" w:rsidRDefault="00EE4813" w:rsidP="00205FC0">
            <w:pPr>
              <w:spacing w:after="0" w:line="200" w:lineRule="atLeast"/>
              <w:rPr>
                <w:rFonts w:ascii="Calibri" w:eastAsia="Times New Roman" w:hAnsi="Calibri" w:cs="Times New Roman"/>
                <w:sz w:val="18"/>
                <w:szCs w:val="18"/>
              </w:rPr>
            </w:pPr>
            <w:proofErr w:type="spellStart"/>
            <w:r w:rsidRPr="008C2056">
              <w:rPr>
                <w:rFonts w:ascii="Calibri" w:eastAsia="Times New Roman" w:hAnsi="Calibri" w:cs="Times New Roman"/>
                <w:sz w:val="18"/>
                <w:szCs w:val="18"/>
              </w:rPr>
              <w:t>Developping</w:t>
            </w:r>
            <w:proofErr w:type="spellEnd"/>
            <w:r w:rsidRPr="008C2056">
              <w:rPr>
                <w:rFonts w:ascii="Calibri" w:eastAsia="Times New Roman" w:hAnsi="Calibri" w:cs="Times New Roman"/>
                <w:sz w:val="18"/>
                <w:szCs w:val="18"/>
              </w:rPr>
              <w:t xml:space="preserve"> ICT infrastructure</w:t>
            </w:r>
          </w:p>
        </w:tc>
      </w:tr>
      <w:tr w:rsidR="00EE4813" w:rsidRPr="00B71347" w14:paraId="68E21A76" w14:textId="77777777" w:rsidTr="00394215">
        <w:trPr>
          <w:trHeight w:val="237"/>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59A90DA3" w14:textId="77777777" w:rsidR="00EE4813" w:rsidRPr="004408A1" w:rsidRDefault="00EE4813" w:rsidP="00394215">
            <w:pPr>
              <w:spacing w:after="0" w:line="240" w:lineRule="auto"/>
              <w:rPr>
                <w:rFonts w:ascii="Calibri" w:eastAsia="Times New Roman" w:hAnsi="Calibri" w:cs="Times New Roman"/>
                <w:sz w:val="20"/>
                <w:szCs w:val="20"/>
                <w:lang w:val="en-GB"/>
              </w:rPr>
            </w:pPr>
            <w:r w:rsidRPr="004408A1">
              <w:rPr>
                <w:rFonts w:ascii="Calibri" w:eastAsia="Times New Roman" w:hAnsi="Calibri" w:cs="Times New Roman"/>
                <w:sz w:val="20"/>
                <w:szCs w:val="20"/>
                <w:lang w:val="en-GB"/>
              </w:rPr>
              <w:t>8. Common challenges in the field of safety and security  </w:t>
            </w:r>
          </w:p>
        </w:tc>
        <w:tc>
          <w:tcPr>
            <w:tcW w:w="7796" w:type="dxa"/>
            <w:tcBorders>
              <w:top w:val="single" w:sz="4" w:space="0" w:color="auto"/>
              <w:left w:val="single" w:sz="4" w:space="0" w:color="auto"/>
              <w:bottom w:val="nil"/>
              <w:right w:val="single" w:sz="8" w:space="0" w:color="auto"/>
            </w:tcBorders>
            <w:shd w:val="clear" w:color="000000" w:fill="9BBB59"/>
            <w:vAlign w:val="bottom"/>
            <w:hideMark/>
          </w:tcPr>
          <w:p w14:paraId="457D097F"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Support to the development of health</w:t>
            </w:r>
          </w:p>
        </w:tc>
      </w:tr>
      <w:tr w:rsidR="00EE4813" w:rsidRPr="00B71347" w14:paraId="4250FC9F" w14:textId="77777777" w:rsidTr="008C2056">
        <w:trPr>
          <w:trHeight w:val="300"/>
        </w:trPr>
        <w:tc>
          <w:tcPr>
            <w:tcW w:w="3134" w:type="dxa"/>
            <w:vMerge/>
            <w:tcBorders>
              <w:left w:val="single" w:sz="8" w:space="0" w:color="auto"/>
              <w:right w:val="single" w:sz="4" w:space="0" w:color="auto"/>
            </w:tcBorders>
            <w:shd w:val="clear" w:color="auto" w:fill="auto"/>
            <w:vAlign w:val="bottom"/>
            <w:hideMark/>
          </w:tcPr>
          <w:p w14:paraId="451E0C17" w14:textId="77777777" w:rsidR="00EE4813" w:rsidRPr="004408A1" w:rsidRDefault="00EE4813" w:rsidP="00205FC0">
            <w:pPr>
              <w:spacing w:after="0" w:line="240" w:lineRule="auto"/>
              <w:rPr>
                <w:rFonts w:ascii="Calibri" w:eastAsia="Times New Roman" w:hAnsi="Calibri" w:cs="Times New Roman"/>
                <w:color w:val="000000"/>
                <w:sz w:val="20"/>
                <w:szCs w:val="20"/>
                <w:lang w:val="en-GB"/>
              </w:rPr>
            </w:pPr>
          </w:p>
        </w:tc>
        <w:tc>
          <w:tcPr>
            <w:tcW w:w="7796" w:type="dxa"/>
            <w:tcBorders>
              <w:top w:val="single" w:sz="4" w:space="0" w:color="auto"/>
              <w:left w:val="single" w:sz="4" w:space="0" w:color="auto"/>
              <w:bottom w:val="nil"/>
              <w:right w:val="single" w:sz="8" w:space="0" w:color="auto"/>
            </w:tcBorders>
            <w:shd w:val="clear" w:color="000000" w:fill="9BBB59"/>
            <w:vAlign w:val="bottom"/>
            <w:hideMark/>
          </w:tcPr>
          <w:p w14:paraId="2CC2A56C" w14:textId="77777777" w:rsidR="00EE4813" w:rsidRPr="004408A1" w:rsidRDefault="00EE4813" w:rsidP="00205FC0">
            <w:pPr>
              <w:spacing w:after="0" w:line="200" w:lineRule="atLeast"/>
              <w:rPr>
                <w:rFonts w:ascii="Calibri" w:eastAsia="Times New Roman" w:hAnsi="Calibri" w:cs="Times New Roman"/>
                <w:sz w:val="18"/>
                <w:szCs w:val="18"/>
                <w:lang w:val="en-GB"/>
              </w:rPr>
            </w:pPr>
            <w:r w:rsidRPr="004408A1">
              <w:rPr>
                <w:rFonts w:ascii="Calibri" w:eastAsia="Times New Roman" w:hAnsi="Calibri" w:cs="Times New Roman"/>
                <w:sz w:val="18"/>
                <w:szCs w:val="18"/>
                <w:lang w:val="en-GB"/>
              </w:rPr>
              <w:t>Enhancing the access to health</w:t>
            </w:r>
          </w:p>
        </w:tc>
      </w:tr>
      <w:tr w:rsidR="00EE4813" w:rsidRPr="00B71347" w14:paraId="56EC9CDD" w14:textId="77777777" w:rsidTr="008C2056">
        <w:trPr>
          <w:trHeight w:val="280"/>
        </w:trPr>
        <w:tc>
          <w:tcPr>
            <w:tcW w:w="3134" w:type="dxa"/>
            <w:vMerge/>
            <w:tcBorders>
              <w:left w:val="single" w:sz="8" w:space="0" w:color="auto"/>
              <w:right w:val="single" w:sz="4" w:space="0" w:color="auto"/>
            </w:tcBorders>
            <w:shd w:val="clear" w:color="auto" w:fill="auto"/>
            <w:vAlign w:val="bottom"/>
            <w:hideMark/>
          </w:tcPr>
          <w:p w14:paraId="37F8382E" w14:textId="77777777" w:rsidR="00EE4813" w:rsidRPr="004408A1" w:rsidRDefault="00EE4813" w:rsidP="00205FC0">
            <w:pPr>
              <w:spacing w:after="0" w:line="240" w:lineRule="auto"/>
              <w:rPr>
                <w:rFonts w:ascii="Calibri" w:eastAsia="Times New Roman" w:hAnsi="Calibri" w:cs="Times New Roman"/>
                <w:color w:val="000000"/>
                <w:sz w:val="20"/>
                <w:szCs w:val="20"/>
                <w:lang w:val="en-GB"/>
              </w:rPr>
            </w:pPr>
          </w:p>
        </w:tc>
        <w:tc>
          <w:tcPr>
            <w:tcW w:w="7796" w:type="dxa"/>
            <w:tcBorders>
              <w:top w:val="single" w:sz="4" w:space="0" w:color="auto"/>
              <w:left w:val="nil"/>
              <w:bottom w:val="nil"/>
              <w:right w:val="single" w:sz="8" w:space="0" w:color="auto"/>
            </w:tcBorders>
            <w:shd w:val="clear" w:color="auto" w:fill="auto"/>
            <w:vAlign w:val="bottom"/>
            <w:hideMark/>
          </w:tcPr>
          <w:p w14:paraId="488FFD13"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Prevention and fight against organised crime</w:t>
            </w:r>
          </w:p>
        </w:tc>
      </w:tr>
      <w:tr w:rsidR="00EE4813" w:rsidRPr="00EE4813" w14:paraId="598B695A" w14:textId="77777777" w:rsidTr="008C2056">
        <w:trPr>
          <w:trHeight w:val="243"/>
        </w:trPr>
        <w:tc>
          <w:tcPr>
            <w:tcW w:w="3134" w:type="dxa"/>
            <w:vMerge/>
            <w:tcBorders>
              <w:left w:val="single" w:sz="8" w:space="0" w:color="auto"/>
              <w:right w:val="single" w:sz="4" w:space="0" w:color="auto"/>
            </w:tcBorders>
            <w:shd w:val="clear" w:color="auto" w:fill="auto"/>
            <w:vAlign w:val="bottom"/>
            <w:hideMark/>
          </w:tcPr>
          <w:p w14:paraId="4E4AB7C1" w14:textId="77777777" w:rsidR="00EE4813" w:rsidRPr="004408A1" w:rsidRDefault="00EE4813" w:rsidP="00205FC0">
            <w:pPr>
              <w:spacing w:after="0" w:line="240" w:lineRule="auto"/>
              <w:rPr>
                <w:rFonts w:ascii="Calibri" w:eastAsia="Times New Roman" w:hAnsi="Calibri" w:cs="Times New Roman"/>
                <w:color w:val="000000"/>
                <w:sz w:val="20"/>
                <w:szCs w:val="20"/>
                <w:lang w:val="en-GB"/>
              </w:rPr>
            </w:pPr>
          </w:p>
        </w:tc>
        <w:tc>
          <w:tcPr>
            <w:tcW w:w="7796" w:type="dxa"/>
            <w:tcBorders>
              <w:top w:val="single" w:sz="4" w:space="0" w:color="auto"/>
              <w:left w:val="nil"/>
              <w:bottom w:val="nil"/>
              <w:right w:val="single" w:sz="8" w:space="0" w:color="auto"/>
            </w:tcBorders>
            <w:shd w:val="clear" w:color="auto" w:fill="auto"/>
            <w:vAlign w:val="bottom"/>
            <w:hideMark/>
          </w:tcPr>
          <w:p w14:paraId="23784F6A" w14:textId="77777777" w:rsidR="00EE4813" w:rsidRPr="008C2056" w:rsidRDefault="00EE4813" w:rsidP="00205FC0">
            <w:pPr>
              <w:spacing w:after="0" w:line="200" w:lineRule="atLeast"/>
              <w:rPr>
                <w:rFonts w:ascii="Calibri" w:eastAsia="Times New Roman" w:hAnsi="Calibri" w:cs="Times New Roman"/>
                <w:color w:val="000000"/>
                <w:sz w:val="18"/>
                <w:szCs w:val="18"/>
              </w:rPr>
            </w:pPr>
            <w:r w:rsidRPr="008C2056">
              <w:rPr>
                <w:rFonts w:ascii="Calibri" w:eastAsia="Times New Roman" w:hAnsi="Calibri" w:cs="Times New Roman"/>
                <w:color w:val="000000"/>
                <w:sz w:val="18"/>
                <w:szCs w:val="18"/>
              </w:rPr>
              <w:t xml:space="preserve">Police </w:t>
            </w:r>
            <w:proofErr w:type="spellStart"/>
            <w:r w:rsidRPr="008C2056">
              <w:rPr>
                <w:rFonts w:ascii="Calibri" w:eastAsia="Times New Roman" w:hAnsi="Calibri" w:cs="Times New Roman"/>
                <w:color w:val="000000"/>
                <w:sz w:val="18"/>
                <w:szCs w:val="18"/>
              </w:rPr>
              <w:t>cooperation</w:t>
            </w:r>
            <w:proofErr w:type="spellEnd"/>
            <w:r w:rsidRPr="008C2056">
              <w:rPr>
                <w:rFonts w:ascii="Calibri" w:eastAsia="Times New Roman" w:hAnsi="Calibri" w:cs="Times New Roman"/>
                <w:color w:val="000000"/>
                <w:sz w:val="18"/>
                <w:szCs w:val="18"/>
              </w:rPr>
              <w:t xml:space="preserve"> (exchange of intelligence information, etc.)</w:t>
            </w:r>
          </w:p>
        </w:tc>
      </w:tr>
      <w:tr w:rsidR="00EE4813" w:rsidRPr="00B71347" w14:paraId="6F65E01D" w14:textId="77777777" w:rsidTr="008C2056">
        <w:trPr>
          <w:trHeight w:val="430"/>
        </w:trPr>
        <w:tc>
          <w:tcPr>
            <w:tcW w:w="3134" w:type="dxa"/>
            <w:vMerge/>
            <w:tcBorders>
              <w:left w:val="single" w:sz="8" w:space="0" w:color="auto"/>
              <w:bottom w:val="double" w:sz="6" w:space="0" w:color="auto"/>
              <w:right w:val="single" w:sz="4" w:space="0" w:color="auto"/>
            </w:tcBorders>
            <w:shd w:val="clear" w:color="auto" w:fill="auto"/>
            <w:vAlign w:val="bottom"/>
            <w:hideMark/>
          </w:tcPr>
          <w:p w14:paraId="54558559" w14:textId="77777777" w:rsidR="00EE4813" w:rsidRPr="00EE4813" w:rsidRDefault="00EE4813" w:rsidP="00205FC0">
            <w:pPr>
              <w:spacing w:after="0" w:line="240" w:lineRule="auto"/>
              <w:rPr>
                <w:rFonts w:ascii="Calibri" w:eastAsia="Times New Roman" w:hAnsi="Calibri" w:cs="Times New Roman"/>
                <w:color w:val="000000"/>
                <w:sz w:val="20"/>
                <w:szCs w:val="20"/>
              </w:rPr>
            </w:pPr>
          </w:p>
        </w:tc>
        <w:tc>
          <w:tcPr>
            <w:tcW w:w="7796" w:type="dxa"/>
            <w:tcBorders>
              <w:top w:val="single" w:sz="4" w:space="0" w:color="auto"/>
              <w:left w:val="nil"/>
              <w:bottom w:val="double" w:sz="6" w:space="0" w:color="auto"/>
              <w:right w:val="single" w:sz="8" w:space="0" w:color="auto"/>
            </w:tcBorders>
            <w:shd w:val="clear" w:color="auto" w:fill="auto"/>
            <w:vAlign w:val="bottom"/>
            <w:hideMark/>
          </w:tcPr>
          <w:p w14:paraId="6FE9977F" w14:textId="77777777" w:rsidR="00EE4813" w:rsidRPr="004408A1" w:rsidRDefault="00EE4813"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Support to the joint activities for the prevention of natural and man-made disasters as well as joint action during emergency situations</w:t>
            </w:r>
          </w:p>
        </w:tc>
      </w:tr>
      <w:tr w:rsidR="00205FC0" w:rsidRPr="00EE4813" w14:paraId="03AD0B75" w14:textId="77777777" w:rsidTr="00AE352F">
        <w:trPr>
          <w:trHeight w:val="219"/>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3253B7D7" w14:textId="77777777" w:rsidR="00205FC0" w:rsidRPr="00EE4813" w:rsidRDefault="00205FC0" w:rsidP="00AE352F">
            <w:pPr>
              <w:spacing w:after="0" w:line="240" w:lineRule="auto"/>
              <w:rPr>
                <w:rFonts w:ascii="Calibri" w:eastAsia="Times New Roman" w:hAnsi="Calibri" w:cs="Times New Roman"/>
                <w:color w:val="000000"/>
                <w:sz w:val="20"/>
                <w:szCs w:val="20"/>
              </w:rPr>
            </w:pPr>
            <w:r w:rsidRPr="00EE4813">
              <w:rPr>
                <w:rFonts w:ascii="Calibri" w:eastAsia="Times New Roman" w:hAnsi="Calibri" w:cs="Times New Roman"/>
                <w:color w:val="000000"/>
                <w:sz w:val="20"/>
                <w:szCs w:val="20"/>
              </w:rPr>
              <w:t xml:space="preserve">9. Promotion of </w:t>
            </w:r>
            <w:proofErr w:type="spellStart"/>
            <w:r w:rsidRPr="00EE4813">
              <w:rPr>
                <w:rFonts w:ascii="Calibri" w:eastAsia="Times New Roman" w:hAnsi="Calibri" w:cs="Times New Roman"/>
                <w:color w:val="000000"/>
                <w:sz w:val="20"/>
                <w:szCs w:val="20"/>
              </w:rPr>
              <w:t>energy</w:t>
            </w:r>
            <w:proofErr w:type="spellEnd"/>
            <w:r w:rsidRPr="00EE4813">
              <w:rPr>
                <w:rFonts w:ascii="Calibri" w:eastAsia="Times New Roman" w:hAnsi="Calibri" w:cs="Times New Roman"/>
                <w:color w:val="000000"/>
                <w:sz w:val="20"/>
                <w:szCs w:val="20"/>
              </w:rPr>
              <w:t xml:space="preserve"> </w:t>
            </w:r>
            <w:proofErr w:type="spellStart"/>
            <w:r w:rsidRPr="00EE4813">
              <w:rPr>
                <w:rFonts w:ascii="Calibri" w:eastAsia="Times New Roman" w:hAnsi="Calibri" w:cs="Times New Roman"/>
                <w:color w:val="000000"/>
                <w:sz w:val="20"/>
                <w:szCs w:val="20"/>
              </w:rPr>
              <w:t>cooperation</w:t>
            </w:r>
            <w:proofErr w:type="spellEnd"/>
            <w:r w:rsidRPr="00EE4813">
              <w:rPr>
                <w:rFonts w:ascii="Calibri" w:eastAsia="Times New Roman" w:hAnsi="Calibri" w:cs="Times New Roman"/>
                <w:color w:val="000000"/>
                <w:sz w:val="20"/>
                <w:szCs w:val="20"/>
              </w:rPr>
              <w:t> </w:t>
            </w:r>
          </w:p>
        </w:tc>
        <w:tc>
          <w:tcPr>
            <w:tcW w:w="7796" w:type="dxa"/>
            <w:tcBorders>
              <w:top w:val="single" w:sz="4" w:space="0" w:color="4F81BD"/>
              <w:left w:val="single" w:sz="4" w:space="0" w:color="auto"/>
              <w:bottom w:val="nil"/>
              <w:right w:val="single" w:sz="8" w:space="0" w:color="auto"/>
            </w:tcBorders>
            <w:shd w:val="clear" w:color="auto" w:fill="auto"/>
            <w:vAlign w:val="bottom"/>
            <w:hideMark/>
          </w:tcPr>
          <w:p w14:paraId="50C07DF5" w14:textId="77777777" w:rsidR="00205FC0" w:rsidRPr="008C2056" w:rsidRDefault="00205FC0" w:rsidP="00205FC0">
            <w:pPr>
              <w:spacing w:after="0" w:line="200" w:lineRule="atLeast"/>
              <w:rPr>
                <w:rFonts w:ascii="Calibri" w:eastAsia="Times New Roman" w:hAnsi="Calibri" w:cs="Times New Roman"/>
                <w:color w:val="000000"/>
                <w:sz w:val="18"/>
                <w:szCs w:val="18"/>
              </w:rPr>
            </w:pPr>
            <w:proofErr w:type="spellStart"/>
            <w:r w:rsidRPr="008C2056">
              <w:rPr>
                <w:rFonts w:ascii="Calibri" w:eastAsia="Times New Roman" w:hAnsi="Calibri" w:cs="Times New Roman"/>
                <w:color w:val="000000"/>
                <w:sz w:val="18"/>
                <w:szCs w:val="18"/>
              </w:rPr>
              <w:t>Energy</w:t>
            </w:r>
            <w:proofErr w:type="spellEnd"/>
            <w:r w:rsidRPr="008C2056">
              <w:rPr>
                <w:rFonts w:ascii="Calibri" w:eastAsia="Times New Roman" w:hAnsi="Calibri" w:cs="Times New Roman"/>
                <w:color w:val="000000"/>
                <w:sz w:val="18"/>
                <w:szCs w:val="18"/>
              </w:rPr>
              <w:t xml:space="preserve"> </w:t>
            </w:r>
            <w:proofErr w:type="spellStart"/>
            <w:r w:rsidRPr="008C2056">
              <w:rPr>
                <w:rFonts w:ascii="Calibri" w:eastAsia="Times New Roman" w:hAnsi="Calibri" w:cs="Times New Roman"/>
                <w:color w:val="000000"/>
                <w:sz w:val="18"/>
                <w:szCs w:val="18"/>
              </w:rPr>
              <w:t>cooperation</w:t>
            </w:r>
            <w:proofErr w:type="spellEnd"/>
          </w:p>
        </w:tc>
      </w:tr>
      <w:tr w:rsidR="00205FC0" w:rsidRPr="00EE4813" w14:paraId="1FD47C79" w14:textId="77777777" w:rsidTr="008C2056">
        <w:trPr>
          <w:trHeight w:val="174"/>
        </w:trPr>
        <w:tc>
          <w:tcPr>
            <w:tcW w:w="3134" w:type="dxa"/>
            <w:vMerge/>
            <w:tcBorders>
              <w:left w:val="single" w:sz="8" w:space="0" w:color="auto"/>
              <w:right w:val="single" w:sz="4" w:space="0" w:color="auto"/>
            </w:tcBorders>
            <w:shd w:val="clear" w:color="auto" w:fill="auto"/>
            <w:vAlign w:val="bottom"/>
            <w:hideMark/>
          </w:tcPr>
          <w:p w14:paraId="209D26C0" w14:textId="77777777" w:rsidR="00205FC0" w:rsidRPr="00EE4813" w:rsidRDefault="00205FC0" w:rsidP="00205FC0">
            <w:pPr>
              <w:spacing w:after="0" w:line="240" w:lineRule="auto"/>
              <w:rPr>
                <w:rFonts w:ascii="Calibri" w:eastAsia="Times New Roman" w:hAnsi="Calibri" w:cs="Times New Roman"/>
                <w:color w:val="000000"/>
                <w:sz w:val="20"/>
                <w:szCs w:val="20"/>
              </w:rPr>
            </w:pPr>
          </w:p>
        </w:tc>
        <w:tc>
          <w:tcPr>
            <w:tcW w:w="7796" w:type="dxa"/>
            <w:tcBorders>
              <w:top w:val="single" w:sz="4" w:space="0" w:color="auto"/>
              <w:left w:val="nil"/>
              <w:bottom w:val="nil"/>
              <w:right w:val="single" w:sz="8" w:space="0" w:color="auto"/>
            </w:tcBorders>
            <w:shd w:val="clear" w:color="auto" w:fill="auto"/>
            <w:vAlign w:val="bottom"/>
            <w:hideMark/>
          </w:tcPr>
          <w:p w14:paraId="47E463C6" w14:textId="77777777" w:rsidR="00205FC0" w:rsidRPr="008C2056" w:rsidRDefault="00205FC0" w:rsidP="00205FC0">
            <w:pPr>
              <w:spacing w:after="0" w:line="200" w:lineRule="atLeast"/>
              <w:rPr>
                <w:rFonts w:ascii="Calibri" w:eastAsia="Times New Roman" w:hAnsi="Calibri" w:cs="Times New Roman"/>
                <w:color w:val="000000"/>
                <w:sz w:val="18"/>
                <w:szCs w:val="18"/>
              </w:rPr>
            </w:pPr>
            <w:proofErr w:type="spellStart"/>
            <w:r w:rsidRPr="008C2056">
              <w:rPr>
                <w:rFonts w:ascii="Calibri" w:eastAsia="Times New Roman" w:hAnsi="Calibri" w:cs="Times New Roman"/>
                <w:color w:val="000000"/>
                <w:sz w:val="18"/>
                <w:szCs w:val="18"/>
              </w:rPr>
              <w:t>Energy</w:t>
            </w:r>
            <w:proofErr w:type="spellEnd"/>
            <w:r w:rsidRPr="008C2056">
              <w:rPr>
                <w:rFonts w:ascii="Calibri" w:eastAsia="Times New Roman" w:hAnsi="Calibri" w:cs="Times New Roman"/>
                <w:color w:val="000000"/>
                <w:sz w:val="18"/>
                <w:szCs w:val="18"/>
              </w:rPr>
              <w:t xml:space="preserve"> transmission</w:t>
            </w:r>
          </w:p>
        </w:tc>
      </w:tr>
      <w:tr w:rsidR="00205FC0" w:rsidRPr="00EE4813" w14:paraId="7BFB52A2" w14:textId="77777777" w:rsidTr="008C2056">
        <w:trPr>
          <w:trHeight w:val="231"/>
        </w:trPr>
        <w:tc>
          <w:tcPr>
            <w:tcW w:w="3134" w:type="dxa"/>
            <w:vMerge/>
            <w:tcBorders>
              <w:left w:val="single" w:sz="8" w:space="0" w:color="auto"/>
              <w:bottom w:val="double" w:sz="6" w:space="0" w:color="auto"/>
              <w:right w:val="single" w:sz="4" w:space="0" w:color="auto"/>
            </w:tcBorders>
            <w:shd w:val="clear" w:color="auto" w:fill="auto"/>
            <w:vAlign w:val="bottom"/>
            <w:hideMark/>
          </w:tcPr>
          <w:p w14:paraId="35B7E3C2" w14:textId="77777777" w:rsidR="00205FC0" w:rsidRPr="00EE4813" w:rsidRDefault="00205FC0" w:rsidP="00205FC0">
            <w:pPr>
              <w:spacing w:after="0" w:line="240" w:lineRule="auto"/>
              <w:rPr>
                <w:rFonts w:ascii="Calibri" w:eastAsia="Times New Roman" w:hAnsi="Calibri" w:cs="Times New Roman"/>
                <w:color w:val="000000"/>
                <w:sz w:val="20"/>
                <w:szCs w:val="20"/>
              </w:rPr>
            </w:pPr>
          </w:p>
        </w:tc>
        <w:tc>
          <w:tcPr>
            <w:tcW w:w="7796" w:type="dxa"/>
            <w:tcBorders>
              <w:top w:val="single" w:sz="4" w:space="0" w:color="auto"/>
              <w:left w:val="nil"/>
              <w:bottom w:val="double" w:sz="6" w:space="0" w:color="auto"/>
              <w:right w:val="single" w:sz="8" w:space="0" w:color="auto"/>
            </w:tcBorders>
            <w:shd w:val="clear" w:color="auto" w:fill="auto"/>
            <w:vAlign w:val="bottom"/>
            <w:hideMark/>
          </w:tcPr>
          <w:p w14:paraId="6AA94CFC" w14:textId="77777777" w:rsidR="00205FC0" w:rsidRPr="008C2056" w:rsidRDefault="00205FC0" w:rsidP="00205FC0">
            <w:pPr>
              <w:spacing w:after="0" w:line="200" w:lineRule="atLeast"/>
              <w:rPr>
                <w:rFonts w:ascii="Calibri" w:eastAsia="Times New Roman" w:hAnsi="Calibri" w:cs="Times New Roman"/>
                <w:color w:val="000000"/>
                <w:sz w:val="18"/>
                <w:szCs w:val="18"/>
              </w:rPr>
            </w:pPr>
            <w:proofErr w:type="spellStart"/>
            <w:r w:rsidRPr="008C2056">
              <w:rPr>
                <w:rFonts w:ascii="Calibri" w:eastAsia="Times New Roman" w:hAnsi="Calibri" w:cs="Times New Roman"/>
                <w:color w:val="000000"/>
                <w:sz w:val="18"/>
                <w:szCs w:val="18"/>
              </w:rPr>
              <w:t>Energy</w:t>
            </w:r>
            <w:proofErr w:type="spellEnd"/>
            <w:r w:rsidRPr="008C2056">
              <w:rPr>
                <w:rFonts w:ascii="Calibri" w:eastAsia="Times New Roman" w:hAnsi="Calibri" w:cs="Times New Roman"/>
                <w:color w:val="000000"/>
                <w:sz w:val="18"/>
                <w:szCs w:val="18"/>
              </w:rPr>
              <w:t xml:space="preserve"> distribution</w:t>
            </w:r>
          </w:p>
        </w:tc>
      </w:tr>
      <w:tr w:rsidR="00205FC0" w:rsidRPr="00B71347" w14:paraId="4EFC26D0" w14:textId="77777777" w:rsidTr="00AE352F">
        <w:trPr>
          <w:trHeight w:val="247"/>
        </w:trPr>
        <w:tc>
          <w:tcPr>
            <w:tcW w:w="3134" w:type="dxa"/>
            <w:vMerge w:val="restart"/>
            <w:tcBorders>
              <w:top w:val="single" w:sz="4" w:space="0" w:color="4F81BD"/>
              <w:left w:val="single" w:sz="8" w:space="0" w:color="auto"/>
              <w:right w:val="single" w:sz="4" w:space="0" w:color="auto"/>
            </w:tcBorders>
            <w:shd w:val="clear" w:color="auto" w:fill="auto"/>
            <w:vAlign w:val="center"/>
            <w:hideMark/>
          </w:tcPr>
          <w:p w14:paraId="739E110D" w14:textId="77777777" w:rsidR="008C2056" w:rsidRPr="004408A1" w:rsidRDefault="00205FC0" w:rsidP="00AE352F">
            <w:pPr>
              <w:spacing w:after="0" w:line="240" w:lineRule="auto"/>
              <w:rPr>
                <w:rFonts w:ascii="Calibri" w:eastAsia="Times New Roman" w:hAnsi="Calibri" w:cs="Times New Roman"/>
                <w:color w:val="000000"/>
                <w:sz w:val="20"/>
                <w:szCs w:val="20"/>
                <w:lang w:val="en-GB"/>
              </w:rPr>
            </w:pPr>
            <w:r w:rsidRPr="004408A1">
              <w:rPr>
                <w:rFonts w:ascii="Calibri" w:eastAsia="Times New Roman" w:hAnsi="Calibri" w:cs="Times New Roman"/>
                <w:color w:val="000000"/>
                <w:sz w:val="20"/>
                <w:szCs w:val="20"/>
                <w:lang w:val="en-GB"/>
              </w:rPr>
              <w:t>10. Promotion of border management, and border security</w:t>
            </w:r>
          </w:p>
        </w:tc>
        <w:tc>
          <w:tcPr>
            <w:tcW w:w="7796" w:type="dxa"/>
            <w:tcBorders>
              <w:top w:val="single" w:sz="4" w:space="0" w:color="4F81BD"/>
              <w:left w:val="single" w:sz="4" w:space="0" w:color="auto"/>
              <w:bottom w:val="nil"/>
              <w:right w:val="single" w:sz="8" w:space="0" w:color="auto"/>
            </w:tcBorders>
            <w:shd w:val="clear" w:color="auto" w:fill="auto"/>
            <w:vAlign w:val="bottom"/>
            <w:hideMark/>
          </w:tcPr>
          <w:p w14:paraId="120117D6" w14:textId="77777777" w:rsidR="00205FC0" w:rsidRPr="004408A1" w:rsidRDefault="00205FC0"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Support to border efficiency and security</w:t>
            </w:r>
          </w:p>
        </w:tc>
      </w:tr>
      <w:tr w:rsidR="00205FC0" w:rsidRPr="00B71347" w14:paraId="2AA92E8A" w14:textId="77777777" w:rsidTr="008C2056">
        <w:trPr>
          <w:trHeight w:val="230"/>
        </w:trPr>
        <w:tc>
          <w:tcPr>
            <w:tcW w:w="3134" w:type="dxa"/>
            <w:vMerge/>
            <w:tcBorders>
              <w:left w:val="single" w:sz="8" w:space="0" w:color="auto"/>
              <w:right w:val="single" w:sz="4" w:space="0" w:color="auto"/>
            </w:tcBorders>
            <w:shd w:val="clear" w:color="auto" w:fill="auto"/>
            <w:vAlign w:val="bottom"/>
            <w:hideMark/>
          </w:tcPr>
          <w:p w14:paraId="3A69CAA3" w14:textId="77777777" w:rsidR="00205FC0" w:rsidRPr="004408A1" w:rsidRDefault="00205FC0" w:rsidP="00205FC0">
            <w:pPr>
              <w:spacing w:after="0" w:line="240" w:lineRule="auto"/>
              <w:rPr>
                <w:rFonts w:ascii="Calibri" w:eastAsia="Times New Roman" w:hAnsi="Calibri" w:cs="Times New Roman"/>
                <w:color w:val="000000"/>
                <w:sz w:val="20"/>
                <w:szCs w:val="20"/>
                <w:lang w:val="en-GB"/>
              </w:rPr>
            </w:pPr>
          </w:p>
        </w:tc>
        <w:tc>
          <w:tcPr>
            <w:tcW w:w="7796" w:type="dxa"/>
            <w:tcBorders>
              <w:top w:val="single" w:sz="4" w:space="0" w:color="auto"/>
              <w:left w:val="nil"/>
              <w:bottom w:val="nil"/>
              <w:right w:val="single" w:sz="8" w:space="0" w:color="auto"/>
            </w:tcBorders>
            <w:shd w:val="clear" w:color="auto" w:fill="auto"/>
            <w:vAlign w:val="bottom"/>
            <w:hideMark/>
          </w:tcPr>
          <w:p w14:paraId="078F973A" w14:textId="77777777" w:rsidR="00205FC0" w:rsidRPr="004408A1" w:rsidRDefault="00205FC0"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Improvement of the border-crossing infrastructure and equipment at the border crossing points</w:t>
            </w:r>
          </w:p>
        </w:tc>
      </w:tr>
      <w:tr w:rsidR="00205FC0" w:rsidRPr="00B71347" w14:paraId="68D9BB4E" w14:textId="77777777" w:rsidTr="008C2056">
        <w:trPr>
          <w:trHeight w:val="88"/>
        </w:trPr>
        <w:tc>
          <w:tcPr>
            <w:tcW w:w="3134" w:type="dxa"/>
            <w:vMerge/>
            <w:tcBorders>
              <w:left w:val="single" w:sz="8" w:space="0" w:color="auto"/>
              <w:bottom w:val="single" w:sz="8" w:space="0" w:color="auto"/>
              <w:right w:val="single" w:sz="4" w:space="0" w:color="auto"/>
            </w:tcBorders>
            <w:shd w:val="clear" w:color="auto" w:fill="auto"/>
            <w:vAlign w:val="bottom"/>
            <w:hideMark/>
          </w:tcPr>
          <w:p w14:paraId="376B2CE4" w14:textId="77777777" w:rsidR="00205FC0" w:rsidRPr="004408A1" w:rsidRDefault="00205FC0" w:rsidP="00205FC0">
            <w:pPr>
              <w:spacing w:after="0" w:line="240" w:lineRule="auto"/>
              <w:rPr>
                <w:rFonts w:ascii="Calibri" w:eastAsia="Times New Roman" w:hAnsi="Calibri" w:cs="Times New Roman"/>
                <w:color w:val="000000"/>
                <w:sz w:val="20"/>
                <w:szCs w:val="20"/>
                <w:lang w:val="en-GB"/>
              </w:rPr>
            </w:pPr>
          </w:p>
        </w:tc>
        <w:tc>
          <w:tcPr>
            <w:tcW w:w="7796" w:type="dxa"/>
            <w:tcBorders>
              <w:top w:val="single" w:sz="4" w:space="0" w:color="auto"/>
              <w:left w:val="nil"/>
              <w:bottom w:val="single" w:sz="8" w:space="0" w:color="auto"/>
              <w:right w:val="single" w:sz="8" w:space="0" w:color="auto"/>
            </w:tcBorders>
            <w:shd w:val="clear" w:color="auto" w:fill="auto"/>
            <w:vAlign w:val="bottom"/>
            <w:hideMark/>
          </w:tcPr>
          <w:p w14:paraId="25A5E89E" w14:textId="77777777" w:rsidR="00205FC0" w:rsidRPr="004408A1" w:rsidRDefault="00205FC0" w:rsidP="00205FC0">
            <w:pPr>
              <w:spacing w:after="0" w:line="200" w:lineRule="atLeast"/>
              <w:rPr>
                <w:rFonts w:ascii="Calibri" w:eastAsia="Times New Roman" w:hAnsi="Calibri" w:cs="Times New Roman"/>
                <w:color w:val="000000"/>
                <w:sz w:val="18"/>
                <w:szCs w:val="18"/>
                <w:lang w:val="en-GB"/>
              </w:rPr>
            </w:pPr>
            <w:r w:rsidRPr="004408A1">
              <w:rPr>
                <w:rFonts w:ascii="Calibri" w:eastAsia="Times New Roman" w:hAnsi="Calibri" w:cs="Times New Roman"/>
                <w:color w:val="000000"/>
                <w:sz w:val="18"/>
                <w:szCs w:val="18"/>
                <w:lang w:val="en-GB"/>
              </w:rPr>
              <w:t>Improvement of border management operations, customs and visa procedures</w:t>
            </w:r>
          </w:p>
        </w:tc>
      </w:tr>
    </w:tbl>
    <w:p w14:paraId="03F38B3D" w14:textId="77777777" w:rsidR="00A11E61" w:rsidRDefault="00BB4E77" w:rsidP="00394215">
      <w:pPr>
        <w:spacing w:before="120" w:after="0" w:line="240" w:lineRule="auto"/>
        <w:rPr>
          <w:sz w:val="22"/>
          <w:szCs w:val="22"/>
          <w:lang w:val="en-GB"/>
        </w:rPr>
      </w:pPr>
      <w:proofErr w:type="gramStart"/>
      <w:r w:rsidRPr="008C6029">
        <w:rPr>
          <w:rFonts w:eastAsia="Times New Roman" w:cs="Times New Roman"/>
          <w:i/>
          <w:color w:val="000000"/>
          <w:sz w:val="20"/>
          <w:szCs w:val="20"/>
          <w:lang w:val="en-GB"/>
        </w:rPr>
        <w:t>Table 1.</w:t>
      </w:r>
      <w:proofErr w:type="gramEnd"/>
      <w:r w:rsidRPr="008C6029">
        <w:rPr>
          <w:rFonts w:eastAsia="Times New Roman" w:cs="Times New Roman"/>
          <w:i/>
          <w:color w:val="000000"/>
          <w:sz w:val="20"/>
          <w:szCs w:val="20"/>
          <w:lang w:val="en-GB"/>
        </w:rPr>
        <w:t xml:space="preserve"> Combined outcome</w:t>
      </w:r>
      <w:r w:rsidR="00394215">
        <w:rPr>
          <w:rFonts w:eastAsia="Times New Roman" w:cs="Times New Roman"/>
          <w:i/>
          <w:color w:val="000000"/>
          <w:sz w:val="20"/>
          <w:szCs w:val="20"/>
          <w:lang w:val="en-GB"/>
        </w:rPr>
        <w:t>s</w:t>
      </w:r>
      <w:r w:rsidRPr="008C6029">
        <w:rPr>
          <w:rFonts w:eastAsia="Times New Roman" w:cs="Times New Roman"/>
          <w:i/>
          <w:color w:val="000000"/>
          <w:sz w:val="20"/>
          <w:szCs w:val="20"/>
          <w:lang w:val="en-GB"/>
        </w:rPr>
        <w:t xml:space="preserve"> </w:t>
      </w:r>
      <w:r w:rsidR="00AC1CEA" w:rsidRPr="008C6029">
        <w:rPr>
          <w:rFonts w:eastAsia="Times New Roman" w:cs="Times New Roman"/>
          <w:i/>
          <w:color w:val="000000"/>
          <w:sz w:val="20"/>
          <w:szCs w:val="20"/>
          <w:lang w:val="en-GB"/>
        </w:rPr>
        <w:t xml:space="preserve">of SWOT and past experience </w:t>
      </w:r>
      <w:r w:rsidR="00394215">
        <w:rPr>
          <w:rFonts w:eastAsia="Times New Roman" w:cs="Times New Roman"/>
          <w:i/>
          <w:color w:val="000000"/>
          <w:sz w:val="20"/>
          <w:szCs w:val="20"/>
          <w:lang w:val="en-GB"/>
        </w:rPr>
        <w:t xml:space="preserve">analyses </w:t>
      </w:r>
      <w:r w:rsidR="00AC1CEA" w:rsidRPr="008C6029">
        <w:rPr>
          <w:rFonts w:eastAsia="Times New Roman" w:cs="Times New Roman"/>
          <w:i/>
          <w:color w:val="000000"/>
          <w:sz w:val="20"/>
          <w:szCs w:val="20"/>
          <w:lang w:val="en-GB"/>
        </w:rPr>
        <w:t>(stakeholder</w:t>
      </w:r>
      <w:r w:rsidR="00784375">
        <w:rPr>
          <w:rFonts w:eastAsia="Times New Roman" w:cs="Times New Roman"/>
          <w:i/>
          <w:color w:val="000000"/>
          <w:sz w:val="20"/>
          <w:szCs w:val="20"/>
          <w:lang w:val="en-GB"/>
        </w:rPr>
        <w:t xml:space="preserve"> survey and mapping of project)</w:t>
      </w:r>
    </w:p>
    <w:p w14:paraId="313145DA" w14:textId="77777777" w:rsidR="00541CA7" w:rsidRDefault="00541CA7" w:rsidP="00EE604A">
      <w:pPr>
        <w:spacing w:after="60" w:line="264" w:lineRule="auto"/>
        <w:jc w:val="both"/>
        <w:rPr>
          <w:sz w:val="22"/>
          <w:szCs w:val="22"/>
          <w:lang w:val="en-GB"/>
        </w:rPr>
      </w:pPr>
    </w:p>
    <w:p w14:paraId="4A5199DB" w14:textId="77777777" w:rsidR="00BF7D2D" w:rsidRPr="0044608C" w:rsidRDefault="0022669D" w:rsidP="00EE604A">
      <w:pPr>
        <w:spacing w:after="60" w:line="264" w:lineRule="auto"/>
        <w:jc w:val="both"/>
        <w:rPr>
          <w:sz w:val="22"/>
          <w:szCs w:val="22"/>
          <w:lang w:val="en-GB"/>
        </w:rPr>
      </w:pPr>
      <w:r w:rsidRPr="00056C65">
        <w:rPr>
          <w:b/>
          <w:sz w:val="22"/>
          <w:szCs w:val="22"/>
          <w:lang w:val="en-GB"/>
        </w:rPr>
        <w:t xml:space="preserve">The </w:t>
      </w:r>
      <w:r w:rsidR="00BF7D2D" w:rsidRPr="00056C65">
        <w:rPr>
          <w:b/>
          <w:sz w:val="22"/>
          <w:szCs w:val="22"/>
          <w:lang w:val="en-GB"/>
        </w:rPr>
        <w:t>combined analyses show that Thematic Objectives 4, 6 and 7 were broadly supported overall</w:t>
      </w:r>
      <w:r w:rsidR="00BF7D2D" w:rsidRPr="00056C65">
        <w:rPr>
          <w:b/>
          <w:i/>
          <w:sz w:val="22"/>
          <w:szCs w:val="22"/>
          <w:lang w:val="en-GB"/>
        </w:rPr>
        <w:t>,</w:t>
      </w:r>
      <w:r w:rsidR="00BF7D2D" w:rsidRPr="00056C65">
        <w:rPr>
          <w:b/>
          <w:sz w:val="22"/>
          <w:szCs w:val="22"/>
          <w:lang w:val="en-GB"/>
        </w:rPr>
        <w:t xml:space="preserve"> while some indicative priorities under Thematic Objectives </w:t>
      </w:r>
      <w:r w:rsidR="00BF7D2D" w:rsidRPr="000765C6">
        <w:rPr>
          <w:b/>
          <w:sz w:val="22"/>
          <w:szCs w:val="22"/>
          <w:lang w:val="en-GB"/>
        </w:rPr>
        <w:t xml:space="preserve">1, 2, 3 and 8 were also strongly supported </w:t>
      </w:r>
      <w:r w:rsidR="00BF7D2D" w:rsidRPr="00941BEF">
        <w:rPr>
          <w:sz w:val="22"/>
          <w:szCs w:val="22"/>
          <w:lang w:val="en-GB"/>
        </w:rPr>
        <w:t>(</w:t>
      </w:r>
      <w:r w:rsidR="00C429DD" w:rsidRPr="00941BEF">
        <w:rPr>
          <w:sz w:val="22"/>
          <w:szCs w:val="22"/>
          <w:lang w:val="en-GB"/>
        </w:rPr>
        <w:t xml:space="preserve">see </w:t>
      </w:r>
      <w:r w:rsidR="00374D88" w:rsidRPr="00941BEF">
        <w:rPr>
          <w:sz w:val="22"/>
          <w:szCs w:val="22"/>
          <w:lang w:val="en-GB"/>
        </w:rPr>
        <w:t xml:space="preserve">the </w:t>
      </w:r>
      <w:r w:rsidR="00C429DD" w:rsidRPr="00941BEF">
        <w:rPr>
          <w:sz w:val="22"/>
          <w:szCs w:val="22"/>
          <w:lang w:val="en-GB"/>
        </w:rPr>
        <w:t>summary in the table above</w:t>
      </w:r>
      <w:r w:rsidR="00941BEF" w:rsidRPr="00941BEF">
        <w:rPr>
          <w:sz w:val="22"/>
          <w:szCs w:val="22"/>
          <w:lang w:val="en-GB"/>
        </w:rPr>
        <w:t>)</w:t>
      </w:r>
      <w:r w:rsidR="00BF7D2D" w:rsidRPr="00941BEF">
        <w:rPr>
          <w:sz w:val="22"/>
          <w:szCs w:val="22"/>
          <w:lang w:val="en-GB"/>
        </w:rPr>
        <w:t xml:space="preserve">. </w:t>
      </w:r>
      <w:r w:rsidR="00BF7D2D" w:rsidRPr="0044608C">
        <w:rPr>
          <w:sz w:val="22"/>
          <w:szCs w:val="22"/>
          <w:lang w:val="en-GB"/>
        </w:rPr>
        <w:t xml:space="preserve">On the other hand, </w:t>
      </w:r>
      <w:r w:rsidR="00374D88">
        <w:rPr>
          <w:sz w:val="22"/>
          <w:szCs w:val="22"/>
          <w:lang w:val="en-GB"/>
        </w:rPr>
        <w:t>T</w:t>
      </w:r>
      <w:r w:rsidR="00BF7D2D" w:rsidRPr="0044608C">
        <w:rPr>
          <w:sz w:val="22"/>
          <w:szCs w:val="22"/>
          <w:lang w:val="en-GB"/>
        </w:rPr>
        <w:t xml:space="preserve">hematic </w:t>
      </w:r>
      <w:r w:rsidR="00374D88">
        <w:rPr>
          <w:sz w:val="22"/>
          <w:szCs w:val="22"/>
          <w:lang w:val="en-GB"/>
        </w:rPr>
        <w:t>O</w:t>
      </w:r>
      <w:r w:rsidR="00BF7D2D" w:rsidRPr="0044608C">
        <w:rPr>
          <w:sz w:val="22"/>
          <w:szCs w:val="22"/>
          <w:lang w:val="en-GB"/>
        </w:rPr>
        <w:t>bjectives 5 and especially 9 and 10 were very hard to justify on the basis of the SWOT and past experience analyses.</w:t>
      </w:r>
      <w:r w:rsidR="00BF7D2D" w:rsidRPr="0044608C">
        <w:rPr>
          <w:lang w:val="en-GB"/>
        </w:rPr>
        <w:t xml:space="preserve"> </w:t>
      </w:r>
    </w:p>
    <w:p w14:paraId="37884259" w14:textId="77777777" w:rsidR="00BF7D2D" w:rsidRDefault="00BF7D2D" w:rsidP="00EE604A">
      <w:pPr>
        <w:spacing w:after="60" w:line="264" w:lineRule="auto"/>
        <w:jc w:val="both"/>
        <w:rPr>
          <w:sz w:val="22"/>
          <w:szCs w:val="22"/>
          <w:lang w:val="en-GB"/>
        </w:rPr>
      </w:pPr>
      <w:r>
        <w:rPr>
          <w:sz w:val="22"/>
          <w:szCs w:val="22"/>
          <w:lang w:val="en-GB"/>
        </w:rPr>
        <w:t>The SWOT and past experience analys</w:t>
      </w:r>
      <w:r w:rsidR="00394215">
        <w:rPr>
          <w:sz w:val="22"/>
          <w:szCs w:val="22"/>
          <w:lang w:val="en-GB"/>
        </w:rPr>
        <w:t>e</w:t>
      </w:r>
      <w:r>
        <w:rPr>
          <w:sz w:val="22"/>
          <w:szCs w:val="22"/>
          <w:lang w:val="en-GB"/>
        </w:rPr>
        <w:t xml:space="preserve">s </w:t>
      </w:r>
      <w:r w:rsidR="00394215" w:rsidRPr="00394215">
        <w:rPr>
          <w:sz w:val="22"/>
          <w:szCs w:val="22"/>
          <w:lang w:val="en-GB"/>
        </w:rPr>
        <w:t>led to the</w:t>
      </w:r>
      <w:r w:rsidR="00394215">
        <w:rPr>
          <w:b/>
          <w:sz w:val="22"/>
          <w:szCs w:val="22"/>
          <w:lang w:val="en-GB"/>
        </w:rPr>
        <w:t xml:space="preserve"> elimination</w:t>
      </w:r>
      <w:r w:rsidR="005B19D4">
        <w:rPr>
          <w:b/>
          <w:sz w:val="22"/>
          <w:szCs w:val="22"/>
          <w:lang w:val="en-GB"/>
        </w:rPr>
        <w:t xml:space="preserve"> of</w:t>
      </w:r>
      <w:r w:rsidR="00394215">
        <w:rPr>
          <w:b/>
          <w:sz w:val="22"/>
          <w:szCs w:val="22"/>
          <w:lang w:val="en-GB"/>
        </w:rPr>
        <w:t xml:space="preserve"> </w:t>
      </w:r>
      <w:r w:rsidR="00AE352F">
        <w:rPr>
          <w:b/>
          <w:sz w:val="22"/>
          <w:szCs w:val="22"/>
          <w:lang w:val="en-GB"/>
        </w:rPr>
        <w:t>T</w:t>
      </w:r>
      <w:r w:rsidRPr="00056C65">
        <w:rPr>
          <w:b/>
          <w:sz w:val="22"/>
          <w:szCs w:val="22"/>
          <w:lang w:val="en-GB"/>
        </w:rPr>
        <w:t xml:space="preserve">hematic </w:t>
      </w:r>
      <w:r w:rsidR="00AE352F">
        <w:rPr>
          <w:b/>
          <w:sz w:val="22"/>
          <w:szCs w:val="22"/>
          <w:lang w:val="en-GB"/>
        </w:rPr>
        <w:t>O</w:t>
      </w:r>
      <w:r w:rsidRPr="00056C65">
        <w:rPr>
          <w:b/>
          <w:sz w:val="22"/>
          <w:szCs w:val="22"/>
          <w:lang w:val="en-GB"/>
        </w:rPr>
        <w:t xml:space="preserve">bjectives 9 and 10 from further consultations and </w:t>
      </w:r>
      <w:r w:rsidR="00861DD0">
        <w:rPr>
          <w:b/>
          <w:sz w:val="22"/>
          <w:szCs w:val="22"/>
          <w:lang w:val="en-GB"/>
        </w:rPr>
        <w:t>the targeting of relevant</w:t>
      </w:r>
      <w:r w:rsidRPr="00056C65">
        <w:rPr>
          <w:b/>
          <w:sz w:val="22"/>
          <w:szCs w:val="22"/>
          <w:lang w:val="en-GB"/>
        </w:rPr>
        <w:t xml:space="preserve"> indicative priorities </w:t>
      </w:r>
      <w:r w:rsidR="00861DD0">
        <w:rPr>
          <w:b/>
          <w:sz w:val="22"/>
          <w:szCs w:val="22"/>
          <w:lang w:val="en-GB"/>
        </w:rPr>
        <w:t>under</w:t>
      </w:r>
      <w:r w:rsidR="00861DD0" w:rsidRPr="00056C65">
        <w:rPr>
          <w:b/>
          <w:sz w:val="22"/>
          <w:szCs w:val="22"/>
          <w:lang w:val="en-GB"/>
        </w:rPr>
        <w:t xml:space="preserve"> </w:t>
      </w:r>
      <w:r w:rsidRPr="00056C65">
        <w:rPr>
          <w:b/>
          <w:sz w:val="22"/>
          <w:szCs w:val="22"/>
          <w:lang w:val="en-GB"/>
        </w:rPr>
        <w:t xml:space="preserve">the remaining objectives </w:t>
      </w:r>
      <w:r w:rsidR="00861DD0">
        <w:rPr>
          <w:b/>
          <w:sz w:val="22"/>
          <w:szCs w:val="22"/>
          <w:lang w:val="en-GB"/>
        </w:rPr>
        <w:t>as presenting</w:t>
      </w:r>
      <w:r w:rsidRPr="00056C65">
        <w:rPr>
          <w:b/>
          <w:sz w:val="22"/>
          <w:szCs w:val="22"/>
          <w:lang w:val="en-GB"/>
        </w:rPr>
        <w:t xml:space="preserve"> the most interesting potential</w:t>
      </w:r>
      <w:r>
        <w:rPr>
          <w:sz w:val="22"/>
          <w:szCs w:val="22"/>
          <w:lang w:val="en-GB"/>
        </w:rPr>
        <w:t xml:space="preserve"> for cooperation within the Black Sea Basin.</w:t>
      </w:r>
    </w:p>
    <w:p w14:paraId="0166175E" w14:textId="77777777" w:rsidR="00424D44" w:rsidRPr="0025034F" w:rsidRDefault="00CF423C" w:rsidP="00EE604A">
      <w:pPr>
        <w:pStyle w:val="Heading3"/>
        <w:spacing w:before="200" w:after="120" w:line="264" w:lineRule="auto"/>
        <w:rPr>
          <w:b/>
          <w:sz w:val="28"/>
          <w:szCs w:val="28"/>
          <w:lang w:val="en-GB"/>
        </w:rPr>
      </w:pPr>
      <w:bookmarkStart w:id="55" w:name="_Toc423436282"/>
      <w:r>
        <w:rPr>
          <w:b/>
          <w:sz w:val="28"/>
          <w:szCs w:val="28"/>
          <w:lang w:val="en-GB"/>
        </w:rPr>
        <w:t xml:space="preserve">4.2 </w:t>
      </w:r>
      <w:r w:rsidR="005E36DF" w:rsidRPr="0025034F">
        <w:rPr>
          <w:b/>
          <w:sz w:val="28"/>
          <w:szCs w:val="28"/>
          <w:lang w:val="en-GB"/>
        </w:rPr>
        <w:t>S</w:t>
      </w:r>
      <w:r w:rsidR="00D263D1">
        <w:rPr>
          <w:b/>
          <w:sz w:val="28"/>
          <w:szCs w:val="28"/>
          <w:lang w:val="en-GB"/>
        </w:rPr>
        <w:t>takeholder</w:t>
      </w:r>
      <w:r w:rsidR="005E36DF" w:rsidRPr="0025034F">
        <w:rPr>
          <w:b/>
          <w:sz w:val="28"/>
          <w:szCs w:val="28"/>
          <w:lang w:val="en-GB"/>
        </w:rPr>
        <w:t xml:space="preserve"> consultations</w:t>
      </w:r>
      <w:bookmarkEnd w:id="55"/>
    </w:p>
    <w:p w14:paraId="449B2C1E" w14:textId="77777777" w:rsidR="001D6B44" w:rsidRDefault="000A20CF" w:rsidP="00EE604A">
      <w:pPr>
        <w:spacing w:before="120" w:after="0" w:line="264" w:lineRule="auto"/>
        <w:jc w:val="both"/>
        <w:rPr>
          <w:sz w:val="22"/>
          <w:szCs w:val="22"/>
          <w:lang w:val="en-GB"/>
        </w:rPr>
      </w:pPr>
      <w:r>
        <w:rPr>
          <w:sz w:val="22"/>
          <w:szCs w:val="22"/>
          <w:lang w:val="en-GB"/>
        </w:rPr>
        <w:t xml:space="preserve">The SWOT analysis and the </w:t>
      </w:r>
      <w:r w:rsidR="00861DD0">
        <w:rPr>
          <w:sz w:val="22"/>
          <w:szCs w:val="22"/>
          <w:lang w:val="en-GB"/>
        </w:rPr>
        <w:t xml:space="preserve">eight </w:t>
      </w:r>
      <w:r>
        <w:rPr>
          <w:sz w:val="22"/>
          <w:szCs w:val="22"/>
          <w:lang w:val="en-GB"/>
        </w:rPr>
        <w:t xml:space="preserve">remaining </w:t>
      </w:r>
      <w:r w:rsidR="00374D88">
        <w:rPr>
          <w:sz w:val="22"/>
          <w:szCs w:val="22"/>
          <w:lang w:val="en-GB"/>
        </w:rPr>
        <w:t>T</w:t>
      </w:r>
      <w:r>
        <w:rPr>
          <w:sz w:val="22"/>
          <w:szCs w:val="22"/>
          <w:lang w:val="en-GB"/>
        </w:rPr>
        <w:t xml:space="preserve">hematic </w:t>
      </w:r>
      <w:r w:rsidR="00374D88">
        <w:rPr>
          <w:sz w:val="22"/>
          <w:szCs w:val="22"/>
          <w:lang w:val="en-GB"/>
        </w:rPr>
        <w:t>O</w:t>
      </w:r>
      <w:r>
        <w:rPr>
          <w:sz w:val="22"/>
          <w:szCs w:val="22"/>
          <w:lang w:val="en-GB"/>
        </w:rPr>
        <w:t>bjectives, focused on a limited number of priorities,</w:t>
      </w:r>
      <w:r w:rsidR="00243AF3">
        <w:rPr>
          <w:sz w:val="22"/>
          <w:szCs w:val="22"/>
          <w:lang w:val="en-GB"/>
        </w:rPr>
        <w:t xml:space="preserve"> were further consulted with a wide range of stakeholders</w:t>
      </w:r>
      <w:r w:rsidR="001D6B44">
        <w:rPr>
          <w:sz w:val="22"/>
          <w:szCs w:val="22"/>
          <w:lang w:val="en-GB"/>
        </w:rPr>
        <w:t>:</w:t>
      </w:r>
    </w:p>
    <w:p w14:paraId="0FF852DE" w14:textId="390EB83D" w:rsidR="00243AF3" w:rsidRDefault="009B7F23" w:rsidP="00F939DC">
      <w:pPr>
        <w:pStyle w:val="ListParagraph"/>
        <w:numPr>
          <w:ilvl w:val="0"/>
          <w:numId w:val="11"/>
        </w:numPr>
        <w:spacing w:before="120" w:after="0" w:line="264" w:lineRule="auto"/>
        <w:ind w:left="714" w:hanging="357"/>
        <w:contextualSpacing w:val="0"/>
        <w:jc w:val="both"/>
        <w:rPr>
          <w:sz w:val="22"/>
          <w:szCs w:val="22"/>
          <w:lang w:val="en-GB"/>
        </w:rPr>
      </w:pPr>
      <w:r w:rsidRPr="009B7F23">
        <w:rPr>
          <w:b/>
          <w:sz w:val="22"/>
          <w:szCs w:val="22"/>
          <w:lang w:val="en-GB"/>
        </w:rPr>
        <w:t>D</w:t>
      </w:r>
      <w:r w:rsidR="00440DD2" w:rsidRPr="009B7F23">
        <w:rPr>
          <w:b/>
          <w:sz w:val="22"/>
          <w:szCs w:val="22"/>
          <w:lang w:val="en-GB"/>
        </w:rPr>
        <w:t xml:space="preserve">uring the </w:t>
      </w:r>
      <w:r w:rsidR="00CD6FAC" w:rsidRPr="009B7F23">
        <w:rPr>
          <w:b/>
          <w:sz w:val="22"/>
          <w:szCs w:val="22"/>
          <w:lang w:val="en-GB"/>
        </w:rPr>
        <w:t xml:space="preserve">Black Sea Basin </w:t>
      </w:r>
      <w:r w:rsidR="006860AD">
        <w:rPr>
          <w:b/>
          <w:sz w:val="22"/>
          <w:szCs w:val="22"/>
          <w:lang w:val="en-GB"/>
        </w:rPr>
        <w:t xml:space="preserve">ENPI CBC </w:t>
      </w:r>
      <w:r w:rsidR="00CD6FAC" w:rsidRPr="009B7F23">
        <w:rPr>
          <w:b/>
          <w:sz w:val="22"/>
          <w:szCs w:val="22"/>
          <w:lang w:val="en-GB"/>
        </w:rPr>
        <w:t xml:space="preserve">programme </w:t>
      </w:r>
      <w:r w:rsidR="006860AD">
        <w:rPr>
          <w:b/>
          <w:sz w:val="22"/>
          <w:szCs w:val="22"/>
          <w:lang w:val="en-GB"/>
        </w:rPr>
        <w:t xml:space="preserve">2007-2013 </w:t>
      </w:r>
      <w:r w:rsidR="00CD6FAC" w:rsidRPr="009B7F23">
        <w:rPr>
          <w:b/>
          <w:sz w:val="22"/>
          <w:szCs w:val="22"/>
          <w:lang w:val="en-GB"/>
        </w:rPr>
        <w:t>annual conference</w:t>
      </w:r>
      <w:r>
        <w:rPr>
          <w:sz w:val="22"/>
          <w:szCs w:val="22"/>
          <w:lang w:val="en-GB"/>
        </w:rPr>
        <w:t xml:space="preserve"> held in Istanbul, Turkey on 5</w:t>
      </w:r>
      <w:r w:rsidRPr="009B7F23">
        <w:rPr>
          <w:sz w:val="22"/>
          <w:szCs w:val="22"/>
          <w:lang w:val="en-GB"/>
        </w:rPr>
        <w:t>th</w:t>
      </w:r>
      <w:r w:rsidR="003A075B">
        <w:rPr>
          <w:sz w:val="22"/>
          <w:szCs w:val="22"/>
          <w:lang w:val="en-GB"/>
        </w:rPr>
        <w:t xml:space="preserve"> December 2013. </w:t>
      </w:r>
      <w:r w:rsidRPr="009B7F23">
        <w:rPr>
          <w:sz w:val="22"/>
          <w:szCs w:val="22"/>
          <w:lang w:val="en-GB"/>
        </w:rPr>
        <w:t xml:space="preserve">The conference </w:t>
      </w:r>
      <w:r w:rsidR="00374D88">
        <w:rPr>
          <w:sz w:val="22"/>
          <w:szCs w:val="22"/>
          <w:lang w:val="en-GB"/>
        </w:rPr>
        <w:t>participants included</w:t>
      </w:r>
      <w:r w:rsidR="00861DD0">
        <w:rPr>
          <w:sz w:val="22"/>
          <w:szCs w:val="22"/>
          <w:lang w:val="en-GB"/>
        </w:rPr>
        <w:t xml:space="preserve"> </w:t>
      </w:r>
      <w:r w:rsidRPr="009B7F23">
        <w:rPr>
          <w:sz w:val="22"/>
          <w:szCs w:val="22"/>
          <w:lang w:val="en-GB"/>
        </w:rPr>
        <w:t>representatives of national, r</w:t>
      </w:r>
      <w:r w:rsidR="003A075B">
        <w:rPr>
          <w:sz w:val="22"/>
          <w:szCs w:val="22"/>
          <w:lang w:val="en-GB"/>
        </w:rPr>
        <w:t>egional and local authorities, NGO</w:t>
      </w:r>
      <w:r w:rsidRPr="009B7F23">
        <w:rPr>
          <w:sz w:val="22"/>
          <w:szCs w:val="22"/>
          <w:lang w:val="en-GB"/>
        </w:rPr>
        <w:t xml:space="preserve">, researchers and </w:t>
      </w:r>
      <w:r w:rsidR="003A075B">
        <w:rPr>
          <w:sz w:val="22"/>
          <w:szCs w:val="22"/>
          <w:lang w:val="en-GB"/>
        </w:rPr>
        <w:t xml:space="preserve">academics, as well as </w:t>
      </w:r>
      <w:r w:rsidRPr="009B7F23">
        <w:rPr>
          <w:sz w:val="22"/>
          <w:szCs w:val="22"/>
          <w:lang w:val="en-GB"/>
        </w:rPr>
        <w:t>other stakeholders active in the Black Sea Basin area</w:t>
      </w:r>
      <w:r w:rsidR="003A075B">
        <w:rPr>
          <w:sz w:val="22"/>
          <w:szCs w:val="22"/>
          <w:lang w:val="en-GB"/>
        </w:rPr>
        <w:t xml:space="preserve">. </w:t>
      </w:r>
      <w:r w:rsidR="007A7136">
        <w:rPr>
          <w:sz w:val="22"/>
          <w:szCs w:val="22"/>
          <w:lang w:val="en-GB"/>
        </w:rPr>
        <w:t>All countries participating in the Black Sea Basin 2007-13 were represented</w:t>
      </w:r>
      <w:r w:rsidR="000E09FC">
        <w:rPr>
          <w:sz w:val="22"/>
          <w:szCs w:val="22"/>
          <w:lang w:val="en-GB"/>
        </w:rPr>
        <w:t>.</w:t>
      </w:r>
      <w:r w:rsidR="007A7136">
        <w:rPr>
          <w:sz w:val="22"/>
          <w:szCs w:val="22"/>
          <w:lang w:val="en-GB"/>
        </w:rPr>
        <w:t xml:space="preserve"> </w:t>
      </w:r>
      <w:r w:rsidR="003A075B">
        <w:rPr>
          <w:sz w:val="22"/>
          <w:szCs w:val="22"/>
          <w:lang w:val="en-GB"/>
        </w:rPr>
        <w:t>A specific session was devoted to the review of the SWOT analysis and the thematic objectives.</w:t>
      </w:r>
    </w:p>
    <w:p w14:paraId="448FD707" w14:textId="77777777" w:rsidR="00DB269C" w:rsidRPr="00DB269C" w:rsidRDefault="00DB269C" w:rsidP="00DB269C">
      <w:pPr>
        <w:pStyle w:val="ListParagraph"/>
        <w:numPr>
          <w:ilvl w:val="0"/>
          <w:numId w:val="11"/>
        </w:numPr>
        <w:spacing w:before="120" w:after="0" w:line="264" w:lineRule="auto"/>
        <w:ind w:left="714" w:hanging="357"/>
        <w:contextualSpacing w:val="0"/>
        <w:jc w:val="both"/>
        <w:rPr>
          <w:b/>
          <w:sz w:val="22"/>
          <w:szCs w:val="22"/>
          <w:lang w:val="en-GB"/>
        </w:rPr>
      </w:pPr>
      <w:r w:rsidRPr="00861DD0">
        <w:rPr>
          <w:b/>
          <w:sz w:val="22"/>
          <w:szCs w:val="22"/>
          <w:lang w:val="en-GB"/>
        </w:rPr>
        <w:t xml:space="preserve">Via open online public consultation </w:t>
      </w:r>
      <w:r w:rsidRPr="00A34868">
        <w:rPr>
          <w:sz w:val="22"/>
          <w:szCs w:val="22"/>
          <w:lang w:val="en-GB"/>
        </w:rPr>
        <w:t>via t</w:t>
      </w:r>
      <w:r w:rsidRPr="00780B7D">
        <w:rPr>
          <w:sz w:val="22"/>
          <w:szCs w:val="22"/>
          <w:lang w:val="en-GB"/>
        </w:rPr>
        <w:t>he website of the current programme</w:t>
      </w:r>
      <w:r w:rsidRPr="00861DD0">
        <w:rPr>
          <w:b/>
          <w:sz w:val="22"/>
          <w:szCs w:val="22"/>
          <w:lang w:val="en-GB"/>
        </w:rPr>
        <w:t xml:space="preserve"> </w:t>
      </w:r>
      <w:r w:rsidRPr="00861DD0">
        <w:rPr>
          <w:sz w:val="22"/>
          <w:szCs w:val="22"/>
          <w:lang w:val="en-GB"/>
        </w:rPr>
        <w:t xml:space="preserve">and some </w:t>
      </w:r>
      <w:r>
        <w:rPr>
          <w:sz w:val="22"/>
          <w:szCs w:val="22"/>
          <w:lang w:val="en-GB"/>
        </w:rPr>
        <w:t>national</w:t>
      </w:r>
      <w:r w:rsidRPr="00861DD0">
        <w:rPr>
          <w:sz w:val="22"/>
          <w:szCs w:val="22"/>
          <w:lang w:val="en-GB"/>
        </w:rPr>
        <w:t xml:space="preserve"> websites. The Assembly of European Regions, the Conference of Peripheral Maritime Regions and the International </w:t>
      </w:r>
      <w:proofErr w:type="spellStart"/>
      <w:r w:rsidRPr="00861DD0">
        <w:rPr>
          <w:sz w:val="22"/>
          <w:szCs w:val="22"/>
          <w:lang w:val="en-GB"/>
        </w:rPr>
        <w:t>Center</w:t>
      </w:r>
      <w:proofErr w:type="spellEnd"/>
      <w:r w:rsidRPr="00861DD0">
        <w:rPr>
          <w:sz w:val="22"/>
          <w:szCs w:val="22"/>
          <w:lang w:val="en-GB"/>
        </w:rPr>
        <w:t xml:space="preserve"> for Migration Policy Development contributed notably to the consultation process.</w:t>
      </w:r>
    </w:p>
    <w:p w14:paraId="5D391337" w14:textId="020F3121" w:rsidR="001D6B44" w:rsidRPr="00500CC7" w:rsidRDefault="009B7F23" w:rsidP="00500CC7">
      <w:pPr>
        <w:pStyle w:val="ListParagraph"/>
        <w:numPr>
          <w:ilvl w:val="0"/>
          <w:numId w:val="11"/>
        </w:numPr>
        <w:spacing w:before="120" w:after="0" w:line="264" w:lineRule="auto"/>
        <w:ind w:left="714" w:hanging="357"/>
        <w:contextualSpacing w:val="0"/>
        <w:jc w:val="both"/>
        <w:rPr>
          <w:b/>
          <w:sz w:val="22"/>
          <w:szCs w:val="22"/>
          <w:lang w:val="en-GB"/>
        </w:rPr>
      </w:pPr>
      <w:r w:rsidRPr="009B7F23">
        <w:rPr>
          <w:b/>
          <w:sz w:val="22"/>
          <w:szCs w:val="22"/>
          <w:lang w:val="en-GB"/>
        </w:rPr>
        <w:t>T</w:t>
      </w:r>
      <w:r w:rsidR="0073092D" w:rsidRPr="009B7F23">
        <w:rPr>
          <w:b/>
          <w:sz w:val="22"/>
          <w:szCs w:val="22"/>
          <w:lang w:val="en-GB"/>
        </w:rPr>
        <w:t xml:space="preserve">hrough </w:t>
      </w:r>
      <w:r w:rsidRPr="009B7F23">
        <w:rPr>
          <w:b/>
          <w:sz w:val="22"/>
          <w:szCs w:val="22"/>
          <w:lang w:val="en-GB"/>
        </w:rPr>
        <w:t>stakeholder consultations (events and/or written consultations)</w:t>
      </w:r>
      <w:r>
        <w:rPr>
          <w:b/>
          <w:sz w:val="22"/>
          <w:szCs w:val="22"/>
          <w:lang w:val="en-GB"/>
        </w:rPr>
        <w:t xml:space="preserve"> in </w:t>
      </w:r>
      <w:r w:rsidR="001C68BF">
        <w:rPr>
          <w:b/>
          <w:sz w:val="22"/>
          <w:szCs w:val="22"/>
          <w:lang w:val="en-GB"/>
        </w:rPr>
        <w:t>participating</w:t>
      </w:r>
      <w:r w:rsidRPr="009B7F23">
        <w:rPr>
          <w:b/>
          <w:sz w:val="22"/>
          <w:szCs w:val="22"/>
          <w:lang w:val="en-GB"/>
        </w:rPr>
        <w:t xml:space="preserve"> countries</w:t>
      </w:r>
      <w:r w:rsidR="001C68BF">
        <w:rPr>
          <w:b/>
          <w:sz w:val="22"/>
          <w:szCs w:val="22"/>
          <w:lang w:val="en-GB"/>
        </w:rPr>
        <w:t xml:space="preserve"> </w:t>
      </w:r>
      <w:r w:rsidR="001C68BF" w:rsidRPr="001C68BF">
        <w:rPr>
          <w:sz w:val="22"/>
          <w:szCs w:val="22"/>
          <w:lang w:val="en-GB"/>
        </w:rPr>
        <w:t>from</w:t>
      </w:r>
      <w:r w:rsidRPr="009B7F23">
        <w:rPr>
          <w:b/>
          <w:sz w:val="22"/>
          <w:szCs w:val="22"/>
          <w:lang w:val="en-GB"/>
        </w:rPr>
        <w:t xml:space="preserve"> </w:t>
      </w:r>
      <w:r w:rsidR="001C68BF" w:rsidRPr="001C68BF">
        <w:rPr>
          <w:sz w:val="22"/>
          <w:szCs w:val="22"/>
          <w:lang w:val="en-GB"/>
        </w:rPr>
        <w:t>November 2013 to March 2014.</w:t>
      </w:r>
      <w:r w:rsidR="001C68BF">
        <w:rPr>
          <w:b/>
          <w:sz w:val="22"/>
          <w:szCs w:val="22"/>
          <w:lang w:val="en-GB"/>
        </w:rPr>
        <w:t xml:space="preserve"> </w:t>
      </w:r>
      <w:r w:rsidR="001C68BF" w:rsidRPr="001C68BF">
        <w:rPr>
          <w:sz w:val="22"/>
          <w:szCs w:val="22"/>
          <w:lang w:val="en-GB"/>
        </w:rPr>
        <w:t>Consultations were held at b</w:t>
      </w:r>
      <w:r w:rsidRPr="001C68BF">
        <w:rPr>
          <w:sz w:val="22"/>
          <w:szCs w:val="22"/>
          <w:lang w:val="en-GB"/>
        </w:rPr>
        <w:t>oth national</w:t>
      </w:r>
      <w:r w:rsidRPr="009B7F23">
        <w:rPr>
          <w:sz w:val="22"/>
          <w:szCs w:val="22"/>
          <w:lang w:val="en-GB"/>
        </w:rPr>
        <w:t xml:space="preserve"> and regional levels in </w:t>
      </w:r>
      <w:r w:rsidR="00135B6A">
        <w:rPr>
          <w:sz w:val="22"/>
          <w:szCs w:val="22"/>
          <w:lang w:val="en-GB"/>
        </w:rPr>
        <w:t xml:space="preserve">all actively </w:t>
      </w:r>
      <w:r w:rsidRPr="00B837D0">
        <w:rPr>
          <w:sz w:val="22"/>
          <w:szCs w:val="22"/>
          <w:lang w:val="en-GB"/>
        </w:rPr>
        <w:t>participating countries</w:t>
      </w:r>
      <w:r w:rsidR="00E31B1E" w:rsidRPr="00B837D0">
        <w:rPr>
          <w:sz w:val="22"/>
          <w:szCs w:val="22"/>
          <w:lang w:val="en-GB"/>
        </w:rPr>
        <w:t xml:space="preserve"> to allow consistency </w:t>
      </w:r>
      <w:r w:rsidRPr="00B837D0">
        <w:rPr>
          <w:sz w:val="22"/>
          <w:szCs w:val="22"/>
          <w:lang w:val="en-GB"/>
        </w:rPr>
        <w:t>with national/regional strategies as well as to include the views of the actors on the ground.</w:t>
      </w:r>
      <w:r w:rsidRPr="00C1244D">
        <w:rPr>
          <w:b/>
          <w:sz w:val="22"/>
          <w:szCs w:val="22"/>
          <w:lang w:val="en-GB"/>
        </w:rPr>
        <w:t xml:space="preserve"> </w:t>
      </w:r>
      <w:r w:rsidR="00067783" w:rsidRPr="004725B0">
        <w:rPr>
          <w:rFonts w:cs="Calibri"/>
          <w:sz w:val="22"/>
          <w:szCs w:val="22"/>
          <w:lang w:val="en-GB"/>
        </w:rPr>
        <w:t>C</w:t>
      </w:r>
      <w:r w:rsidR="005C029B" w:rsidRPr="004725B0">
        <w:rPr>
          <w:rFonts w:cs="Calibri"/>
          <w:sz w:val="22"/>
          <w:szCs w:val="22"/>
          <w:lang w:val="en-GB"/>
        </w:rPr>
        <w:t xml:space="preserve">onsultations included: </w:t>
      </w:r>
      <w:r w:rsidR="00E846C8">
        <w:rPr>
          <w:rFonts w:cs="Calibri"/>
          <w:sz w:val="22"/>
          <w:szCs w:val="22"/>
          <w:lang w:val="en-GB"/>
        </w:rPr>
        <w:t>c</w:t>
      </w:r>
      <w:r w:rsidR="005C029B" w:rsidRPr="004725B0">
        <w:rPr>
          <w:rFonts w:cs="Calibri"/>
          <w:sz w:val="22"/>
          <w:szCs w:val="22"/>
          <w:lang w:val="en-GB"/>
        </w:rPr>
        <w:t>omments</w:t>
      </w:r>
      <w:r w:rsidR="006F45D0" w:rsidRPr="004725B0">
        <w:rPr>
          <w:rFonts w:cs="Calibri"/>
          <w:sz w:val="22"/>
          <w:szCs w:val="22"/>
          <w:lang w:val="en-GB"/>
        </w:rPr>
        <w:t xml:space="preserve"> at national level</w:t>
      </w:r>
      <w:r w:rsidR="005C029B" w:rsidRPr="004725B0">
        <w:rPr>
          <w:rFonts w:cs="Calibri"/>
          <w:sz w:val="22"/>
          <w:szCs w:val="22"/>
          <w:lang w:val="en-GB"/>
        </w:rPr>
        <w:t xml:space="preserve"> by Bulgaria in December 2013; consultation events </w:t>
      </w:r>
      <w:r w:rsidR="00E519E3" w:rsidRPr="004725B0">
        <w:rPr>
          <w:rFonts w:cs="Calibri"/>
          <w:sz w:val="22"/>
          <w:szCs w:val="22"/>
          <w:lang w:val="en-GB"/>
        </w:rPr>
        <w:t xml:space="preserve">with wide stakeholders participation </w:t>
      </w:r>
      <w:r w:rsidR="005C029B" w:rsidRPr="004725B0">
        <w:rPr>
          <w:rFonts w:cs="Calibri"/>
          <w:sz w:val="22"/>
          <w:szCs w:val="22"/>
          <w:lang w:val="en-GB"/>
        </w:rPr>
        <w:t>held by the National Authorities of Armenia, Georgia, Republic of Moldova and Ukraine, in co-operation with EU Technical Assistance project ENI CBC - Support to the preparation of programmes (SPP), in January 2014; comments from national authorities in Greece (in December 2013) and input from wider stakeholders after the relevant documents were put on the website of the National Authority (</w:t>
      </w:r>
      <w:hyperlink r:id="rId49" w:history="1">
        <w:r w:rsidR="005C029B" w:rsidRPr="00F06BD2">
          <w:rPr>
            <w:rFonts w:cs="Calibri"/>
            <w:color w:val="0000FF"/>
            <w:sz w:val="22"/>
            <w:szCs w:val="22"/>
            <w:u w:val="single" w:color="0000FF"/>
            <w:lang w:val="en-GB"/>
          </w:rPr>
          <w:t>www.interreg.gr</w:t>
        </w:r>
      </w:hyperlink>
      <w:r w:rsidR="005C029B" w:rsidRPr="00F06BD2">
        <w:rPr>
          <w:rFonts w:cs="Calibri"/>
          <w:sz w:val="22"/>
          <w:szCs w:val="22"/>
          <w:lang w:val="en-GB"/>
        </w:rPr>
        <w:t>) and circulated to stakeholders by email early in 2014</w:t>
      </w:r>
      <w:r w:rsidR="004725B0">
        <w:rPr>
          <w:sz w:val="22"/>
          <w:szCs w:val="22"/>
          <w:lang w:val="en-GB"/>
        </w:rPr>
        <w:t>; public consultations a</w:t>
      </w:r>
      <w:r w:rsidR="00C81E18">
        <w:rPr>
          <w:sz w:val="22"/>
          <w:szCs w:val="22"/>
          <w:lang w:val="en-GB"/>
        </w:rPr>
        <w:t>t</w:t>
      </w:r>
      <w:r w:rsidR="00C132C7">
        <w:rPr>
          <w:sz w:val="22"/>
          <w:szCs w:val="22"/>
          <w:lang w:val="en-GB"/>
        </w:rPr>
        <w:t xml:space="preserve"> </w:t>
      </w:r>
      <w:r w:rsidR="004725B0">
        <w:rPr>
          <w:sz w:val="22"/>
          <w:szCs w:val="22"/>
          <w:lang w:val="en-GB"/>
        </w:rPr>
        <w:t>national</w:t>
      </w:r>
      <w:r w:rsidR="00C81E18">
        <w:rPr>
          <w:sz w:val="22"/>
          <w:szCs w:val="22"/>
          <w:lang w:val="en-GB"/>
        </w:rPr>
        <w:t>,</w:t>
      </w:r>
      <w:r w:rsidR="004725B0">
        <w:rPr>
          <w:sz w:val="22"/>
          <w:szCs w:val="22"/>
          <w:lang w:val="en-GB"/>
        </w:rPr>
        <w:t xml:space="preserve"> regional and local level in Romania in the first quarter of 2014. </w:t>
      </w:r>
    </w:p>
    <w:p w14:paraId="71A2FF7E" w14:textId="77777777" w:rsidR="00500CC7" w:rsidRPr="00500CC7" w:rsidRDefault="00667ED8" w:rsidP="00500CC7">
      <w:pPr>
        <w:spacing w:before="120" w:after="0" w:line="264" w:lineRule="auto"/>
        <w:jc w:val="both"/>
        <w:rPr>
          <w:b/>
          <w:sz w:val="22"/>
          <w:szCs w:val="22"/>
          <w:lang w:val="en-GB"/>
        </w:rPr>
      </w:pPr>
      <w:r w:rsidRPr="00667ED8">
        <w:rPr>
          <w:sz w:val="22"/>
          <w:szCs w:val="22"/>
          <w:lang w:val="en-GB"/>
        </w:rPr>
        <w:t>The</w:t>
      </w:r>
      <w:r w:rsidR="00D91412">
        <w:rPr>
          <w:sz w:val="22"/>
          <w:szCs w:val="22"/>
          <w:lang w:val="en-GB"/>
        </w:rPr>
        <w:t xml:space="preserve"> consultation process allowe</w:t>
      </w:r>
      <w:r w:rsidR="00E61C29">
        <w:rPr>
          <w:sz w:val="22"/>
          <w:szCs w:val="22"/>
          <w:lang w:val="en-GB"/>
        </w:rPr>
        <w:t xml:space="preserve">d </w:t>
      </w:r>
      <w:r w:rsidR="00374D88">
        <w:rPr>
          <w:sz w:val="22"/>
          <w:szCs w:val="22"/>
          <w:lang w:val="en-GB"/>
        </w:rPr>
        <w:t xml:space="preserve">for </w:t>
      </w:r>
      <w:r w:rsidR="00861DD0">
        <w:rPr>
          <w:sz w:val="22"/>
          <w:szCs w:val="22"/>
          <w:lang w:val="en-GB"/>
        </w:rPr>
        <w:t xml:space="preserve">the </w:t>
      </w:r>
      <w:r w:rsidR="003A2DF5">
        <w:rPr>
          <w:sz w:val="22"/>
          <w:szCs w:val="22"/>
          <w:lang w:val="en-GB"/>
        </w:rPr>
        <w:t>checking and validati</w:t>
      </w:r>
      <w:r w:rsidR="00861DD0">
        <w:rPr>
          <w:sz w:val="22"/>
          <w:szCs w:val="22"/>
          <w:lang w:val="en-GB"/>
        </w:rPr>
        <w:t>on</w:t>
      </w:r>
      <w:r w:rsidR="00E61C29">
        <w:rPr>
          <w:sz w:val="22"/>
          <w:szCs w:val="22"/>
          <w:lang w:val="en-GB"/>
        </w:rPr>
        <w:t xml:space="preserve"> </w:t>
      </w:r>
      <w:r w:rsidR="00861DD0">
        <w:rPr>
          <w:sz w:val="22"/>
          <w:szCs w:val="22"/>
          <w:lang w:val="en-GB"/>
        </w:rPr>
        <w:t xml:space="preserve">of </w:t>
      </w:r>
      <w:r w:rsidR="00D91412">
        <w:rPr>
          <w:sz w:val="22"/>
          <w:szCs w:val="22"/>
          <w:lang w:val="en-GB"/>
        </w:rPr>
        <w:t>the</w:t>
      </w:r>
      <w:r w:rsidRPr="00667ED8">
        <w:rPr>
          <w:sz w:val="22"/>
          <w:szCs w:val="22"/>
          <w:lang w:val="en-GB"/>
        </w:rPr>
        <w:t xml:space="preserve"> </w:t>
      </w:r>
      <w:r w:rsidR="00CD03DC">
        <w:rPr>
          <w:sz w:val="22"/>
          <w:szCs w:val="22"/>
          <w:lang w:val="en-GB"/>
        </w:rPr>
        <w:t>SWOT analysis</w:t>
      </w:r>
      <w:r w:rsidR="007C1280">
        <w:rPr>
          <w:sz w:val="22"/>
          <w:szCs w:val="22"/>
          <w:lang w:val="en-GB"/>
        </w:rPr>
        <w:t xml:space="preserve"> </w:t>
      </w:r>
      <w:r w:rsidR="00861DD0">
        <w:rPr>
          <w:sz w:val="22"/>
          <w:szCs w:val="22"/>
          <w:lang w:val="en-GB"/>
        </w:rPr>
        <w:t xml:space="preserve">by </w:t>
      </w:r>
      <w:r w:rsidR="007C1280">
        <w:rPr>
          <w:sz w:val="22"/>
          <w:szCs w:val="22"/>
          <w:lang w:val="en-GB"/>
        </w:rPr>
        <w:t>regional stakeholders</w:t>
      </w:r>
      <w:r w:rsidR="00CD03DC">
        <w:rPr>
          <w:sz w:val="22"/>
          <w:szCs w:val="22"/>
          <w:lang w:val="en-GB"/>
        </w:rPr>
        <w:t xml:space="preserve">. </w:t>
      </w:r>
      <w:r w:rsidR="00500CC7" w:rsidRPr="00F06BD2">
        <w:rPr>
          <w:sz w:val="22"/>
          <w:szCs w:val="22"/>
          <w:lang w:val="en-GB"/>
        </w:rPr>
        <w:t xml:space="preserve">Other consultations held during the development of the programme included regional level </w:t>
      </w:r>
      <w:r w:rsidR="00500CC7" w:rsidRPr="00F06BD2">
        <w:rPr>
          <w:sz w:val="22"/>
          <w:szCs w:val="22"/>
          <w:lang w:val="en-GB"/>
        </w:rPr>
        <w:lastRenderedPageBreak/>
        <w:t xml:space="preserve">consultations on the ENI CBC Thematic Objectives in Turkey </w:t>
      </w:r>
      <w:r w:rsidR="004725B0">
        <w:rPr>
          <w:sz w:val="22"/>
          <w:szCs w:val="22"/>
          <w:lang w:val="en-GB"/>
        </w:rPr>
        <w:t>from May</w:t>
      </w:r>
      <w:r w:rsidR="00500CC7" w:rsidRPr="00F06BD2">
        <w:rPr>
          <w:sz w:val="22"/>
          <w:szCs w:val="22"/>
          <w:lang w:val="en-GB"/>
        </w:rPr>
        <w:t xml:space="preserve"> 2013 and extensive regional consultations on the Thematic Objectives in Republic of Moldo</w:t>
      </w:r>
      <w:r w:rsidR="005F5C90" w:rsidRPr="00F06BD2">
        <w:rPr>
          <w:sz w:val="22"/>
          <w:szCs w:val="22"/>
          <w:lang w:val="en-GB"/>
        </w:rPr>
        <w:t>va in September-October 2013 with</w:t>
      </w:r>
      <w:r w:rsidR="00500CC7" w:rsidRPr="00F06BD2">
        <w:rPr>
          <w:sz w:val="22"/>
          <w:szCs w:val="22"/>
          <w:lang w:val="en-GB"/>
        </w:rPr>
        <w:t xml:space="preserve"> conclusions at national level in the first quarter of 2014.</w:t>
      </w:r>
      <w:r w:rsidR="005F5C90" w:rsidRPr="005F5C90">
        <w:rPr>
          <w:sz w:val="22"/>
          <w:szCs w:val="22"/>
          <w:lang w:val="en-GB"/>
        </w:rPr>
        <w:t xml:space="preserve"> </w:t>
      </w:r>
      <w:r w:rsidR="005F5C90">
        <w:rPr>
          <w:sz w:val="22"/>
          <w:szCs w:val="22"/>
          <w:lang w:val="en-GB"/>
        </w:rPr>
        <w:t xml:space="preserve">Contributions (additional elements, specifications) were integrated in an updated version of the socio-economic analysis and the SWOT as relevant. </w:t>
      </w:r>
      <w:r w:rsidR="005F5C90" w:rsidRPr="00667ED8">
        <w:rPr>
          <w:sz w:val="22"/>
          <w:szCs w:val="22"/>
          <w:lang w:val="en-GB"/>
        </w:rPr>
        <w:t xml:space="preserve"> </w:t>
      </w:r>
    </w:p>
    <w:p w14:paraId="15306ECD" w14:textId="77777777" w:rsidR="00667ED8" w:rsidRPr="00667ED8" w:rsidRDefault="00667ED8" w:rsidP="00EE604A">
      <w:pPr>
        <w:spacing w:before="120" w:after="0" w:line="264" w:lineRule="auto"/>
        <w:jc w:val="both"/>
        <w:rPr>
          <w:sz w:val="22"/>
          <w:szCs w:val="22"/>
          <w:lang w:val="en-GB"/>
        </w:rPr>
      </w:pPr>
    </w:p>
    <w:p w14:paraId="7E1762D8" w14:textId="77777777" w:rsidR="00370F2A" w:rsidRDefault="00435206" w:rsidP="00541CA7">
      <w:pPr>
        <w:spacing w:before="120" w:after="0" w:line="264" w:lineRule="auto"/>
        <w:jc w:val="both"/>
        <w:rPr>
          <w:b/>
          <w:sz w:val="22"/>
          <w:szCs w:val="22"/>
          <w:lang w:val="en-GB"/>
        </w:rPr>
      </w:pPr>
      <w:r w:rsidRPr="00B4074E">
        <w:rPr>
          <w:b/>
          <w:sz w:val="22"/>
          <w:szCs w:val="22"/>
          <w:lang w:val="en-GB"/>
        </w:rPr>
        <w:t>Thematic objective</w:t>
      </w:r>
      <w:r w:rsidR="0092089F" w:rsidRPr="00B4074E">
        <w:rPr>
          <w:b/>
          <w:sz w:val="22"/>
          <w:szCs w:val="22"/>
          <w:lang w:val="en-GB"/>
        </w:rPr>
        <w:t>s and priorities considered most relevant</w:t>
      </w:r>
      <w:r w:rsidR="00B4074E">
        <w:rPr>
          <w:b/>
          <w:sz w:val="22"/>
          <w:szCs w:val="22"/>
          <w:lang w:val="en-GB"/>
        </w:rPr>
        <w:t xml:space="preserve"> during the consultation process</w:t>
      </w:r>
      <w:r w:rsidR="0092089F" w:rsidRPr="00B4074E">
        <w:rPr>
          <w:b/>
          <w:sz w:val="22"/>
          <w:szCs w:val="22"/>
          <w:lang w:val="en-GB"/>
        </w:rPr>
        <w:t xml:space="preserve">, or </w:t>
      </w:r>
      <w:r w:rsidR="00861DD0">
        <w:rPr>
          <w:b/>
          <w:sz w:val="22"/>
          <w:szCs w:val="22"/>
          <w:lang w:val="en-GB"/>
        </w:rPr>
        <w:t>which</w:t>
      </w:r>
      <w:r w:rsidR="00861DD0" w:rsidRPr="00B4074E">
        <w:rPr>
          <w:b/>
          <w:sz w:val="22"/>
          <w:szCs w:val="22"/>
          <w:lang w:val="en-GB"/>
        </w:rPr>
        <w:t xml:space="preserve"> </w:t>
      </w:r>
      <w:r w:rsidR="0092089F" w:rsidRPr="00B4074E">
        <w:rPr>
          <w:b/>
          <w:sz w:val="22"/>
          <w:szCs w:val="22"/>
          <w:lang w:val="en-GB"/>
        </w:rPr>
        <w:t>attracted</w:t>
      </w:r>
      <w:r w:rsidRPr="00B4074E">
        <w:rPr>
          <w:b/>
          <w:sz w:val="22"/>
          <w:szCs w:val="22"/>
          <w:lang w:val="en-GB"/>
        </w:rPr>
        <w:t xml:space="preserve"> most interest from </w:t>
      </w:r>
      <w:r w:rsidR="007A219C" w:rsidRPr="00B4074E">
        <w:rPr>
          <w:b/>
          <w:sz w:val="22"/>
          <w:szCs w:val="22"/>
          <w:lang w:val="en-GB"/>
        </w:rPr>
        <w:t xml:space="preserve">the </w:t>
      </w:r>
      <w:r w:rsidRPr="00B4074E">
        <w:rPr>
          <w:b/>
          <w:sz w:val="22"/>
          <w:szCs w:val="22"/>
          <w:lang w:val="en-GB"/>
        </w:rPr>
        <w:t xml:space="preserve">stakeholders </w:t>
      </w:r>
      <w:r w:rsidR="00365F32" w:rsidRPr="00B4074E">
        <w:rPr>
          <w:b/>
          <w:sz w:val="22"/>
          <w:szCs w:val="22"/>
          <w:lang w:val="en-GB"/>
        </w:rPr>
        <w:t>consulted</w:t>
      </w:r>
      <w:r w:rsidR="00374D88">
        <w:rPr>
          <w:b/>
          <w:sz w:val="22"/>
          <w:szCs w:val="22"/>
          <w:lang w:val="en-GB"/>
        </w:rPr>
        <w:t>,</w:t>
      </w:r>
      <w:r w:rsidR="00365F32" w:rsidRPr="00B4074E">
        <w:rPr>
          <w:b/>
          <w:sz w:val="22"/>
          <w:szCs w:val="22"/>
          <w:lang w:val="en-GB"/>
        </w:rPr>
        <w:t xml:space="preserve"> </w:t>
      </w:r>
      <w:r w:rsidRPr="00B4074E">
        <w:rPr>
          <w:b/>
          <w:sz w:val="22"/>
          <w:szCs w:val="22"/>
          <w:lang w:val="en-GB"/>
        </w:rPr>
        <w:t>are highlighted below.</w:t>
      </w:r>
      <w:r w:rsidR="00370F2A" w:rsidRPr="00B4074E">
        <w:rPr>
          <w:b/>
          <w:sz w:val="22"/>
          <w:szCs w:val="22"/>
          <w:lang w:val="en-GB"/>
        </w:rPr>
        <w:t xml:space="preserve"> </w:t>
      </w:r>
    </w:p>
    <w:p w14:paraId="6237F765" w14:textId="77777777" w:rsidR="00541CA7" w:rsidRPr="00541CA7" w:rsidRDefault="00541CA7" w:rsidP="00541CA7">
      <w:pPr>
        <w:spacing w:before="120" w:after="0" w:line="264" w:lineRule="auto"/>
        <w:jc w:val="both"/>
        <w:rPr>
          <w:b/>
          <w:sz w:val="2"/>
          <w:szCs w:val="2"/>
          <w:lang w:val="en-GB"/>
        </w:rPr>
      </w:pPr>
    </w:p>
    <w:tbl>
      <w:tblPr>
        <w:tblW w:w="10930" w:type="dxa"/>
        <w:tblInd w:w="55" w:type="dxa"/>
        <w:tblLayout w:type="fixed"/>
        <w:tblCellMar>
          <w:left w:w="70" w:type="dxa"/>
          <w:right w:w="70" w:type="dxa"/>
        </w:tblCellMar>
        <w:tblLook w:val="04A0" w:firstRow="1" w:lastRow="0" w:firstColumn="1" w:lastColumn="0" w:noHBand="0" w:noVBand="1"/>
      </w:tblPr>
      <w:tblGrid>
        <w:gridCol w:w="3276"/>
        <w:gridCol w:w="992"/>
        <w:gridCol w:w="992"/>
        <w:gridCol w:w="992"/>
        <w:gridCol w:w="993"/>
        <w:gridCol w:w="992"/>
        <w:gridCol w:w="992"/>
        <w:gridCol w:w="851"/>
        <w:gridCol w:w="850"/>
      </w:tblGrid>
      <w:tr w:rsidR="00DF0ABC" w:rsidRPr="00516E9C" w14:paraId="14B3149A" w14:textId="77777777" w:rsidTr="00762822">
        <w:trPr>
          <w:trHeight w:val="620"/>
          <w:tblHeader/>
        </w:trPr>
        <w:tc>
          <w:tcPr>
            <w:tcW w:w="3276" w:type="dxa"/>
            <w:tcBorders>
              <w:top w:val="single" w:sz="8" w:space="0" w:color="auto"/>
              <w:left w:val="single" w:sz="8" w:space="0" w:color="auto"/>
              <w:bottom w:val="single" w:sz="8" w:space="0" w:color="auto"/>
              <w:right w:val="single" w:sz="4" w:space="0" w:color="auto"/>
            </w:tcBorders>
            <w:shd w:val="clear" w:color="4F81BD" w:fill="4F81BD"/>
            <w:vAlign w:val="center"/>
            <w:hideMark/>
          </w:tcPr>
          <w:p w14:paraId="181AD282"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Consultation</w:t>
            </w:r>
          </w:p>
        </w:tc>
        <w:tc>
          <w:tcPr>
            <w:tcW w:w="992"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580A7F85"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TO1</w:t>
            </w:r>
          </w:p>
        </w:tc>
        <w:tc>
          <w:tcPr>
            <w:tcW w:w="992"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25CAF74C"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TO2</w:t>
            </w:r>
          </w:p>
        </w:tc>
        <w:tc>
          <w:tcPr>
            <w:tcW w:w="992"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767DDA40"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TO3</w:t>
            </w:r>
          </w:p>
        </w:tc>
        <w:tc>
          <w:tcPr>
            <w:tcW w:w="993"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552AB991"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TO4</w:t>
            </w:r>
          </w:p>
        </w:tc>
        <w:tc>
          <w:tcPr>
            <w:tcW w:w="992"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631DD44D"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TO5</w:t>
            </w:r>
          </w:p>
        </w:tc>
        <w:tc>
          <w:tcPr>
            <w:tcW w:w="992"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0A668C01"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TO6</w:t>
            </w:r>
          </w:p>
        </w:tc>
        <w:tc>
          <w:tcPr>
            <w:tcW w:w="851" w:type="dxa"/>
            <w:tcBorders>
              <w:top w:val="single" w:sz="8" w:space="0" w:color="auto"/>
              <w:left w:val="single" w:sz="4" w:space="0" w:color="auto"/>
              <w:bottom w:val="single" w:sz="8" w:space="0" w:color="auto"/>
              <w:right w:val="single" w:sz="4" w:space="0" w:color="auto"/>
            </w:tcBorders>
            <w:shd w:val="clear" w:color="4F81BD" w:fill="4F81BD"/>
            <w:vAlign w:val="center"/>
            <w:hideMark/>
          </w:tcPr>
          <w:p w14:paraId="1B15C9C6"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TO7</w:t>
            </w:r>
          </w:p>
        </w:tc>
        <w:tc>
          <w:tcPr>
            <w:tcW w:w="850" w:type="dxa"/>
            <w:tcBorders>
              <w:top w:val="single" w:sz="8" w:space="0" w:color="auto"/>
              <w:left w:val="single" w:sz="4" w:space="0" w:color="auto"/>
              <w:bottom w:val="single" w:sz="8" w:space="0" w:color="auto"/>
              <w:right w:val="single" w:sz="8" w:space="0" w:color="auto"/>
            </w:tcBorders>
            <w:shd w:val="clear" w:color="4F81BD" w:fill="4F81BD"/>
            <w:vAlign w:val="center"/>
            <w:hideMark/>
          </w:tcPr>
          <w:p w14:paraId="2DEA6861" w14:textId="77777777" w:rsidR="003B440B" w:rsidRPr="00516E9C" w:rsidRDefault="003B440B" w:rsidP="003B440B">
            <w:pPr>
              <w:spacing w:after="0" w:line="240" w:lineRule="auto"/>
              <w:rPr>
                <w:rFonts w:ascii="Calibri" w:eastAsia="Times New Roman" w:hAnsi="Calibri" w:cs="Times New Roman"/>
                <w:b/>
                <w:bCs/>
                <w:color w:val="FFFFFF"/>
                <w:sz w:val="20"/>
                <w:szCs w:val="20"/>
              </w:rPr>
            </w:pPr>
            <w:r w:rsidRPr="00516E9C">
              <w:rPr>
                <w:rFonts w:ascii="Calibri" w:eastAsia="Times New Roman" w:hAnsi="Calibri" w:cs="Times New Roman"/>
                <w:b/>
                <w:bCs/>
                <w:color w:val="FFFFFF"/>
                <w:sz w:val="20"/>
                <w:szCs w:val="20"/>
              </w:rPr>
              <w:t>TO8</w:t>
            </w:r>
          </w:p>
        </w:tc>
      </w:tr>
      <w:tr w:rsidR="00DF0ABC" w:rsidRPr="00516E9C" w14:paraId="5BB7A458" w14:textId="77777777" w:rsidTr="00762822">
        <w:trPr>
          <w:trHeight w:val="300"/>
        </w:trPr>
        <w:tc>
          <w:tcPr>
            <w:tcW w:w="3276" w:type="dxa"/>
            <w:tcBorders>
              <w:top w:val="single" w:sz="4" w:space="0" w:color="4F81BD"/>
              <w:left w:val="single" w:sz="8" w:space="0" w:color="auto"/>
              <w:bottom w:val="single" w:sz="4" w:space="0" w:color="auto"/>
              <w:right w:val="single" w:sz="4" w:space="0" w:color="auto"/>
            </w:tcBorders>
            <w:shd w:val="clear" w:color="auto" w:fill="auto"/>
            <w:vAlign w:val="center"/>
            <w:hideMark/>
          </w:tcPr>
          <w:p w14:paraId="352A16BC" w14:textId="77777777" w:rsidR="003B440B" w:rsidRPr="00516E9C" w:rsidRDefault="003B440B" w:rsidP="003B440B">
            <w:pPr>
              <w:spacing w:after="0" w:line="240" w:lineRule="auto"/>
              <w:rPr>
                <w:rFonts w:ascii="Calibri" w:eastAsia="Times New Roman" w:hAnsi="Calibri" w:cs="Times New Roman"/>
                <w:color w:val="000000"/>
                <w:sz w:val="20"/>
                <w:szCs w:val="20"/>
              </w:rPr>
            </w:pPr>
            <w:r w:rsidRPr="00516E9C">
              <w:rPr>
                <w:rFonts w:ascii="Calibri" w:eastAsia="Times New Roman" w:hAnsi="Calibri" w:cs="Times New Roman"/>
                <w:color w:val="000000"/>
                <w:sz w:val="20"/>
                <w:szCs w:val="20"/>
              </w:rPr>
              <w:t>Armenia</w:t>
            </w:r>
          </w:p>
        </w:tc>
        <w:tc>
          <w:tcPr>
            <w:tcW w:w="992" w:type="dxa"/>
            <w:tcBorders>
              <w:top w:val="single" w:sz="4" w:space="0" w:color="4F81BD"/>
              <w:left w:val="single" w:sz="4" w:space="0" w:color="auto"/>
              <w:bottom w:val="single" w:sz="4" w:space="0" w:color="auto"/>
              <w:right w:val="single" w:sz="4" w:space="0" w:color="auto"/>
            </w:tcBorders>
            <w:shd w:val="clear" w:color="000000" w:fill="9BBB59"/>
            <w:vAlign w:val="center"/>
            <w:hideMark/>
          </w:tcPr>
          <w:p w14:paraId="2AB70C61"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4F81BD"/>
              <w:left w:val="single" w:sz="4" w:space="0" w:color="auto"/>
              <w:bottom w:val="single" w:sz="4" w:space="0" w:color="auto"/>
              <w:right w:val="single" w:sz="4" w:space="0" w:color="auto"/>
            </w:tcBorders>
            <w:shd w:val="clear" w:color="000000" w:fill="9BBB59"/>
            <w:vAlign w:val="center"/>
            <w:hideMark/>
          </w:tcPr>
          <w:p w14:paraId="4B62B629"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4F81BD"/>
              <w:left w:val="single" w:sz="4" w:space="0" w:color="auto"/>
              <w:bottom w:val="single" w:sz="4" w:space="0" w:color="auto"/>
              <w:right w:val="single" w:sz="4" w:space="0" w:color="auto"/>
            </w:tcBorders>
            <w:shd w:val="clear" w:color="auto" w:fill="auto"/>
            <w:vAlign w:val="center"/>
            <w:hideMark/>
          </w:tcPr>
          <w:p w14:paraId="24F32354"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3" w:type="dxa"/>
            <w:tcBorders>
              <w:top w:val="single" w:sz="4" w:space="0" w:color="4F81BD"/>
              <w:left w:val="single" w:sz="4" w:space="0" w:color="auto"/>
              <w:bottom w:val="single" w:sz="4" w:space="0" w:color="auto"/>
              <w:right w:val="single" w:sz="4" w:space="0" w:color="auto"/>
            </w:tcBorders>
            <w:shd w:val="clear" w:color="auto" w:fill="auto"/>
            <w:vAlign w:val="center"/>
            <w:hideMark/>
          </w:tcPr>
          <w:p w14:paraId="1E9F1E97"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4F81BD"/>
              <w:left w:val="single" w:sz="4" w:space="0" w:color="auto"/>
              <w:bottom w:val="single" w:sz="4" w:space="0" w:color="auto"/>
              <w:right w:val="single" w:sz="4" w:space="0" w:color="auto"/>
            </w:tcBorders>
            <w:shd w:val="clear" w:color="auto" w:fill="auto"/>
            <w:vAlign w:val="center"/>
            <w:hideMark/>
          </w:tcPr>
          <w:p w14:paraId="59654EDC"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4F81BD"/>
              <w:left w:val="single" w:sz="4" w:space="0" w:color="auto"/>
              <w:bottom w:val="single" w:sz="4" w:space="0" w:color="auto"/>
              <w:right w:val="single" w:sz="4" w:space="0" w:color="auto"/>
            </w:tcBorders>
            <w:shd w:val="clear" w:color="000000" w:fill="9BBB59"/>
            <w:vAlign w:val="center"/>
            <w:hideMark/>
          </w:tcPr>
          <w:p w14:paraId="1E8F3D1E"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1" w:type="dxa"/>
            <w:tcBorders>
              <w:top w:val="single" w:sz="4" w:space="0" w:color="4F81BD"/>
              <w:left w:val="single" w:sz="4" w:space="0" w:color="auto"/>
              <w:bottom w:val="single" w:sz="4" w:space="0" w:color="auto"/>
              <w:right w:val="single" w:sz="4" w:space="0" w:color="auto"/>
            </w:tcBorders>
            <w:shd w:val="clear" w:color="auto" w:fill="auto"/>
            <w:vAlign w:val="center"/>
            <w:hideMark/>
          </w:tcPr>
          <w:p w14:paraId="782870A7"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850" w:type="dxa"/>
            <w:tcBorders>
              <w:top w:val="single" w:sz="4" w:space="0" w:color="4F81BD"/>
              <w:left w:val="single" w:sz="4" w:space="0" w:color="auto"/>
              <w:bottom w:val="single" w:sz="4" w:space="0" w:color="auto"/>
              <w:right w:val="single" w:sz="8" w:space="0" w:color="auto"/>
            </w:tcBorders>
            <w:shd w:val="clear" w:color="auto" w:fill="auto"/>
            <w:vAlign w:val="center"/>
            <w:hideMark/>
          </w:tcPr>
          <w:p w14:paraId="42769ED2"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DF0ABC" w:rsidRPr="00516E9C" w14:paraId="1124B94E"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41741CD" w14:textId="77777777" w:rsidR="003B440B" w:rsidRPr="00516E9C" w:rsidRDefault="003B440B" w:rsidP="003B440B">
            <w:pPr>
              <w:spacing w:after="0" w:line="240" w:lineRule="auto"/>
              <w:rPr>
                <w:rFonts w:ascii="Calibri" w:eastAsia="Times New Roman" w:hAnsi="Calibri" w:cs="Times New Roman"/>
                <w:color w:val="000000"/>
                <w:sz w:val="20"/>
                <w:szCs w:val="20"/>
              </w:rPr>
            </w:pPr>
            <w:proofErr w:type="spellStart"/>
            <w:r w:rsidRPr="00516E9C">
              <w:rPr>
                <w:rFonts w:ascii="Calibri" w:eastAsia="Times New Roman" w:hAnsi="Calibri" w:cs="Times New Roman"/>
                <w:color w:val="000000"/>
                <w:sz w:val="20"/>
                <w:szCs w:val="20"/>
              </w:rPr>
              <w:t>Bulgaria</w:t>
            </w:r>
            <w:proofErr w:type="spellEnd"/>
            <w:r w:rsidRPr="00516E9C">
              <w:rPr>
                <w:rFonts w:ascii="Calibri" w:eastAsia="Times New Roman" w:hAnsi="Calibri" w:cs="Times New Roman"/>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1B443D53"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3F1698D"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F6B1C3D"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14:paraId="4B273E14"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B857117"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09504172"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hideMark/>
          </w:tcPr>
          <w:p w14:paraId="66EB6DD5"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0E15FCA"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DF0ABC" w:rsidRPr="00516E9C" w14:paraId="28594FCD"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8E58E9F" w14:textId="77777777" w:rsidR="003B440B" w:rsidRPr="00516E9C" w:rsidRDefault="003B440B" w:rsidP="003B440B">
            <w:pPr>
              <w:spacing w:after="0" w:line="240" w:lineRule="auto"/>
              <w:rPr>
                <w:rFonts w:ascii="Calibri" w:eastAsia="Times New Roman" w:hAnsi="Calibri" w:cs="Times New Roman"/>
                <w:color w:val="000000"/>
                <w:sz w:val="20"/>
                <w:szCs w:val="20"/>
              </w:rPr>
            </w:pPr>
            <w:r w:rsidRPr="00516E9C">
              <w:rPr>
                <w:rFonts w:ascii="Calibri" w:eastAsia="Times New Roman" w:hAnsi="Calibri" w:cs="Times New Roman"/>
                <w:color w:val="000000"/>
                <w:sz w:val="20"/>
                <w:szCs w:val="20"/>
              </w:rPr>
              <w:t>Georgia</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99D46D3"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11B2D70F"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4F11C17"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00CF5655"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D2FA24B"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1771DF8E"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069A146E"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00E86E1"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DF0ABC" w:rsidRPr="00516E9C" w14:paraId="04E1E92F"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5573668" w14:textId="77777777" w:rsidR="003B440B" w:rsidRPr="00516E9C" w:rsidRDefault="003B440B" w:rsidP="003B440B">
            <w:pPr>
              <w:spacing w:after="0" w:line="240" w:lineRule="auto"/>
              <w:rPr>
                <w:rFonts w:ascii="Calibri" w:eastAsia="Times New Roman" w:hAnsi="Calibri" w:cs="Times New Roman"/>
                <w:color w:val="000000"/>
                <w:sz w:val="20"/>
                <w:szCs w:val="20"/>
              </w:rPr>
            </w:pPr>
            <w:proofErr w:type="spellStart"/>
            <w:r w:rsidRPr="00516E9C">
              <w:rPr>
                <w:rFonts w:ascii="Calibri" w:eastAsia="Times New Roman" w:hAnsi="Calibri" w:cs="Times New Roman"/>
                <w:color w:val="000000"/>
                <w:sz w:val="20"/>
                <w:szCs w:val="20"/>
              </w:rPr>
              <w:t>Greece</w:t>
            </w:r>
            <w:proofErr w:type="spellEnd"/>
            <w:r w:rsidRPr="00516E9C">
              <w:rPr>
                <w:rFonts w:ascii="Calibri" w:eastAsia="Times New Roman" w:hAnsi="Calibri" w:cs="Times New Roman"/>
                <w:color w:val="000000"/>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7DCED977"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0379B873"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6FA5BDF6"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44756A52"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677CB19D"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35B6CE78" w14:textId="77777777" w:rsidR="003B440B" w:rsidRPr="00516E9C" w:rsidRDefault="003B440B" w:rsidP="003B440B">
            <w:pPr>
              <w:spacing w:after="0" w:line="240" w:lineRule="auto"/>
              <w:rPr>
                <w:rFonts w:ascii="Calibri" w:eastAsia="Times New Roman" w:hAnsi="Calibri" w:cs="Times New Roman"/>
                <w:color w:val="000000"/>
                <w:sz w:val="20"/>
                <w:szCs w:val="20"/>
              </w:rPr>
            </w:pPr>
            <w:r w:rsidRPr="00516E9C">
              <w:rPr>
                <w:rFonts w:ascii="Calibri" w:eastAsia="Times New Roman" w:hAnsi="Calibri" w:cs="Times New Roman"/>
                <w:color w:val="000000"/>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411BA3CA"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000000" w:fill="C4D79B"/>
            <w:vAlign w:val="center"/>
            <w:hideMark/>
          </w:tcPr>
          <w:p w14:paraId="5C676030"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r>
      <w:tr w:rsidR="00DF0ABC" w:rsidRPr="00516E9C" w14:paraId="066D2287"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BB5815" w14:textId="77777777" w:rsidR="003B440B" w:rsidRPr="00516E9C" w:rsidRDefault="003B440B" w:rsidP="003B440B">
            <w:pPr>
              <w:spacing w:after="0" w:line="240" w:lineRule="auto"/>
              <w:rPr>
                <w:rFonts w:ascii="Calibri" w:eastAsia="Times New Roman" w:hAnsi="Calibri" w:cs="Times New Roman"/>
                <w:color w:val="000000"/>
                <w:sz w:val="20"/>
                <w:szCs w:val="20"/>
              </w:rPr>
            </w:pPr>
            <w:r w:rsidRPr="00516E9C">
              <w:rPr>
                <w:rFonts w:ascii="Calibri" w:eastAsia="Times New Roman" w:hAnsi="Calibri" w:cs="Times New Roman"/>
                <w:color w:val="000000"/>
                <w:sz w:val="20"/>
                <w:szCs w:val="20"/>
              </w:rPr>
              <w:t>Moldova*</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532F1DAE"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5192864F"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7D376654"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515D985B"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0EAAAE02"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44E23920"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35B65585"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EFBA170"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DF0ABC" w:rsidRPr="00516E9C" w14:paraId="70CC96A7"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3D24A8B" w14:textId="77777777" w:rsidR="003B440B" w:rsidRPr="00516E9C" w:rsidRDefault="003B440B" w:rsidP="003B440B">
            <w:pPr>
              <w:spacing w:after="0" w:line="240" w:lineRule="auto"/>
              <w:rPr>
                <w:rFonts w:ascii="Calibri" w:eastAsia="Times New Roman" w:hAnsi="Calibri" w:cs="Times New Roman"/>
                <w:color w:val="000000"/>
                <w:sz w:val="20"/>
                <w:szCs w:val="20"/>
              </w:rPr>
            </w:pPr>
            <w:r w:rsidRPr="00516E9C">
              <w:rPr>
                <w:rFonts w:ascii="Calibri" w:eastAsia="Times New Roman" w:hAnsi="Calibri" w:cs="Times New Roman"/>
                <w:color w:val="000000"/>
                <w:sz w:val="20"/>
                <w:szCs w:val="20"/>
              </w:rPr>
              <w:t>Romania</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5582847F"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B21D95A"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C9C03AD"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14:paraId="7845BD3D"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679D29C"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A91717B"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8BB481D"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3CA3E80"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DF0ABC" w:rsidRPr="00516E9C" w14:paraId="3427BEC8"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DE56253" w14:textId="77777777" w:rsidR="003B440B" w:rsidRPr="00516E9C" w:rsidRDefault="003B440B" w:rsidP="003B440B">
            <w:pPr>
              <w:spacing w:after="0" w:line="240" w:lineRule="auto"/>
              <w:rPr>
                <w:rFonts w:ascii="Calibri" w:eastAsia="Times New Roman" w:hAnsi="Calibri" w:cs="Times New Roman"/>
                <w:color w:val="000000"/>
                <w:sz w:val="20"/>
                <w:szCs w:val="20"/>
              </w:rPr>
            </w:pPr>
            <w:proofErr w:type="spellStart"/>
            <w:r w:rsidRPr="00516E9C">
              <w:rPr>
                <w:rFonts w:ascii="Calibri" w:eastAsia="Times New Roman" w:hAnsi="Calibri" w:cs="Times New Roman"/>
                <w:color w:val="000000"/>
                <w:sz w:val="20"/>
                <w:szCs w:val="20"/>
              </w:rPr>
              <w:t>Turkey</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03F9C7F9"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0794951"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67FE6232"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2509F3BA"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9D7FF10"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3E60D025"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31DF249" w14:textId="77777777" w:rsidR="003B440B" w:rsidRPr="00516E9C" w:rsidRDefault="003B440B" w:rsidP="003B440B">
            <w:pPr>
              <w:spacing w:after="0" w:line="240" w:lineRule="auto"/>
              <w:rPr>
                <w:rFonts w:ascii="Calibri" w:eastAsia="Times New Roman" w:hAnsi="Calibri" w:cs="Times New Roman"/>
                <w:color w:val="FFFFFF"/>
                <w:sz w:val="20"/>
                <w:szCs w:val="20"/>
              </w:rPr>
            </w:pPr>
            <w:r w:rsidRPr="00516E9C">
              <w:rPr>
                <w:rFonts w:ascii="Calibri" w:eastAsia="Times New Roman" w:hAnsi="Calibri" w:cs="Times New Roman"/>
                <w:color w:val="FFFFFF"/>
                <w:sz w:val="20"/>
                <w:szCs w:val="20"/>
              </w:rPr>
              <w:t> </w:t>
            </w: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EE4A200" w14:textId="77777777" w:rsidR="003B440B" w:rsidRPr="00516E9C" w:rsidRDefault="003B440B" w:rsidP="003B440B">
            <w:pPr>
              <w:spacing w:after="0" w:line="240" w:lineRule="auto"/>
              <w:rPr>
                <w:rFonts w:ascii="Calibri" w:eastAsia="Times New Roman" w:hAnsi="Calibri" w:cs="Times New Roman"/>
                <w:b/>
                <w:bCs/>
                <w:color w:val="000000"/>
                <w:sz w:val="20"/>
                <w:szCs w:val="20"/>
              </w:rPr>
            </w:pPr>
            <w:r w:rsidRPr="00516E9C">
              <w:rPr>
                <w:rFonts w:ascii="Calibri" w:eastAsia="Times New Roman" w:hAnsi="Calibri" w:cs="Times New Roman"/>
                <w:b/>
                <w:bCs/>
                <w:color w:val="000000"/>
                <w:sz w:val="20"/>
                <w:szCs w:val="20"/>
              </w:rPr>
              <w:t> </w:t>
            </w:r>
          </w:p>
        </w:tc>
      </w:tr>
      <w:tr w:rsidR="00762822" w:rsidRPr="00762822" w14:paraId="7DE7FCE1" w14:textId="77777777" w:rsidTr="00762822">
        <w:trPr>
          <w:trHeight w:val="320"/>
        </w:trPr>
        <w:tc>
          <w:tcPr>
            <w:tcW w:w="3276" w:type="dxa"/>
            <w:tcBorders>
              <w:top w:val="single" w:sz="4" w:space="0" w:color="auto"/>
              <w:left w:val="single" w:sz="8" w:space="0" w:color="auto"/>
              <w:bottom w:val="double" w:sz="6" w:space="0" w:color="auto"/>
              <w:right w:val="single" w:sz="4" w:space="0" w:color="auto"/>
            </w:tcBorders>
            <w:shd w:val="clear" w:color="auto" w:fill="auto"/>
            <w:vAlign w:val="center"/>
            <w:hideMark/>
          </w:tcPr>
          <w:p w14:paraId="73CEBDE5"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Ukraine</w:t>
            </w:r>
          </w:p>
        </w:tc>
        <w:tc>
          <w:tcPr>
            <w:tcW w:w="992" w:type="dxa"/>
            <w:tcBorders>
              <w:top w:val="single" w:sz="4" w:space="0" w:color="auto"/>
              <w:left w:val="single" w:sz="4" w:space="0" w:color="auto"/>
              <w:bottom w:val="double" w:sz="6" w:space="0" w:color="auto"/>
              <w:right w:val="single" w:sz="4" w:space="0" w:color="auto"/>
            </w:tcBorders>
            <w:shd w:val="clear" w:color="000000" w:fill="9BBB59"/>
            <w:vAlign w:val="center"/>
            <w:hideMark/>
          </w:tcPr>
          <w:p w14:paraId="5D57DFB8"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992" w:type="dxa"/>
            <w:tcBorders>
              <w:top w:val="single" w:sz="4" w:space="0" w:color="auto"/>
              <w:left w:val="nil"/>
              <w:bottom w:val="double" w:sz="6" w:space="0" w:color="auto"/>
              <w:right w:val="single" w:sz="4" w:space="0" w:color="auto"/>
            </w:tcBorders>
            <w:shd w:val="clear" w:color="auto" w:fill="auto"/>
            <w:vAlign w:val="center"/>
            <w:hideMark/>
          </w:tcPr>
          <w:p w14:paraId="0F2E747B"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992" w:type="dxa"/>
            <w:tcBorders>
              <w:top w:val="single" w:sz="4" w:space="0" w:color="auto"/>
              <w:left w:val="nil"/>
              <w:bottom w:val="double" w:sz="6" w:space="0" w:color="auto"/>
              <w:right w:val="single" w:sz="4" w:space="0" w:color="auto"/>
            </w:tcBorders>
            <w:shd w:val="clear" w:color="auto" w:fill="auto"/>
            <w:vAlign w:val="center"/>
            <w:hideMark/>
          </w:tcPr>
          <w:p w14:paraId="043755F9"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993" w:type="dxa"/>
            <w:tcBorders>
              <w:top w:val="single" w:sz="4" w:space="0" w:color="auto"/>
              <w:left w:val="single" w:sz="4" w:space="0" w:color="auto"/>
              <w:bottom w:val="double" w:sz="6" w:space="0" w:color="auto"/>
              <w:right w:val="single" w:sz="4" w:space="0" w:color="auto"/>
            </w:tcBorders>
            <w:shd w:val="clear" w:color="000000" w:fill="9BBB59"/>
            <w:vAlign w:val="center"/>
            <w:hideMark/>
          </w:tcPr>
          <w:p w14:paraId="59E9E947"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992" w:type="dxa"/>
            <w:tcBorders>
              <w:top w:val="single" w:sz="4" w:space="0" w:color="auto"/>
              <w:left w:val="nil"/>
              <w:bottom w:val="double" w:sz="6" w:space="0" w:color="auto"/>
              <w:right w:val="single" w:sz="4" w:space="0" w:color="auto"/>
            </w:tcBorders>
            <w:shd w:val="clear" w:color="auto" w:fill="auto"/>
            <w:vAlign w:val="center"/>
            <w:hideMark/>
          </w:tcPr>
          <w:p w14:paraId="7DA72EFE"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992" w:type="dxa"/>
            <w:tcBorders>
              <w:top w:val="single" w:sz="4" w:space="0" w:color="auto"/>
              <w:left w:val="single" w:sz="4" w:space="0" w:color="auto"/>
              <w:bottom w:val="double" w:sz="6" w:space="0" w:color="auto"/>
              <w:right w:val="single" w:sz="4" w:space="0" w:color="auto"/>
            </w:tcBorders>
            <w:shd w:val="clear" w:color="000000" w:fill="9BBB59"/>
            <w:vAlign w:val="center"/>
            <w:hideMark/>
          </w:tcPr>
          <w:p w14:paraId="11C2BD30"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851" w:type="dxa"/>
            <w:tcBorders>
              <w:top w:val="single" w:sz="4" w:space="0" w:color="auto"/>
              <w:left w:val="nil"/>
              <w:bottom w:val="double" w:sz="6" w:space="0" w:color="auto"/>
              <w:right w:val="nil"/>
            </w:tcBorders>
            <w:shd w:val="clear" w:color="auto" w:fill="auto"/>
            <w:vAlign w:val="center"/>
            <w:hideMark/>
          </w:tcPr>
          <w:p w14:paraId="76E0981A" w14:textId="77777777" w:rsidR="00762822" w:rsidRPr="00762822" w:rsidRDefault="00762822" w:rsidP="00762822">
            <w:pPr>
              <w:spacing w:after="0" w:line="240" w:lineRule="auto"/>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c>
          <w:tcPr>
            <w:tcW w:w="850" w:type="dxa"/>
            <w:tcBorders>
              <w:top w:val="single" w:sz="4" w:space="0" w:color="auto"/>
              <w:left w:val="single" w:sz="4" w:space="0" w:color="auto"/>
              <w:bottom w:val="double" w:sz="6" w:space="0" w:color="auto"/>
              <w:right w:val="single" w:sz="8" w:space="0" w:color="auto"/>
            </w:tcBorders>
            <w:shd w:val="clear" w:color="auto" w:fill="auto"/>
            <w:vAlign w:val="center"/>
            <w:hideMark/>
          </w:tcPr>
          <w:p w14:paraId="21380A18" w14:textId="77777777" w:rsidR="00762822" w:rsidRPr="00762822" w:rsidRDefault="00762822" w:rsidP="00762822">
            <w:pPr>
              <w:tabs>
                <w:tab w:val="left" w:pos="638"/>
              </w:tabs>
              <w:spacing w:after="0" w:line="240" w:lineRule="auto"/>
              <w:ind w:right="174"/>
              <w:rPr>
                <w:rFonts w:ascii="Calibri" w:eastAsia="Times New Roman" w:hAnsi="Calibri" w:cs="Times New Roman"/>
                <w:color w:val="000000"/>
                <w:sz w:val="20"/>
                <w:szCs w:val="20"/>
              </w:rPr>
            </w:pPr>
            <w:r w:rsidRPr="00762822">
              <w:rPr>
                <w:rFonts w:ascii="Calibri" w:eastAsia="Times New Roman" w:hAnsi="Calibri" w:cs="Times New Roman"/>
                <w:color w:val="000000"/>
                <w:sz w:val="20"/>
                <w:szCs w:val="20"/>
              </w:rPr>
              <w:t> </w:t>
            </w:r>
          </w:p>
        </w:tc>
      </w:tr>
      <w:tr w:rsidR="00DF0ABC" w:rsidRPr="00B71347" w14:paraId="07976426" w14:textId="77777777" w:rsidTr="00762822">
        <w:trPr>
          <w:trHeight w:val="300"/>
        </w:trPr>
        <w:tc>
          <w:tcPr>
            <w:tcW w:w="3276" w:type="dxa"/>
            <w:tcBorders>
              <w:top w:val="double" w:sz="4" w:space="0" w:color="auto"/>
              <w:left w:val="single" w:sz="8" w:space="0" w:color="auto"/>
              <w:bottom w:val="single" w:sz="4" w:space="0" w:color="auto"/>
              <w:right w:val="single" w:sz="4" w:space="0" w:color="auto"/>
            </w:tcBorders>
            <w:shd w:val="clear" w:color="auto" w:fill="auto"/>
            <w:vAlign w:val="center"/>
            <w:hideMark/>
          </w:tcPr>
          <w:p w14:paraId="47DD2C7D"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xml:space="preserve">Assembly </w:t>
            </w:r>
            <w:r w:rsidR="002059C0" w:rsidRPr="004408A1">
              <w:rPr>
                <w:rFonts w:ascii="Calibri" w:eastAsia="Times New Roman" w:hAnsi="Calibri" w:cs="Times New Roman"/>
                <w:i/>
                <w:iCs/>
                <w:color w:val="000000"/>
                <w:sz w:val="20"/>
                <w:szCs w:val="20"/>
                <w:lang w:val="en-GB"/>
              </w:rPr>
              <w:t xml:space="preserve">of European </w:t>
            </w:r>
            <w:r w:rsidRPr="004408A1">
              <w:rPr>
                <w:rFonts w:ascii="Calibri" w:eastAsia="Times New Roman" w:hAnsi="Calibri" w:cs="Times New Roman"/>
                <w:i/>
                <w:iCs/>
                <w:color w:val="000000"/>
                <w:sz w:val="20"/>
                <w:szCs w:val="20"/>
                <w:lang w:val="en-GB"/>
              </w:rPr>
              <w:t>Regions (AER)</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0B008EDB"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2F751A10"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3A759BA0"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3"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4CE00B5C"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2" w:type="dxa"/>
            <w:tcBorders>
              <w:top w:val="double" w:sz="4" w:space="0" w:color="auto"/>
              <w:left w:val="single" w:sz="4" w:space="0" w:color="auto"/>
              <w:bottom w:val="single" w:sz="4" w:space="0" w:color="auto"/>
              <w:right w:val="single" w:sz="4" w:space="0" w:color="auto"/>
            </w:tcBorders>
            <w:shd w:val="clear" w:color="000000" w:fill="9BBB59"/>
            <w:vAlign w:val="center"/>
            <w:hideMark/>
          </w:tcPr>
          <w:p w14:paraId="4A20B824" w14:textId="77777777" w:rsidR="003B440B" w:rsidRPr="004408A1" w:rsidRDefault="003B440B" w:rsidP="003B440B">
            <w:pPr>
              <w:spacing w:after="0" w:line="240" w:lineRule="auto"/>
              <w:rPr>
                <w:rFonts w:ascii="Calibri" w:eastAsia="Times New Roman" w:hAnsi="Calibri" w:cs="Times New Roman"/>
                <w:color w:val="FFFFFF"/>
                <w:sz w:val="20"/>
                <w:szCs w:val="20"/>
                <w:lang w:val="en-GB"/>
              </w:rPr>
            </w:pPr>
            <w:r w:rsidRPr="004408A1">
              <w:rPr>
                <w:rFonts w:ascii="Calibri" w:eastAsia="Times New Roman" w:hAnsi="Calibri" w:cs="Times New Roman"/>
                <w:color w:val="FFFFFF"/>
                <w:sz w:val="20"/>
                <w:szCs w:val="20"/>
                <w:lang w:val="en-GB"/>
              </w:rPr>
              <w:t> </w:t>
            </w:r>
          </w:p>
        </w:tc>
        <w:tc>
          <w:tcPr>
            <w:tcW w:w="992"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6445103F"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851"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488D328E"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850" w:type="dxa"/>
            <w:tcBorders>
              <w:top w:val="double" w:sz="4" w:space="0" w:color="auto"/>
              <w:left w:val="single" w:sz="4" w:space="0" w:color="auto"/>
              <w:bottom w:val="single" w:sz="4" w:space="0" w:color="auto"/>
              <w:right w:val="single" w:sz="8" w:space="0" w:color="auto"/>
            </w:tcBorders>
            <w:shd w:val="clear" w:color="auto" w:fill="auto"/>
            <w:vAlign w:val="center"/>
            <w:hideMark/>
          </w:tcPr>
          <w:p w14:paraId="6BD93A1D"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r>
      <w:tr w:rsidR="00DF0ABC" w:rsidRPr="00B71347" w14:paraId="7B2A5DA0" w14:textId="77777777" w:rsidTr="00762822">
        <w:trPr>
          <w:trHeight w:val="300"/>
        </w:trPr>
        <w:tc>
          <w:tcPr>
            <w:tcW w:w="327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E9B1C9" w14:textId="77777777" w:rsidR="00B570D4" w:rsidRPr="004408A1" w:rsidRDefault="00B570D4" w:rsidP="00662385">
            <w:pPr>
              <w:spacing w:after="0" w:line="240" w:lineRule="auto"/>
              <w:rPr>
                <w:rFonts w:ascii="Cambria" w:eastAsia="Times New Roman" w:hAnsi="Cambria" w:cs="Times New Roman"/>
                <w:i/>
                <w:iCs/>
                <w:color w:val="000000"/>
                <w:lang w:val="en-GB"/>
              </w:rPr>
            </w:pPr>
            <w:r w:rsidRPr="004408A1">
              <w:rPr>
                <w:rFonts w:ascii="Calibri" w:eastAsia="Times New Roman" w:hAnsi="Calibri" w:cs="Times New Roman"/>
                <w:i/>
                <w:iCs/>
                <w:color w:val="000000"/>
                <w:sz w:val="20"/>
                <w:szCs w:val="20"/>
                <w:lang w:val="en-GB"/>
              </w:rPr>
              <w:t>Conference of Peripheral Maritime Regions (CPMR)</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01565DC4" w14:textId="77777777" w:rsidR="00B570D4" w:rsidRPr="004408A1" w:rsidRDefault="00B570D4" w:rsidP="00B570D4">
            <w:pPr>
              <w:spacing w:line="240" w:lineRule="auto"/>
              <w:rPr>
                <w:rFonts w:ascii="Calibri" w:eastAsia="Times New Roman" w:hAnsi="Calibri" w:cs="Times New Roman"/>
                <w:color w:val="FFFFFF"/>
                <w:lang w:val="en-GB"/>
              </w:rPr>
            </w:pP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6957D156" w14:textId="77777777" w:rsidR="00B570D4" w:rsidRPr="004408A1" w:rsidRDefault="00B570D4" w:rsidP="00B570D4">
            <w:pPr>
              <w:spacing w:line="240" w:lineRule="auto"/>
              <w:rPr>
                <w:rFonts w:ascii="Calibri" w:eastAsia="Times New Roman" w:hAnsi="Calibri" w:cs="Times New Roman"/>
                <w:color w:val="FFFFFF"/>
                <w:lang w:val="en-GB"/>
              </w:rPr>
            </w:pPr>
            <w:r w:rsidRPr="004408A1">
              <w:rPr>
                <w:rFonts w:ascii="Calibri" w:eastAsia="Times New Roman" w:hAnsi="Calibri" w:cs="Times New Roman"/>
                <w:color w:val="FFFFFF"/>
                <w:lang w:val="en-GB"/>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06C5BB" w14:textId="77777777" w:rsidR="00B570D4" w:rsidRPr="004408A1" w:rsidRDefault="00B570D4" w:rsidP="00B570D4">
            <w:pPr>
              <w:spacing w:line="240" w:lineRule="auto"/>
              <w:rPr>
                <w:rFonts w:ascii="Cambria" w:eastAsia="Times New Roman" w:hAnsi="Cambria" w:cs="Times New Roman"/>
                <w:i/>
                <w:iCs/>
                <w:color w:val="000000"/>
                <w:lang w:val="en-GB"/>
              </w:rPr>
            </w:pPr>
            <w:r w:rsidRPr="004408A1">
              <w:rPr>
                <w:rFonts w:ascii="Cambria" w:eastAsia="Times New Roman" w:hAnsi="Cambria" w:cs="Times New Roman"/>
                <w:i/>
                <w:iCs/>
                <w:color w:val="000000"/>
                <w:lang w:val="en-GB"/>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3DC750B" w14:textId="77777777" w:rsidR="00B570D4" w:rsidRPr="004408A1" w:rsidRDefault="00B570D4" w:rsidP="00B570D4">
            <w:pPr>
              <w:spacing w:line="240" w:lineRule="auto"/>
              <w:rPr>
                <w:rFonts w:ascii="Cambria" w:eastAsia="Times New Roman" w:hAnsi="Cambria" w:cs="Times New Roman"/>
                <w:i/>
                <w:iCs/>
                <w:color w:val="000000"/>
                <w:lang w:val="en-GB"/>
              </w:rPr>
            </w:pPr>
          </w:p>
        </w:tc>
        <w:tc>
          <w:tcPr>
            <w:tcW w:w="992"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7B83063A" w14:textId="77777777" w:rsidR="00B570D4" w:rsidRPr="004408A1" w:rsidRDefault="00B570D4" w:rsidP="00B570D4">
            <w:pPr>
              <w:spacing w:line="240" w:lineRule="auto"/>
              <w:rPr>
                <w:rFonts w:ascii="Calibri" w:eastAsia="Times New Roman" w:hAnsi="Calibri" w:cs="Times New Roman"/>
                <w:color w:val="FFFFFF"/>
                <w:lang w:val="en-GB"/>
              </w:rPr>
            </w:pPr>
            <w:r w:rsidRPr="004408A1">
              <w:rPr>
                <w:rFonts w:ascii="Calibri" w:eastAsia="Times New Roman" w:hAnsi="Calibri" w:cs="Times New Roman"/>
                <w:color w:val="FFFFFF"/>
                <w:lang w:val="en-GB"/>
              </w:rPr>
              <w:t> </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6C92DA1A" w14:textId="77777777" w:rsidR="00B570D4" w:rsidRPr="004408A1" w:rsidRDefault="00B570D4" w:rsidP="00B570D4">
            <w:pPr>
              <w:spacing w:line="240" w:lineRule="auto"/>
              <w:rPr>
                <w:rFonts w:ascii="Calibri" w:eastAsia="Times New Roman" w:hAnsi="Calibri" w:cs="Times New Roman"/>
                <w:color w:val="FFFFFF"/>
                <w:lang w:val="en-GB"/>
              </w:rPr>
            </w:pPr>
            <w:r w:rsidRPr="004408A1">
              <w:rPr>
                <w:rFonts w:ascii="Calibri" w:eastAsia="Times New Roman" w:hAnsi="Calibri" w:cs="Times New Roman"/>
                <w:color w:val="FFFFFF"/>
                <w:lang w:val="en-GB"/>
              </w:rPr>
              <w:t> </w:t>
            </w:r>
          </w:p>
        </w:tc>
        <w:tc>
          <w:tcPr>
            <w:tcW w:w="851"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58C5FB2C" w14:textId="77777777" w:rsidR="00B570D4" w:rsidRPr="004408A1" w:rsidRDefault="00B570D4" w:rsidP="00B570D4">
            <w:pPr>
              <w:spacing w:line="240" w:lineRule="auto"/>
              <w:rPr>
                <w:rFonts w:ascii="Calibri" w:eastAsia="Times New Roman" w:hAnsi="Calibri" w:cs="Times New Roman"/>
                <w:color w:val="FFFFFF"/>
                <w:lang w:val="en-GB"/>
              </w:rPr>
            </w:pPr>
          </w:p>
        </w:tc>
        <w:tc>
          <w:tcPr>
            <w:tcW w:w="85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E41BE32" w14:textId="77777777" w:rsidR="00B570D4" w:rsidRPr="004408A1" w:rsidRDefault="00B570D4" w:rsidP="00B570D4">
            <w:pPr>
              <w:spacing w:line="240" w:lineRule="auto"/>
              <w:ind w:right="940"/>
              <w:rPr>
                <w:rFonts w:ascii="Cambria" w:eastAsia="Times New Roman" w:hAnsi="Cambria" w:cs="Times New Roman"/>
                <w:i/>
                <w:iCs/>
                <w:color w:val="000000"/>
                <w:lang w:val="en-GB"/>
              </w:rPr>
            </w:pPr>
            <w:r w:rsidRPr="004408A1">
              <w:rPr>
                <w:rFonts w:ascii="Cambria" w:eastAsia="Times New Roman" w:hAnsi="Cambria" w:cs="Times New Roman"/>
                <w:i/>
                <w:iCs/>
                <w:color w:val="000000"/>
                <w:lang w:val="en-GB"/>
              </w:rPr>
              <w:t> </w:t>
            </w:r>
          </w:p>
        </w:tc>
      </w:tr>
      <w:tr w:rsidR="00DF0ABC" w:rsidRPr="00881B89" w14:paraId="74330C17" w14:textId="77777777" w:rsidTr="00762822">
        <w:trPr>
          <w:trHeight w:val="300"/>
        </w:trPr>
        <w:tc>
          <w:tcPr>
            <w:tcW w:w="3276"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356BEAF" w14:textId="77777777" w:rsidR="003B440B" w:rsidRPr="004408A1" w:rsidRDefault="00E14B85"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xml:space="preserve">International </w:t>
            </w:r>
            <w:proofErr w:type="spellStart"/>
            <w:r w:rsidRPr="004408A1">
              <w:rPr>
                <w:rFonts w:ascii="Calibri" w:eastAsia="Times New Roman" w:hAnsi="Calibri" w:cs="Times New Roman"/>
                <w:i/>
                <w:iCs/>
                <w:color w:val="000000"/>
                <w:sz w:val="20"/>
                <w:szCs w:val="20"/>
                <w:lang w:val="en-GB"/>
              </w:rPr>
              <w:t>Center</w:t>
            </w:r>
            <w:proofErr w:type="spellEnd"/>
            <w:r w:rsidRPr="004408A1">
              <w:rPr>
                <w:rFonts w:ascii="Calibri" w:eastAsia="Times New Roman" w:hAnsi="Calibri" w:cs="Times New Roman"/>
                <w:i/>
                <w:iCs/>
                <w:color w:val="000000"/>
                <w:sz w:val="20"/>
                <w:szCs w:val="20"/>
                <w:lang w:val="en-GB"/>
              </w:rPr>
              <w:t xml:space="preserve"> for Migration Policy Development</w:t>
            </w:r>
            <w:r w:rsidR="003B440B" w:rsidRPr="004408A1">
              <w:rPr>
                <w:rFonts w:ascii="Calibri" w:eastAsia="Times New Roman" w:hAnsi="Calibri" w:cs="Times New Roman"/>
                <w:i/>
                <w:iCs/>
                <w:color w:val="000000"/>
                <w:sz w:val="20"/>
                <w:szCs w:val="20"/>
                <w:lang w:val="en-GB"/>
              </w:rPr>
              <w:t xml:space="preserve"> (ICMPD)</w:t>
            </w:r>
          </w:p>
        </w:tc>
        <w:tc>
          <w:tcPr>
            <w:tcW w:w="992"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51DE0748" w14:textId="77777777" w:rsidR="003B440B" w:rsidRPr="004408A1" w:rsidRDefault="003B440B" w:rsidP="003B440B">
            <w:pPr>
              <w:spacing w:after="0" w:line="240" w:lineRule="auto"/>
              <w:rPr>
                <w:rFonts w:ascii="Calibri" w:eastAsia="Times New Roman" w:hAnsi="Calibri" w:cs="Times New Roman"/>
                <w:color w:val="FFFFFF"/>
                <w:sz w:val="20"/>
                <w:szCs w:val="20"/>
                <w:lang w:val="en-GB"/>
              </w:rPr>
            </w:pPr>
            <w:r w:rsidRPr="004408A1">
              <w:rPr>
                <w:rFonts w:ascii="Calibri" w:eastAsia="Times New Roman" w:hAnsi="Calibri" w:cs="Times New Roman"/>
                <w:color w:val="FFFFFF"/>
                <w:sz w:val="20"/>
                <w:szCs w:val="20"/>
                <w:lang w:val="en-GB"/>
              </w:rPr>
              <w:t> </w:t>
            </w:r>
          </w:p>
        </w:tc>
        <w:tc>
          <w:tcPr>
            <w:tcW w:w="992" w:type="dxa"/>
            <w:tcBorders>
              <w:top w:val="nil"/>
              <w:left w:val="nil"/>
              <w:bottom w:val="single" w:sz="8" w:space="0" w:color="auto"/>
              <w:right w:val="single" w:sz="4" w:space="0" w:color="auto"/>
            </w:tcBorders>
            <w:shd w:val="clear" w:color="auto" w:fill="auto"/>
            <w:vAlign w:val="center"/>
            <w:hideMark/>
          </w:tcPr>
          <w:p w14:paraId="4DCA287A"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2" w:type="dxa"/>
            <w:tcBorders>
              <w:top w:val="nil"/>
              <w:left w:val="nil"/>
              <w:bottom w:val="single" w:sz="8" w:space="0" w:color="auto"/>
              <w:right w:val="single" w:sz="4" w:space="0" w:color="auto"/>
            </w:tcBorders>
            <w:shd w:val="clear" w:color="auto" w:fill="auto"/>
            <w:vAlign w:val="center"/>
            <w:hideMark/>
          </w:tcPr>
          <w:p w14:paraId="5F7FA98F"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3" w:type="dxa"/>
            <w:tcBorders>
              <w:top w:val="single" w:sz="4" w:space="0" w:color="auto"/>
              <w:left w:val="single" w:sz="4" w:space="0" w:color="auto"/>
              <w:bottom w:val="single" w:sz="4" w:space="0" w:color="auto"/>
              <w:right w:val="single" w:sz="4" w:space="0" w:color="auto"/>
            </w:tcBorders>
            <w:shd w:val="clear" w:color="000000" w:fill="9BBB59"/>
            <w:vAlign w:val="center"/>
            <w:hideMark/>
          </w:tcPr>
          <w:p w14:paraId="3F98B99A" w14:textId="77777777" w:rsidR="003B440B" w:rsidRPr="004408A1" w:rsidRDefault="003B440B" w:rsidP="003B440B">
            <w:pPr>
              <w:spacing w:after="0" w:line="240" w:lineRule="auto"/>
              <w:rPr>
                <w:rFonts w:ascii="Calibri" w:eastAsia="Times New Roman" w:hAnsi="Calibri" w:cs="Times New Roman"/>
                <w:color w:val="FFFFFF"/>
                <w:sz w:val="20"/>
                <w:szCs w:val="20"/>
                <w:lang w:val="en-GB"/>
              </w:rPr>
            </w:pPr>
            <w:r w:rsidRPr="004408A1">
              <w:rPr>
                <w:rFonts w:ascii="Calibri" w:eastAsia="Times New Roman" w:hAnsi="Calibri" w:cs="Times New Roman"/>
                <w:color w:val="FFFFFF"/>
                <w:sz w:val="20"/>
                <w:szCs w:val="20"/>
                <w:lang w:val="en-GB"/>
              </w:rPr>
              <w:t> </w:t>
            </w:r>
          </w:p>
        </w:tc>
        <w:tc>
          <w:tcPr>
            <w:tcW w:w="992" w:type="dxa"/>
            <w:tcBorders>
              <w:top w:val="nil"/>
              <w:left w:val="nil"/>
              <w:bottom w:val="single" w:sz="8" w:space="0" w:color="auto"/>
              <w:right w:val="single" w:sz="4" w:space="0" w:color="auto"/>
            </w:tcBorders>
            <w:shd w:val="clear" w:color="auto" w:fill="auto"/>
            <w:vAlign w:val="center"/>
            <w:hideMark/>
          </w:tcPr>
          <w:p w14:paraId="61151CF0"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992" w:type="dxa"/>
            <w:tcBorders>
              <w:top w:val="nil"/>
              <w:left w:val="nil"/>
              <w:bottom w:val="single" w:sz="8" w:space="0" w:color="auto"/>
              <w:right w:val="single" w:sz="4" w:space="0" w:color="auto"/>
            </w:tcBorders>
            <w:shd w:val="clear" w:color="auto" w:fill="auto"/>
            <w:vAlign w:val="center"/>
            <w:hideMark/>
          </w:tcPr>
          <w:p w14:paraId="020414C8"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851" w:type="dxa"/>
            <w:tcBorders>
              <w:top w:val="nil"/>
              <w:left w:val="nil"/>
              <w:bottom w:val="single" w:sz="8" w:space="0" w:color="auto"/>
              <w:right w:val="single" w:sz="4" w:space="0" w:color="auto"/>
            </w:tcBorders>
            <w:shd w:val="clear" w:color="auto" w:fill="auto"/>
            <w:vAlign w:val="center"/>
            <w:hideMark/>
          </w:tcPr>
          <w:p w14:paraId="719DFE37"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c>
          <w:tcPr>
            <w:tcW w:w="85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52E81B6" w14:textId="77777777" w:rsidR="003B440B" w:rsidRPr="004408A1" w:rsidRDefault="003B440B"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w:t>
            </w:r>
          </w:p>
        </w:tc>
      </w:tr>
      <w:tr w:rsidR="00516E9C" w:rsidRPr="00B71347" w14:paraId="3DF89827" w14:textId="77777777" w:rsidTr="00762822">
        <w:trPr>
          <w:trHeight w:val="354"/>
        </w:trPr>
        <w:tc>
          <w:tcPr>
            <w:tcW w:w="10930" w:type="dxa"/>
            <w:gridSpan w:val="9"/>
            <w:tcBorders>
              <w:top w:val="single" w:sz="4" w:space="0" w:color="4F81BD"/>
              <w:left w:val="single" w:sz="8" w:space="0" w:color="auto"/>
              <w:bottom w:val="single" w:sz="8" w:space="0" w:color="auto"/>
              <w:right w:val="single" w:sz="8" w:space="0" w:color="auto"/>
            </w:tcBorders>
            <w:shd w:val="clear" w:color="auto" w:fill="auto"/>
            <w:noWrap/>
            <w:vAlign w:val="center"/>
            <w:hideMark/>
          </w:tcPr>
          <w:p w14:paraId="6563BA8D" w14:textId="77777777" w:rsidR="00516E9C" w:rsidRPr="004408A1" w:rsidRDefault="00516E9C" w:rsidP="003B440B">
            <w:pPr>
              <w:spacing w:after="0" w:line="240" w:lineRule="auto"/>
              <w:rPr>
                <w:rFonts w:ascii="Calibri" w:eastAsia="Times New Roman" w:hAnsi="Calibri" w:cs="Times New Roman"/>
                <w:i/>
                <w:iCs/>
                <w:color w:val="000000"/>
                <w:sz w:val="20"/>
                <w:szCs w:val="20"/>
                <w:lang w:val="en-GB"/>
              </w:rPr>
            </w:pPr>
            <w:r w:rsidRPr="004408A1">
              <w:rPr>
                <w:rFonts w:ascii="Calibri" w:eastAsia="Times New Roman" w:hAnsi="Calibri" w:cs="Times New Roman"/>
                <w:i/>
                <w:iCs/>
                <w:color w:val="000000"/>
                <w:sz w:val="20"/>
                <w:szCs w:val="20"/>
                <w:lang w:val="en-GB"/>
              </w:rPr>
              <w:t>* Compilation of consultation results: Greece (31.12.</w:t>
            </w:r>
            <w:r w:rsidR="00FD6A56">
              <w:rPr>
                <w:rFonts w:ascii="Calibri" w:eastAsia="Times New Roman" w:hAnsi="Calibri" w:cs="Times New Roman"/>
                <w:i/>
                <w:iCs/>
                <w:color w:val="000000"/>
                <w:sz w:val="20"/>
                <w:szCs w:val="20"/>
                <w:lang w:val="en-GB"/>
              </w:rPr>
              <w:t>2013, 20.02.2014); Moldova (autu</w:t>
            </w:r>
            <w:r w:rsidRPr="004408A1">
              <w:rPr>
                <w:rFonts w:ascii="Calibri" w:eastAsia="Times New Roman" w:hAnsi="Calibri" w:cs="Times New Roman"/>
                <w:i/>
                <w:iCs/>
                <w:color w:val="000000"/>
                <w:sz w:val="20"/>
                <w:szCs w:val="20"/>
                <w:lang w:val="en-GB"/>
              </w:rPr>
              <w:t>mn 2013, 27.01.2014)</w:t>
            </w:r>
          </w:p>
        </w:tc>
      </w:tr>
    </w:tbl>
    <w:p w14:paraId="04F1DD59" w14:textId="77777777" w:rsidR="0080785F" w:rsidRDefault="00D241B5" w:rsidP="00861DD0">
      <w:pPr>
        <w:spacing w:before="120" w:after="0" w:line="240" w:lineRule="auto"/>
        <w:rPr>
          <w:rFonts w:ascii="Times New Roman" w:hAnsi="Times New Roman" w:cs="Times New Roman"/>
          <w:b/>
          <w:sz w:val="18"/>
          <w:szCs w:val="18"/>
          <w:lang w:val="en-GB"/>
        </w:rPr>
      </w:pPr>
      <w:proofErr w:type="gramStart"/>
      <w:r>
        <w:rPr>
          <w:rFonts w:eastAsia="Times New Roman" w:cs="Times New Roman"/>
          <w:i/>
          <w:color w:val="000000"/>
          <w:sz w:val="20"/>
          <w:szCs w:val="20"/>
          <w:lang w:val="en-GB"/>
        </w:rPr>
        <w:t>Table 2.</w:t>
      </w:r>
      <w:proofErr w:type="gramEnd"/>
      <w:r>
        <w:rPr>
          <w:rFonts w:eastAsia="Times New Roman" w:cs="Times New Roman"/>
          <w:i/>
          <w:color w:val="000000"/>
          <w:sz w:val="20"/>
          <w:szCs w:val="20"/>
          <w:lang w:val="en-GB"/>
        </w:rPr>
        <w:t xml:space="preserve"> </w:t>
      </w:r>
      <w:proofErr w:type="gramStart"/>
      <w:r>
        <w:rPr>
          <w:rFonts w:eastAsia="Times New Roman" w:cs="Times New Roman"/>
          <w:i/>
          <w:color w:val="000000"/>
          <w:sz w:val="20"/>
          <w:szCs w:val="20"/>
          <w:lang w:val="en-GB"/>
        </w:rPr>
        <w:t>O</w:t>
      </w:r>
      <w:r w:rsidRPr="008C6029">
        <w:rPr>
          <w:rFonts w:eastAsia="Times New Roman" w:cs="Times New Roman"/>
          <w:i/>
          <w:color w:val="000000"/>
          <w:sz w:val="20"/>
          <w:szCs w:val="20"/>
          <w:lang w:val="en-GB"/>
        </w:rPr>
        <w:t xml:space="preserve">utcome of </w:t>
      </w:r>
      <w:r>
        <w:rPr>
          <w:rFonts w:eastAsia="Times New Roman" w:cs="Times New Roman"/>
          <w:i/>
          <w:color w:val="000000"/>
          <w:sz w:val="20"/>
          <w:szCs w:val="20"/>
          <w:lang w:val="en-GB"/>
        </w:rPr>
        <w:t>stakeholder consultation</w:t>
      </w:r>
      <w:r w:rsidR="008744F8">
        <w:rPr>
          <w:rFonts w:eastAsia="Times New Roman" w:cs="Times New Roman"/>
          <w:i/>
          <w:color w:val="000000"/>
          <w:sz w:val="20"/>
          <w:szCs w:val="20"/>
          <w:lang w:val="en-GB"/>
        </w:rPr>
        <w:t>s</w:t>
      </w:r>
      <w:r>
        <w:rPr>
          <w:rFonts w:eastAsia="Times New Roman" w:cs="Times New Roman"/>
          <w:i/>
          <w:color w:val="000000"/>
          <w:sz w:val="20"/>
          <w:szCs w:val="20"/>
          <w:lang w:val="en-GB"/>
        </w:rPr>
        <w:t xml:space="preserve"> on thematic objectives and priorities.</w:t>
      </w:r>
      <w:proofErr w:type="gramEnd"/>
      <w:r w:rsidR="00D212F0">
        <w:rPr>
          <w:rFonts w:eastAsia="Times New Roman" w:cs="Times New Roman"/>
          <w:i/>
          <w:color w:val="000000"/>
          <w:sz w:val="20"/>
          <w:szCs w:val="20"/>
          <w:lang w:val="en-GB"/>
        </w:rPr>
        <w:t xml:space="preserve"> Support or interest from stakeholders is highlighted in green, strong support or interest is</w:t>
      </w:r>
      <w:r w:rsidRPr="008C6029">
        <w:rPr>
          <w:rFonts w:eastAsia="Times New Roman" w:cs="Times New Roman"/>
          <w:i/>
          <w:color w:val="000000"/>
          <w:sz w:val="20"/>
          <w:szCs w:val="20"/>
          <w:lang w:val="en-GB"/>
        </w:rPr>
        <w:t xml:space="preserve"> highlighted in dark green. </w:t>
      </w:r>
    </w:p>
    <w:p w14:paraId="4DC55641" w14:textId="77777777" w:rsidR="00A328FC" w:rsidRPr="00541CA7" w:rsidRDefault="00A328FC" w:rsidP="00EE604A">
      <w:pPr>
        <w:spacing w:before="120" w:after="0" w:line="264" w:lineRule="auto"/>
        <w:jc w:val="both"/>
        <w:rPr>
          <w:b/>
          <w:sz w:val="2"/>
          <w:szCs w:val="2"/>
          <w:lang w:val="en-GB"/>
        </w:rPr>
      </w:pPr>
    </w:p>
    <w:p w14:paraId="268ADAED" w14:textId="77777777" w:rsidR="00B66840" w:rsidRPr="00A12B5F" w:rsidRDefault="00C55C88" w:rsidP="00EE604A">
      <w:pPr>
        <w:spacing w:before="120" w:after="0" w:line="264" w:lineRule="auto"/>
        <w:jc w:val="both"/>
        <w:rPr>
          <w:b/>
          <w:sz w:val="22"/>
          <w:szCs w:val="22"/>
          <w:lang w:val="en-GB"/>
        </w:rPr>
      </w:pPr>
      <w:r>
        <w:rPr>
          <w:b/>
          <w:sz w:val="22"/>
          <w:szCs w:val="22"/>
          <w:lang w:val="en-GB"/>
        </w:rPr>
        <w:t>T</w:t>
      </w:r>
      <w:r w:rsidR="00EE033C" w:rsidRPr="00AE4936">
        <w:rPr>
          <w:b/>
          <w:sz w:val="22"/>
          <w:szCs w:val="22"/>
          <w:lang w:val="en-GB"/>
        </w:rPr>
        <w:t>hema</w:t>
      </w:r>
      <w:r w:rsidR="00EE033C">
        <w:rPr>
          <w:b/>
          <w:sz w:val="22"/>
          <w:szCs w:val="22"/>
          <w:lang w:val="en-GB"/>
        </w:rPr>
        <w:t>tic Objective 6 was</w:t>
      </w:r>
      <w:r w:rsidR="00EE033C" w:rsidRPr="00AE4936">
        <w:rPr>
          <w:b/>
          <w:sz w:val="22"/>
          <w:szCs w:val="22"/>
          <w:lang w:val="en-GB"/>
        </w:rPr>
        <w:t xml:space="preserve"> unanimously supported as the most relevant </w:t>
      </w:r>
      <w:r w:rsidR="00374D88">
        <w:rPr>
          <w:b/>
          <w:sz w:val="22"/>
          <w:szCs w:val="22"/>
          <w:lang w:val="en-GB"/>
        </w:rPr>
        <w:t>by</w:t>
      </w:r>
      <w:r w:rsidR="00374D88" w:rsidRPr="00AE4936">
        <w:rPr>
          <w:b/>
          <w:sz w:val="22"/>
          <w:szCs w:val="22"/>
          <w:lang w:val="en-GB"/>
        </w:rPr>
        <w:t xml:space="preserve"> </w:t>
      </w:r>
      <w:r w:rsidR="00EE033C" w:rsidRPr="00AE4936">
        <w:rPr>
          <w:b/>
          <w:sz w:val="22"/>
          <w:szCs w:val="22"/>
          <w:lang w:val="en-GB"/>
        </w:rPr>
        <w:t>participati</w:t>
      </w:r>
      <w:r w:rsidR="00EE033C">
        <w:rPr>
          <w:b/>
          <w:sz w:val="22"/>
          <w:szCs w:val="22"/>
          <w:lang w:val="en-GB"/>
        </w:rPr>
        <w:t>ng countries</w:t>
      </w:r>
      <w:r>
        <w:rPr>
          <w:b/>
          <w:sz w:val="22"/>
          <w:szCs w:val="22"/>
          <w:lang w:val="en-GB"/>
        </w:rPr>
        <w:t xml:space="preserve">, while there was also a wide consensus on Thematic </w:t>
      </w:r>
      <w:r w:rsidRPr="00A12B5F">
        <w:rPr>
          <w:b/>
          <w:sz w:val="22"/>
          <w:szCs w:val="22"/>
          <w:lang w:val="en-GB"/>
        </w:rPr>
        <w:t>Objective 1</w:t>
      </w:r>
      <w:r w:rsidR="008313FF" w:rsidRPr="00A12B5F">
        <w:rPr>
          <w:b/>
          <w:sz w:val="22"/>
          <w:szCs w:val="22"/>
          <w:lang w:val="en-GB"/>
        </w:rPr>
        <w:t xml:space="preserve"> during the consultations</w:t>
      </w:r>
      <w:r w:rsidRPr="00A12B5F">
        <w:rPr>
          <w:b/>
          <w:sz w:val="22"/>
          <w:szCs w:val="22"/>
          <w:lang w:val="en-GB"/>
        </w:rPr>
        <w:t xml:space="preserve">. There was some interest and support for </w:t>
      </w:r>
      <w:r w:rsidR="00C90E46">
        <w:rPr>
          <w:b/>
          <w:sz w:val="22"/>
          <w:szCs w:val="22"/>
          <w:lang w:val="en-GB"/>
        </w:rPr>
        <w:t>Thematic O</w:t>
      </w:r>
      <w:r w:rsidRPr="00A12B5F">
        <w:rPr>
          <w:b/>
          <w:sz w:val="22"/>
          <w:szCs w:val="22"/>
          <w:lang w:val="en-GB"/>
        </w:rPr>
        <w:t>bjectives 2, 3, 4 and 7.</w:t>
      </w:r>
    </w:p>
    <w:p w14:paraId="37FD6B5F" w14:textId="5BF5C4B0" w:rsidR="003E4200" w:rsidRDefault="00056C65" w:rsidP="00EE604A">
      <w:pPr>
        <w:spacing w:before="120" w:after="0" w:line="264" w:lineRule="auto"/>
        <w:jc w:val="both"/>
        <w:rPr>
          <w:sz w:val="22"/>
          <w:szCs w:val="22"/>
          <w:lang w:val="en-GB"/>
        </w:rPr>
      </w:pPr>
      <w:r w:rsidRPr="00CA0CB4">
        <w:rPr>
          <w:b/>
          <w:sz w:val="22"/>
          <w:szCs w:val="22"/>
          <w:lang w:val="en-GB"/>
        </w:rPr>
        <w:t>T</w:t>
      </w:r>
      <w:r w:rsidR="00AE522F">
        <w:rPr>
          <w:b/>
          <w:sz w:val="22"/>
          <w:szCs w:val="22"/>
          <w:lang w:val="en-GB"/>
        </w:rPr>
        <w:t>here was limited support for T</w:t>
      </w:r>
      <w:r w:rsidRPr="00CA0CB4">
        <w:rPr>
          <w:b/>
          <w:sz w:val="22"/>
          <w:szCs w:val="22"/>
          <w:lang w:val="en-GB"/>
        </w:rPr>
        <w:t xml:space="preserve">hematic </w:t>
      </w:r>
      <w:r w:rsidR="00AE522F">
        <w:rPr>
          <w:b/>
          <w:sz w:val="22"/>
          <w:szCs w:val="22"/>
          <w:lang w:val="en-GB"/>
        </w:rPr>
        <w:t>O</w:t>
      </w:r>
      <w:r w:rsidRPr="00CA0CB4">
        <w:rPr>
          <w:b/>
          <w:sz w:val="22"/>
          <w:szCs w:val="22"/>
          <w:lang w:val="en-GB"/>
        </w:rPr>
        <w:t>bjectiv</w:t>
      </w:r>
      <w:r w:rsidR="006846AC" w:rsidRPr="00CA0CB4">
        <w:rPr>
          <w:b/>
          <w:sz w:val="22"/>
          <w:szCs w:val="22"/>
          <w:lang w:val="en-GB"/>
        </w:rPr>
        <w:t>e</w:t>
      </w:r>
      <w:r w:rsidR="00CA0CB4" w:rsidRPr="00CA0CB4">
        <w:rPr>
          <w:b/>
          <w:sz w:val="22"/>
          <w:szCs w:val="22"/>
          <w:lang w:val="en-GB"/>
        </w:rPr>
        <w:t xml:space="preserve"> 5</w:t>
      </w:r>
      <w:r w:rsidR="00AE522F">
        <w:rPr>
          <w:sz w:val="22"/>
          <w:szCs w:val="22"/>
          <w:lang w:val="en-GB"/>
        </w:rPr>
        <w:t xml:space="preserve"> during the national consultations </w:t>
      </w:r>
      <w:r w:rsidR="00CA0CB4">
        <w:rPr>
          <w:sz w:val="22"/>
          <w:szCs w:val="22"/>
          <w:lang w:val="en-GB"/>
        </w:rPr>
        <w:t>(</w:t>
      </w:r>
      <w:r w:rsidR="006846AC">
        <w:rPr>
          <w:sz w:val="22"/>
          <w:szCs w:val="22"/>
          <w:lang w:val="en-GB"/>
        </w:rPr>
        <w:t>already poorly supported by the SWOT and past experience analys</w:t>
      </w:r>
      <w:r w:rsidR="00AE522F">
        <w:rPr>
          <w:sz w:val="22"/>
          <w:szCs w:val="22"/>
          <w:lang w:val="en-GB"/>
        </w:rPr>
        <w:t>e</w:t>
      </w:r>
      <w:r w:rsidR="006846AC">
        <w:rPr>
          <w:sz w:val="22"/>
          <w:szCs w:val="22"/>
          <w:lang w:val="en-GB"/>
        </w:rPr>
        <w:t>s</w:t>
      </w:r>
      <w:r w:rsidR="00CA0CB4">
        <w:rPr>
          <w:sz w:val="22"/>
          <w:szCs w:val="22"/>
          <w:lang w:val="en-GB"/>
        </w:rPr>
        <w:t>)</w:t>
      </w:r>
      <w:r w:rsidR="00D33CCE">
        <w:rPr>
          <w:sz w:val="22"/>
          <w:szCs w:val="22"/>
          <w:lang w:val="en-GB"/>
        </w:rPr>
        <w:t xml:space="preserve">. </w:t>
      </w:r>
      <w:r w:rsidR="00B66840">
        <w:rPr>
          <w:sz w:val="22"/>
          <w:szCs w:val="22"/>
          <w:lang w:val="en-GB"/>
        </w:rPr>
        <w:t xml:space="preserve">The importance </w:t>
      </w:r>
      <w:r w:rsidR="00AE522F">
        <w:rPr>
          <w:sz w:val="22"/>
          <w:szCs w:val="22"/>
          <w:lang w:val="en-GB"/>
        </w:rPr>
        <w:t xml:space="preserve">of </w:t>
      </w:r>
      <w:r w:rsidR="00B66840">
        <w:rPr>
          <w:sz w:val="22"/>
          <w:szCs w:val="22"/>
          <w:lang w:val="en-GB"/>
        </w:rPr>
        <w:t>increas</w:t>
      </w:r>
      <w:r w:rsidR="00AE522F">
        <w:rPr>
          <w:sz w:val="22"/>
          <w:szCs w:val="22"/>
          <w:lang w:val="en-GB"/>
        </w:rPr>
        <w:t>ing</w:t>
      </w:r>
      <w:r w:rsidR="00B66840">
        <w:rPr>
          <w:sz w:val="22"/>
          <w:szCs w:val="22"/>
          <w:lang w:val="en-GB"/>
        </w:rPr>
        <w:t xml:space="preserve"> the capacity of local and regional authorities and communities for </w:t>
      </w:r>
      <w:r w:rsidR="00AE522F">
        <w:rPr>
          <w:sz w:val="22"/>
          <w:szCs w:val="22"/>
          <w:lang w:val="en-GB"/>
        </w:rPr>
        <w:t xml:space="preserve">the success of the </w:t>
      </w:r>
      <w:r w:rsidR="00B66840">
        <w:rPr>
          <w:sz w:val="22"/>
          <w:szCs w:val="22"/>
          <w:lang w:val="en-GB"/>
        </w:rPr>
        <w:t>programme was nonetheless emphasi</w:t>
      </w:r>
      <w:r w:rsidR="00AE522F">
        <w:rPr>
          <w:sz w:val="22"/>
          <w:szCs w:val="22"/>
          <w:lang w:val="en-GB"/>
        </w:rPr>
        <w:t>s</w:t>
      </w:r>
      <w:r w:rsidR="00B66840">
        <w:rPr>
          <w:sz w:val="22"/>
          <w:szCs w:val="22"/>
          <w:lang w:val="en-GB"/>
        </w:rPr>
        <w:t xml:space="preserve">ed, in particular by international organisations. Good governance and local/regional capacity building is very much a transversal issue, important for </w:t>
      </w:r>
      <w:r w:rsidR="00AE522F">
        <w:rPr>
          <w:sz w:val="22"/>
          <w:szCs w:val="22"/>
          <w:lang w:val="en-GB"/>
        </w:rPr>
        <w:t xml:space="preserve">the success of </w:t>
      </w:r>
      <w:r w:rsidR="00B66840">
        <w:rPr>
          <w:sz w:val="22"/>
          <w:szCs w:val="22"/>
          <w:lang w:val="en-GB"/>
        </w:rPr>
        <w:t>CBC project</w:t>
      </w:r>
      <w:r w:rsidR="00AE522F">
        <w:rPr>
          <w:sz w:val="22"/>
          <w:szCs w:val="22"/>
          <w:lang w:val="en-GB"/>
        </w:rPr>
        <w:t>s</w:t>
      </w:r>
      <w:r w:rsidR="00B66840">
        <w:rPr>
          <w:sz w:val="22"/>
          <w:szCs w:val="22"/>
          <w:lang w:val="en-GB"/>
        </w:rPr>
        <w:t xml:space="preserve">, and </w:t>
      </w:r>
      <w:r w:rsidR="00AE522F">
        <w:rPr>
          <w:sz w:val="22"/>
          <w:szCs w:val="22"/>
          <w:lang w:val="en-GB"/>
        </w:rPr>
        <w:t xml:space="preserve">could </w:t>
      </w:r>
      <w:r w:rsidR="00B66840">
        <w:rPr>
          <w:sz w:val="22"/>
          <w:szCs w:val="22"/>
          <w:lang w:val="en-GB"/>
        </w:rPr>
        <w:t xml:space="preserve">be included in the programme </w:t>
      </w:r>
      <w:r w:rsidR="00B66840" w:rsidRPr="00B66840">
        <w:rPr>
          <w:b/>
          <w:sz w:val="22"/>
          <w:szCs w:val="22"/>
          <w:lang w:val="en-GB"/>
        </w:rPr>
        <w:t>at horizontal level</w:t>
      </w:r>
      <w:r w:rsidR="00B66840">
        <w:rPr>
          <w:sz w:val="22"/>
          <w:szCs w:val="22"/>
          <w:lang w:val="en-GB"/>
        </w:rPr>
        <w:t xml:space="preserve"> rather than as a separate T</w:t>
      </w:r>
      <w:r w:rsidR="00FD71CE">
        <w:rPr>
          <w:sz w:val="22"/>
          <w:szCs w:val="22"/>
          <w:lang w:val="en-GB"/>
        </w:rPr>
        <w:t>hematic</w:t>
      </w:r>
      <w:r w:rsidR="00AE522F">
        <w:rPr>
          <w:sz w:val="22"/>
          <w:szCs w:val="22"/>
          <w:lang w:val="en-GB"/>
        </w:rPr>
        <w:t xml:space="preserve"> </w:t>
      </w:r>
      <w:r w:rsidR="00B66840">
        <w:rPr>
          <w:sz w:val="22"/>
          <w:szCs w:val="22"/>
          <w:lang w:val="en-GB"/>
        </w:rPr>
        <w:t>O</w:t>
      </w:r>
      <w:r w:rsidR="00AE522F">
        <w:rPr>
          <w:sz w:val="22"/>
          <w:szCs w:val="22"/>
          <w:lang w:val="en-GB"/>
        </w:rPr>
        <w:t>bjective</w:t>
      </w:r>
      <w:r w:rsidR="00B66840">
        <w:rPr>
          <w:sz w:val="22"/>
          <w:szCs w:val="22"/>
          <w:lang w:val="en-GB"/>
        </w:rPr>
        <w:t xml:space="preserve">. Comments from the consultations also suggest that to be effective, local and regional capacity building should not be an aim in itself but oriented towards the achievement of thematic results and specific targets (learning by doing). </w:t>
      </w:r>
    </w:p>
    <w:p w14:paraId="100CFAF9" w14:textId="77777777" w:rsidR="00483E84" w:rsidRPr="004408A1" w:rsidRDefault="00056C65" w:rsidP="00EE604A">
      <w:pPr>
        <w:spacing w:before="120" w:after="0" w:line="264" w:lineRule="auto"/>
        <w:jc w:val="both"/>
        <w:rPr>
          <w:rFonts w:ascii="Times New Roman" w:hAnsi="Times New Roman" w:cs="Times New Roman"/>
          <w:sz w:val="22"/>
          <w:szCs w:val="22"/>
          <w:lang w:val="en-GB"/>
        </w:rPr>
      </w:pPr>
      <w:r>
        <w:rPr>
          <w:b/>
          <w:sz w:val="22"/>
          <w:szCs w:val="22"/>
          <w:lang w:val="en-GB"/>
        </w:rPr>
        <w:t>The</w:t>
      </w:r>
      <w:r w:rsidR="00FD595F">
        <w:rPr>
          <w:b/>
          <w:sz w:val="22"/>
          <w:szCs w:val="22"/>
          <w:lang w:val="en-GB"/>
        </w:rPr>
        <w:t xml:space="preserve">re was </w:t>
      </w:r>
      <w:r w:rsidR="00374D88">
        <w:rPr>
          <w:b/>
          <w:sz w:val="22"/>
          <w:szCs w:val="22"/>
          <w:lang w:val="en-GB"/>
        </w:rPr>
        <w:t xml:space="preserve">very little </w:t>
      </w:r>
      <w:r w:rsidRPr="00F12B27">
        <w:rPr>
          <w:b/>
          <w:sz w:val="22"/>
          <w:szCs w:val="22"/>
          <w:lang w:val="en-GB"/>
        </w:rPr>
        <w:t xml:space="preserve">support </w:t>
      </w:r>
      <w:r w:rsidR="00FD595F">
        <w:rPr>
          <w:b/>
          <w:sz w:val="22"/>
          <w:szCs w:val="22"/>
          <w:lang w:val="en-GB"/>
        </w:rPr>
        <w:t xml:space="preserve">during the consultations </w:t>
      </w:r>
      <w:r w:rsidRPr="00F12B27">
        <w:rPr>
          <w:b/>
          <w:sz w:val="22"/>
          <w:szCs w:val="22"/>
          <w:lang w:val="en-GB"/>
        </w:rPr>
        <w:t xml:space="preserve">for Thematic </w:t>
      </w:r>
      <w:r w:rsidR="00FD595F">
        <w:rPr>
          <w:b/>
          <w:sz w:val="22"/>
          <w:szCs w:val="22"/>
          <w:lang w:val="en-GB"/>
        </w:rPr>
        <w:t>O</w:t>
      </w:r>
      <w:r w:rsidRPr="00F12B27">
        <w:rPr>
          <w:b/>
          <w:sz w:val="22"/>
          <w:szCs w:val="22"/>
          <w:lang w:val="en-GB"/>
        </w:rPr>
        <w:t>bjective 8</w:t>
      </w:r>
      <w:r w:rsidR="00A12B5F">
        <w:rPr>
          <w:b/>
          <w:sz w:val="22"/>
          <w:szCs w:val="22"/>
          <w:lang w:val="en-GB"/>
        </w:rPr>
        <w:t xml:space="preserve"> </w:t>
      </w:r>
      <w:r w:rsidR="00F0162C">
        <w:rPr>
          <w:sz w:val="22"/>
          <w:szCs w:val="22"/>
          <w:lang w:val="en-GB"/>
        </w:rPr>
        <w:t>therefore this objective wa</w:t>
      </w:r>
      <w:r w:rsidR="00C0559E">
        <w:rPr>
          <w:sz w:val="22"/>
          <w:szCs w:val="22"/>
          <w:lang w:val="en-GB"/>
        </w:rPr>
        <w:t>s</w:t>
      </w:r>
      <w:r w:rsidR="00A52C92">
        <w:rPr>
          <w:sz w:val="22"/>
          <w:szCs w:val="22"/>
          <w:lang w:val="en-GB"/>
        </w:rPr>
        <w:t xml:space="preserve"> not </w:t>
      </w:r>
      <w:r w:rsidR="007F7164">
        <w:rPr>
          <w:sz w:val="22"/>
          <w:szCs w:val="22"/>
          <w:lang w:val="en-GB"/>
        </w:rPr>
        <w:t>included or</w:t>
      </w:r>
      <w:r w:rsidR="002F2B86" w:rsidRPr="00786ED5">
        <w:rPr>
          <w:sz w:val="22"/>
          <w:szCs w:val="22"/>
          <w:lang w:val="en-GB"/>
        </w:rPr>
        <w:t xml:space="preserve"> analysed further</w:t>
      </w:r>
      <w:r w:rsidR="005772A5">
        <w:rPr>
          <w:rStyle w:val="FootnoteReference"/>
          <w:sz w:val="22"/>
          <w:szCs w:val="22"/>
          <w:lang w:val="en-GB"/>
        </w:rPr>
        <w:footnoteReference w:id="55"/>
      </w:r>
      <w:r w:rsidR="002F2B86" w:rsidRPr="00786ED5">
        <w:rPr>
          <w:sz w:val="22"/>
          <w:szCs w:val="22"/>
          <w:lang w:val="en-GB"/>
        </w:rPr>
        <w:t>.</w:t>
      </w:r>
    </w:p>
    <w:p w14:paraId="5D04E5AB" w14:textId="77777777" w:rsidR="00323BC7" w:rsidRPr="0025034F" w:rsidRDefault="00CF423C" w:rsidP="00EE604A">
      <w:pPr>
        <w:pStyle w:val="Heading3"/>
        <w:spacing w:before="200" w:after="120" w:line="264" w:lineRule="auto"/>
        <w:rPr>
          <w:b/>
          <w:sz w:val="28"/>
          <w:szCs w:val="28"/>
          <w:lang w:val="en-GB"/>
        </w:rPr>
      </w:pPr>
      <w:bookmarkStart w:id="56" w:name="_Toc423436283"/>
      <w:r>
        <w:rPr>
          <w:b/>
          <w:sz w:val="28"/>
          <w:szCs w:val="28"/>
          <w:lang w:val="en-GB"/>
        </w:rPr>
        <w:lastRenderedPageBreak/>
        <w:t xml:space="preserve">4.3 </w:t>
      </w:r>
      <w:r w:rsidR="00723856" w:rsidRPr="0025034F">
        <w:rPr>
          <w:b/>
          <w:sz w:val="28"/>
          <w:szCs w:val="28"/>
          <w:lang w:val="en-GB"/>
        </w:rPr>
        <w:t>Consistency</w:t>
      </w:r>
      <w:r w:rsidR="00C91E80" w:rsidRPr="0025034F">
        <w:rPr>
          <w:b/>
          <w:sz w:val="28"/>
          <w:szCs w:val="28"/>
          <w:lang w:val="en-GB"/>
        </w:rPr>
        <w:t xml:space="preserve"> with </w:t>
      </w:r>
      <w:r w:rsidR="00B8408A" w:rsidRPr="0025034F">
        <w:rPr>
          <w:b/>
          <w:sz w:val="28"/>
          <w:szCs w:val="28"/>
          <w:lang w:val="en-GB"/>
        </w:rPr>
        <w:t xml:space="preserve">other EU </w:t>
      </w:r>
      <w:r w:rsidR="001D768C" w:rsidRPr="0025034F">
        <w:rPr>
          <w:b/>
          <w:sz w:val="28"/>
          <w:szCs w:val="28"/>
          <w:lang w:val="en-GB"/>
        </w:rPr>
        <w:t>programmes</w:t>
      </w:r>
      <w:bookmarkEnd w:id="56"/>
    </w:p>
    <w:p w14:paraId="1FEBA857" w14:textId="77777777" w:rsidR="00B16F63" w:rsidRDefault="00FD595F" w:rsidP="00EE604A">
      <w:pPr>
        <w:spacing w:before="120" w:after="0" w:line="264" w:lineRule="auto"/>
        <w:jc w:val="both"/>
        <w:rPr>
          <w:sz w:val="22"/>
          <w:szCs w:val="22"/>
          <w:lang w:val="en-GB"/>
        </w:rPr>
      </w:pPr>
      <w:r>
        <w:rPr>
          <w:sz w:val="22"/>
          <w:szCs w:val="22"/>
          <w:lang w:val="en-GB"/>
        </w:rPr>
        <w:t xml:space="preserve">The </w:t>
      </w:r>
      <w:r w:rsidR="00297294" w:rsidRPr="00760EA8">
        <w:rPr>
          <w:sz w:val="22"/>
          <w:szCs w:val="22"/>
          <w:lang w:val="en-GB"/>
        </w:rPr>
        <w:t xml:space="preserve">ENI CBC programming document </w:t>
      </w:r>
      <w:r>
        <w:rPr>
          <w:sz w:val="22"/>
          <w:szCs w:val="22"/>
          <w:lang w:val="en-GB"/>
        </w:rPr>
        <w:t>states</w:t>
      </w:r>
      <w:r w:rsidRPr="00760EA8">
        <w:rPr>
          <w:sz w:val="22"/>
          <w:szCs w:val="22"/>
          <w:lang w:val="en-GB"/>
        </w:rPr>
        <w:t xml:space="preserve"> </w:t>
      </w:r>
      <w:r w:rsidR="00297294" w:rsidRPr="00760EA8">
        <w:rPr>
          <w:sz w:val="22"/>
          <w:szCs w:val="22"/>
          <w:lang w:val="en-GB"/>
        </w:rPr>
        <w:t xml:space="preserve">that CBC programmes must deliver real cross-border added value and </w:t>
      </w:r>
      <w:r w:rsidR="00780B7D">
        <w:rPr>
          <w:sz w:val="22"/>
          <w:szCs w:val="22"/>
          <w:lang w:val="en-GB"/>
        </w:rPr>
        <w:t>“</w:t>
      </w:r>
      <w:r w:rsidR="00297294" w:rsidRPr="00D8168E">
        <w:rPr>
          <w:i/>
          <w:sz w:val="22"/>
          <w:szCs w:val="22"/>
          <w:lang w:val="en-GB"/>
        </w:rPr>
        <w:t>not cover elements which are already funded or could more suitably be funded from other ENI or EU programmes</w:t>
      </w:r>
      <w:r w:rsidR="00374D88">
        <w:rPr>
          <w:i/>
          <w:sz w:val="22"/>
          <w:szCs w:val="22"/>
          <w:lang w:val="en-GB"/>
        </w:rPr>
        <w:t>”</w:t>
      </w:r>
      <w:r w:rsidR="00297294" w:rsidRPr="00760EA8">
        <w:rPr>
          <w:sz w:val="22"/>
          <w:szCs w:val="22"/>
          <w:lang w:val="en-GB"/>
        </w:rPr>
        <w:t xml:space="preserve">. A </w:t>
      </w:r>
      <w:r w:rsidR="00463260">
        <w:rPr>
          <w:sz w:val="22"/>
          <w:szCs w:val="22"/>
          <w:lang w:val="en-GB"/>
        </w:rPr>
        <w:t xml:space="preserve">gap analysis is therefore provided below </w:t>
      </w:r>
      <w:r w:rsidR="00FC0F33" w:rsidRPr="00760EA8">
        <w:rPr>
          <w:sz w:val="22"/>
          <w:szCs w:val="22"/>
          <w:lang w:val="en-GB"/>
        </w:rPr>
        <w:t xml:space="preserve">to identify what is (or </w:t>
      </w:r>
      <w:r>
        <w:rPr>
          <w:sz w:val="22"/>
          <w:szCs w:val="22"/>
          <w:lang w:val="en-GB"/>
        </w:rPr>
        <w:t xml:space="preserve">is </w:t>
      </w:r>
      <w:r w:rsidR="00FC0F33" w:rsidRPr="00760EA8">
        <w:rPr>
          <w:sz w:val="22"/>
          <w:szCs w:val="22"/>
          <w:lang w:val="en-GB"/>
        </w:rPr>
        <w:t xml:space="preserve">not) covered </w:t>
      </w:r>
      <w:r w:rsidR="00374D88">
        <w:rPr>
          <w:sz w:val="22"/>
          <w:szCs w:val="22"/>
          <w:lang w:val="en-GB"/>
        </w:rPr>
        <w:t xml:space="preserve">by </w:t>
      </w:r>
      <w:r w:rsidR="00B16F63">
        <w:rPr>
          <w:sz w:val="22"/>
          <w:szCs w:val="22"/>
          <w:lang w:val="en-GB"/>
        </w:rPr>
        <w:t>other EU programmes</w:t>
      </w:r>
      <w:r w:rsidR="0056256C">
        <w:rPr>
          <w:sz w:val="22"/>
          <w:szCs w:val="22"/>
          <w:lang w:val="en-GB"/>
        </w:rPr>
        <w:t xml:space="preserve"> and compared </w:t>
      </w:r>
      <w:r>
        <w:rPr>
          <w:sz w:val="22"/>
          <w:szCs w:val="22"/>
          <w:lang w:val="en-GB"/>
        </w:rPr>
        <w:t xml:space="preserve">with the orientations of the </w:t>
      </w:r>
      <w:r w:rsidR="0056256C">
        <w:rPr>
          <w:sz w:val="22"/>
          <w:szCs w:val="22"/>
          <w:lang w:val="en-GB"/>
        </w:rPr>
        <w:t>remaining</w:t>
      </w:r>
      <w:r w:rsidR="00E1541D">
        <w:rPr>
          <w:sz w:val="22"/>
          <w:szCs w:val="22"/>
          <w:lang w:val="en-GB"/>
        </w:rPr>
        <w:t xml:space="preserve"> six</w:t>
      </w:r>
      <w:r w:rsidR="0056256C">
        <w:rPr>
          <w:sz w:val="22"/>
          <w:szCs w:val="22"/>
          <w:lang w:val="en-GB"/>
        </w:rPr>
        <w:t xml:space="preserve"> T</w:t>
      </w:r>
      <w:r>
        <w:rPr>
          <w:sz w:val="22"/>
          <w:szCs w:val="22"/>
          <w:lang w:val="en-GB"/>
        </w:rPr>
        <w:t xml:space="preserve">hematic </w:t>
      </w:r>
      <w:r w:rsidR="0056256C">
        <w:rPr>
          <w:sz w:val="22"/>
          <w:szCs w:val="22"/>
          <w:lang w:val="en-GB"/>
        </w:rPr>
        <w:t>O</w:t>
      </w:r>
      <w:r>
        <w:rPr>
          <w:sz w:val="22"/>
          <w:szCs w:val="22"/>
          <w:lang w:val="en-GB"/>
        </w:rPr>
        <w:t>bjective</w:t>
      </w:r>
      <w:r w:rsidR="0056256C">
        <w:rPr>
          <w:sz w:val="22"/>
          <w:szCs w:val="22"/>
          <w:lang w:val="en-GB"/>
        </w:rPr>
        <w:t>s</w:t>
      </w:r>
      <w:r w:rsidR="00B16F63">
        <w:rPr>
          <w:sz w:val="22"/>
          <w:szCs w:val="22"/>
          <w:lang w:val="en-GB"/>
        </w:rPr>
        <w:t xml:space="preserve">. </w:t>
      </w:r>
    </w:p>
    <w:p w14:paraId="2EA5D591" w14:textId="77777777" w:rsidR="00905757" w:rsidRDefault="00B16F63" w:rsidP="00EE604A">
      <w:pPr>
        <w:spacing w:before="120" w:after="0" w:line="264" w:lineRule="auto"/>
        <w:jc w:val="both"/>
        <w:rPr>
          <w:sz w:val="22"/>
          <w:szCs w:val="22"/>
          <w:lang w:val="en-GB"/>
        </w:rPr>
      </w:pPr>
      <w:r>
        <w:rPr>
          <w:sz w:val="22"/>
          <w:szCs w:val="22"/>
          <w:lang w:val="en-GB"/>
        </w:rPr>
        <w:t>The following table presents an overview of main EU cooperation programmes</w:t>
      </w:r>
      <w:r w:rsidR="0014696F">
        <w:rPr>
          <w:sz w:val="22"/>
          <w:szCs w:val="22"/>
          <w:lang w:val="en-GB"/>
        </w:rPr>
        <w:t xml:space="preserve"> and support to regional development in </w:t>
      </w:r>
      <w:r w:rsidR="00FD595F">
        <w:rPr>
          <w:sz w:val="22"/>
          <w:szCs w:val="22"/>
          <w:lang w:val="en-GB"/>
        </w:rPr>
        <w:t xml:space="preserve">the </w:t>
      </w:r>
      <w:r w:rsidR="0014696F">
        <w:rPr>
          <w:sz w:val="22"/>
          <w:szCs w:val="22"/>
          <w:lang w:val="en-GB"/>
        </w:rPr>
        <w:t>Black Sea Basin countries</w:t>
      </w:r>
      <w:r w:rsidR="00760EA8" w:rsidRPr="00760EA8">
        <w:rPr>
          <w:sz w:val="22"/>
          <w:szCs w:val="22"/>
          <w:lang w:val="en-GB"/>
        </w:rPr>
        <w:t xml:space="preserve">. </w:t>
      </w:r>
    </w:p>
    <w:p w14:paraId="2AFEEBDA" w14:textId="77777777" w:rsidR="002E3758" w:rsidRPr="00905757" w:rsidRDefault="002E3758" w:rsidP="00905757">
      <w:pPr>
        <w:spacing w:before="120" w:after="0" w:line="252" w:lineRule="auto"/>
        <w:jc w:val="both"/>
        <w:rPr>
          <w:sz w:val="22"/>
          <w:szCs w:val="22"/>
          <w:lang w:val="en-GB"/>
        </w:rPr>
      </w:pPr>
    </w:p>
    <w:tbl>
      <w:tblPr>
        <w:tblStyle w:val="LightGrid-Accent4"/>
        <w:tblW w:w="0" w:type="auto"/>
        <w:tblLook w:val="04A0" w:firstRow="1" w:lastRow="0" w:firstColumn="1" w:lastColumn="0" w:noHBand="0" w:noVBand="1"/>
      </w:tblPr>
      <w:tblGrid>
        <w:gridCol w:w="1689"/>
        <w:gridCol w:w="8824"/>
      </w:tblGrid>
      <w:tr w:rsidR="0043779A" w:rsidRPr="00881B89" w14:paraId="4AB654DD" w14:textId="77777777" w:rsidTr="006E2C3C">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689" w:type="dxa"/>
            <w:vMerge w:val="restart"/>
          </w:tcPr>
          <w:p w14:paraId="10AACB50" w14:textId="77777777" w:rsidR="0043779A" w:rsidRDefault="0043779A" w:rsidP="002F2B86">
            <w:pPr>
              <w:widowControl w:val="0"/>
              <w:autoSpaceDE w:val="0"/>
              <w:autoSpaceDN w:val="0"/>
              <w:adjustRightInd w:val="0"/>
              <w:rPr>
                <w:rFonts w:cs="Times New Roman"/>
                <w:sz w:val="20"/>
                <w:szCs w:val="20"/>
                <w:lang w:val="en-GB"/>
              </w:rPr>
            </w:pPr>
            <w:r w:rsidRPr="004408A1">
              <w:rPr>
                <w:rFonts w:cs="Times New Roman"/>
                <w:sz w:val="20"/>
                <w:szCs w:val="20"/>
                <w:lang w:val="en-GB"/>
              </w:rPr>
              <w:t>Other Cross-Border Cooperation or Transnational</w:t>
            </w:r>
            <w:r>
              <w:rPr>
                <w:rFonts w:cs="Times New Roman"/>
                <w:sz w:val="20"/>
                <w:szCs w:val="20"/>
                <w:lang w:val="en-GB"/>
              </w:rPr>
              <w:t>/</w:t>
            </w:r>
          </w:p>
          <w:p w14:paraId="0346699F" w14:textId="77777777" w:rsidR="0043779A" w:rsidRPr="004408A1" w:rsidRDefault="0043779A" w:rsidP="002F2B86">
            <w:pPr>
              <w:widowControl w:val="0"/>
              <w:autoSpaceDE w:val="0"/>
              <w:autoSpaceDN w:val="0"/>
              <w:adjustRightInd w:val="0"/>
              <w:rPr>
                <w:rFonts w:cs="Times New Roman"/>
                <w:sz w:val="20"/>
                <w:szCs w:val="20"/>
                <w:lang w:val="en-GB"/>
              </w:rPr>
            </w:pPr>
            <w:r>
              <w:rPr>
                <w:rFonts w:cs="Times New Roman"/>
                <w:sz w:val="20"/>
                <w:szCs w:val="20"/>
                <w:lang w:val="en-GB"/>
              </w:rPr>
              <w:t>Interregional</w:t>
            </w:r>
            <w:r w:rsidRPr="004408A1">
              <w:rPr>
                <w:rFonts w:cs="Times New Roman"/>
                <w:sz w:val="20"/>
                <w:szCs w:val="20"/>
                <w:lang w:val="en-GB"/>
              </w:rPr>
              <w:t xml:space="preserve"> programmes</w:t>
            </w:r>
          </w:p>
        </w:tc>
        <w:tc>
          <w:tcPr>
            <w:tcW w:w="8824" w:type="dxa"/>
          </w:tcPr>
          <w:p w14:paraId="3F4EBD06" w14:textId="77777777" w:rsidR="0043779A" w:rsidRPr="000668B2" w:rsidRDefault="0043779A" w:rsidP="005D57B4">
            <w:pPr>
              <w:widowControl w:val="0"/>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cs="Verdana"/>
                <w:b w:val="0"/>
                <w:sz w:val="20"/>
                <w:szCs w:val="20"/>
                <w:lang w:val="en-GB"/>
              </w:rPr>
            </w:pPr>
            <w:r w:rsidRPr="000668B2">
              <w:rPr>
                <w:rFonts w:cs="Verdana"/>
                <w:sz w:val="20"/>
                <w:szCs w:val="20"/>
                <w:lang w:val="en-GB"/>
              </w:rPr>
              <w:t>Romania-</w:t>
            </w:r>
            <w:r w:rsidR="00CB3FCC">
              <w:rPr>
                <w:rFonts w:cs="Verdana"/>
                <w:b w:val="0"/>
                <w:sz w:val="20"/>
                <w:szCs w:val="20"/>
                <w:lang w:val="en-GB"/>
              </w:rPr>
              <w:t xml:space="preserve"> </w:t>
            </w:r>
            <w:r w:rsidR="00CB3FCC" w:rsidRPr="000668B2">
              <w:rPr>
                <w:rFonts w:cs="Verdana"/>
                <w:sz w:val="20"/>
                <w:szCs w:val="20"/>
                <w:lang w:val="en-GB"/>
              </w:rPr>
              <w:t xml:space="preserve">Republic of </w:t>
            </w:r>
            <w:r w:rsidRPr="000668B2">
              <w:rPr>
                <w:rFonts w:cs="Verdana"/>
                <w:sz w:val="20"/>
                <w:szCs w:val="20"/>
                <w:lang w:val="en-GB"/>
              </w:rPr>
              <w:t xml:space="preserve">Moldova </w:t>
            </w:r>
            <w:r w:rsidRPr="005D57B4">
              <w:rPr>
                <w:rFonts w:cs="Verdana"/>
                <w:b w:val="0"/>
                <w:sz w:val="20"/>
                <w:szCs w:val="20"/>
                <w:lang w:val="en-GB"/>
              </w:rPr>
              <w:t>(ENI CBC)</w:t>
            </w:r>
          </w:p>
        </w:tc>
      </w:tr>
      <w:tr w:rsidR="0043779A" w:rsidRPr="00B71347" w14:paraId="6028E696"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FE29047" w14:textId="77777777" w:rsidR="0043779A" w:rsidRPr="00F06BD2" w:rsidRDefault="0043779A" w:rsidP="002F2B86">
            <w:pPr>
              <w:widowControl w:val="0"/>
              <w:autoSpaceDE w:val="0"/>
              <w:autoSpaceDN w:val="0"/>
              <w:adjustRightInd w:val="0"/>
              <w:spacing w:after="240" w:line="276" w:lineRule="auto"/>
              <w:rPr>
                <w:rFonts w:cs="Times New Roman"/>
                <w:sz w:val="20"/>
                <w:szCs w:val="20"/>
                <w:lang w:val="en-GB"/>
              </w:rPr>
            </w:pPr>
          </w:p>
        </w:tc>
        <w:tc>
          <w:tcPr>
            <w:tcW w:w="8824" w:type="dxa"/>
          </w:tcPr>
          <w:p w14:paraId="41C5E682" w14:textId="77777777" w:rsidR="0043779A" w:rsidRPr="004408A1" w:rsidRDefault="00CB3FCC"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sz w:val="20"/>
                <w:szCs w:val="20"/>
                <w:lang w:val="en-GB"/>
              </w:rPr>
            </w:pPr>
            <w:r>
              <w:rPr>
                <w:rFonts w:cs="Verdana"/>
                <w:b/>
                <w:sz w:val="20"/>
                <w:szCs w:val="20"/>
                <w:lang w:val="en-GB"/>
              </w:rPr>
              <w:t xml:space="preserve">Republic of </w:t>
            </w:r>
            <w:r w:rsidR="0043779A" w:rsidRPr="004408A1">
              <w:rPr>
                <w:rFonts w:cs="Verdana"/>
                <w:b/>
                <w:sz w:val="20"/>
                <w:szCs w:val="20"/>
                <w:lang w:val="en-GB"/>
              </w:rPr>
              <w:t xml:space="preserve">Moldova-Ukraine </w:t>
            </w:r>
            <w:r w:rsidR="0043779A" w:rsidRPr="004408A1">
              <w:rPr>
                <w:rFonts w:cs="Verdana"/>
                <w:sz w:val="20"/>
                <w:szCs w:val="20"/>
                <w:lang w:val="en-GB"/>
              </w:rPr>
              <w:t>(Eastern Partnership Territorial Cooperation)</w:t>
            </w:r>
          </w:p>
        </w:tc>
      </w:tr>
      <w:tr w:rsidR="0043779A" w14:paraId="3664AC77"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1C22EEC6" w14:textId="77777777" w:rsidR="0043779A" w:rsidRPr="004408A1" w:rsidRDefault="0043779A" w:rsidP="002F2B86">
            <w:pPr>
              <w:widowControl w:val="0"/>
              <w:autoSpaceDE w:val="0"/>
              <w:autoSpaceDN w:val="0"/>
              <w:adjustRightInd w:val="0"/>
              <w:rPr>
                <w:rFonts w:cs="Times New Roman"/>
                <w:sz w:val="20"/>
                <w:szCs w:val="20"/>
                <w:lang w:val="en-GB"/>
              </w:rPr>
            </w:pPr>
          </w:p>
        </w:tc>
        <w:tc>
          <w:tcPr>
            <w:tcW w:w="8824" w:type="dxa"/>
          </w:tcPr>
          <w:p w14:paraId="032ED316" w14:textId="77777777" w:rsidR="0043779A" w:rsidRDefault="0043779A"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Verdana"/>
                <w:b/>
                <w:sz w:val="20"/>
                <w:szCs w:val="20"/>
              </w:rPr>
            </w:pPr>
            <w:r>
              <w:rPr>
                <w:rFonts w:cs="Verdana"/>
                <w:b/>
                <w:sz w:val="20"/>
                <w:szCs w:val="20"/>
              </w:rPr>
              <w:t xml:space="preserve">Romania-Ukraine </w:t>
            </w:r>
            <w:r w:rsidRPr="009B339A">
              <w:rPr>
                <w:rFonts w:cs="Verdana"/>
                <w:sz w:val="20"/>
                <w:szCs w:val="20"/>
              </w:rPr>
              <w:t>(ENI CBC)</w:t>
            </w:r>
          </w:p>
        </w:tc>
      </w:tr>
      <w:tr w:rsidR="0043779A" w:rsidRPr="00B71347" w14:paraId="6865C476"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F3910EC" w14:textId="77777777" w:rsidR="0043779A" w:rsidRDefault="0043779A" w:rsidP="002F2B86">
            <w:pPr>
              <w:widowControl w:val="0"/>
              <w:autoSpaceDE w:val="0"/>
              <w:autoSpaceDN w:val="0"/>
              <w:adjustRightInd w:val="0"/>
              <w:rPr>
                <w:rFonts w:cs="Times New Roman"/>
                <w:sz w:val="20"/>
                <w:szCs w:val="20"/>
              </w:rPr>
            </w:pPr>
          </w:p>
        </w:tc>
        <w:tc>
          <w:tcPr>
            <w:tcW w:w="8824" w:type="dxa"/>
          </w:tcPr>
          <w:p w14:paraId="5B4B0759" w14:textId="77777777" w:rsidR="0043779A" w:rsidRPr="006E2C3C" w:rsidRDefault="0043779A" w:rsidP="006E2C3C">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Verdana"/>
                <w:b/>
                <w:sz w:val="20"/>
                <w:szCs w:val="20"/>
                <w:lang w:val="it-IT"/>
              </w:rPr>
            </w:pPr>
            <w:r w:rsidRPr="006E2C3C">
              <w:rPr>
                <w:rFonts w:cs="Verdana"/>
                <w:b/>
                <w:sz w:val="20"/>
                <w:szCs w:val="20"/>
                <w:lang w:val="it-IT"/>
              </w:rPr>
              <w:t xml:space="preserve">Romania-Bulgaria </w:t>
            </w:r>
            <w:r w:rsidRPr="006E2C3C">
              <w:rPr>
                <w:rFonts w:cs="Verdana"/>
                <w:sz w:val="20"/>
                <w:szCs w:val="20"/>
                <w:lang w:val="it-IT"/>
              </w:rPr>
              <w:t>(European Territorial Cooperation)</w:t>
            </w:r>
          </w:p>
        </w:tc>
      </w:tr>
      <w:tr w:rsidR="0043779A" w14:paraId="489F1C9A"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232EC89F" w14:textId="77777777" w:rsidR="0043779A" w:rsidRPr="00077772" w:rsidRDefault="0043779A" w:rsidP="002F2B86">
            <w:pPr>
              <w:widowControl w:val="0"/>
              <w:autoSpaceDE w:val="0"/>
              <w:autoSpaceDN w:val="0"/>
              <w:adjustRightInd w:val="0"/>
              <w:spacing w:after="240" w:line="276" w:lineRule="auto"/>
              <w:rPr>
                <w:rFonts w:cs="Times New Roman"/>
                <w:sz w:val="20"/>
                <w:szCs w:val="20"/>
                <w:lang w:val="it-IT"/>
              </w:rPr>
            </w:pPr>
          </w:p>
        </w:tc>
        <w:tc>
          <w:tcPr>
            <w:tcW w:w="8824" w:type="dxa"/>
          </w:tcPr>
          <w:p w14:paraId="54D348DD" w14:textId="77777777" w:rsidR="0043779A" w:rsidRDefault="0043779A"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Verdana"/>
                <w:b/>
                <w:sz w:val="20"/>
                <w:szCs w:val="20"/>
              </w:rPr>
            </w:pPr>
            <w:proofErr w:type="spellStart"/>
            <w:r>
              <w:rPr>
                <w:rFonts w:cs="Verdana"/>
                <w:b/>
                <w:sz w:val="20"/>
                <w:szCs w:val="20"/>
              </w:rPr>
              <w:t>Bulgaria-Turkey</w:t>
            </w:r>
            <w:proofErr w:type="spellEnd"/>
            <w:r>
              <w:rPr>
                <w:rFonts w:cs="Verdana"/>
                <w:b/>
                <w:sz w:val="20"/>
                <w:szCs w:val="20"/>
              </w:rPr>
              <w:t xml:space="preserve"> </w:t>
            </w:r>
            <w:r w:rsidRPr="003A2A4B">
              <w:rPr>
                <w:rFonts w:cs="Verdana"/>
                <w:sz w:val="20"/>
                <w:szCs w:val="20"/>
              </w:rPr>
              <w:t>(IPA CBC)</w:t>
            </w:r>
          </w:p>
        </w:tc>
      </w:tr>
      <w:tr w:rsidR="0043779A" w:rsidRPr="00B71347" w14:paraId="71BF22B1"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1B192361" w14:textId="77777777" w:rsidR="0043779A" w:rsidRDefault="0043779A" w:rsidP="002F2B86">
            <w:pPr>
              <w:widowControl w:val="0"/>
              <w:autoSpaceDE w:val="0"/>
              <w:autoSpaceDN w:val="0"/>
              <w:adjustRightInd w:val="0"/>
              <w:rPr>
                <w:rFonts w:cs="Times New Roman"/>
                <w:sz w:val="20"/>
                <w:szCs w:val="20"/>
              </w:rPr>
            </w:pPr>
          </w:p>
        </w:tc>
        <w:tc>
          <w:tcPr>
            <w:tcW w:w="8824" w:type="dxa"/>
          </w:tcPr>
          <w:p w14:paraId="2E6EF524" w14:textId="77777777" w:rsidR="0043779A" w:rsidRPr="006E2C3C" w:rsidRDefault="0043779A" w:rsidP="006E2C3C">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Verdana"/>
                <w:b/>
                <w:sz w:val="20"/>
                <w:szCs w:val="20"/>
                <w:lang w:val="it-IT"/>
              </w:rPr>
            </w:pPr>
            <w:r w:rsidRPr="006E2C3C">
              <w:rPr>
                <w:rFonts w:cs="Verdana"/>
                <w:b/>
                <w:sz w:val="20"/>
                <w:szCs w:val="20"/>
                <w:lang w:val="it-IT"/>
              </w:rPr>
              <w:t xml:space="preserve">Greece-Bulgaria </w:t>
            </w:r>
            <w:r w:rsidRPr="006E2C3C">
              <w:rPr>
                <w:rFonts w:cs="Verdana"/>
                <w:sz w:val="20"/>
                <w:szCs w:val="20"/>
                <w:lang w:val="it-IT"/>
              </w:rPr>
              <w:t>(European Territorial Cooperation)</w:t>
            </w:r>
          </w:p>
        </w:tc>
      </w:tr>
      <w:tr w:rsidR="0043779A" w:rsidRPr="00B71347" w14:paraId="2547E41D"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CA2DE7B" w14:textId="77777777" w:rsidR="0043779A" w:rsidRPr="00077772" w:rsidRDefault="0043779A" w:rsidP="002F2B86">
            <w:pPr>
              <w:widowControl w:val="0"/>
              <w:autoSpaceDE w:val="0"/>
              <w:autoSpaceDN w:val="0"/>
              <w:adjustRightInd w:val="0"/>
              <w:spacing w:after="240" w:line="276" w:lineRule="auto"/>
              <w:rPr>
                <w:rFonts w:cs="Times New Roman"/>
                <w:sz w:val="20"/>
                <w:szCs w:val="20"/>
                <w:lang w:val="it-IT"/>
              </w:rPr>
            </w:pPr>
          </w:p>
        </w:tc>
        <w:tc>
          <w:tcPr>
            <w:tcW w:w="8824" w:type="dxa"/>
          </w:tcPr>
          <w:p w14:paraId="1F3DEA07" w14:textId="77777777" w:rsidR="0043779A" w:rsidRPr="004408A1" w:rsidRDefault="0043779A"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Verdana"/>
                <w:b/>
                <w:sz w:val="20"/>
                <w:szCs w:val="20"/>
                <w:lang w:val="en-GB"/>
              </w:rPr>
            </w:pPr>
            <w:r w:rsidRPr="004408A1">
              <w:rPr>
                <w:rFonts w:cs="Verdana"/>
                <w:b/>
                <w:sz w:val="20"/>
                <w:szCs w:val="20"/>
                <w:lang w:val="en-GB"/>
              </w:rPr>
              <w:t xml:space="preserve">Armenia-Georgia </w:t>
            </w:r>
            <w:r w:rsidRPr="004408A1">
              <w:rPr>
                <w:rFonts w:cs="Verdana"/>
                <w:sz w:val="20"/>
                <w:szCs w:val="20"/>
                <w:lang w:val="en-GB"/>
              </w:rPr>
              <w:t>(Eastern Partnership Territorial Cooperation)</w:t>
            </w:r>
          </w:p>
        </w:tc>
      </w:tr>
      <w:tr w:rsidR="0043779A" w14:paraId="1639FB0E" w14:textId="77777777" w:rsidTr="006E2C3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689" w:type="dxa"/>
            <w:vMerge/>
          </w:tcPr>
          <w:p w14:paraId="71F880BF" w14:textId="77777777" w:rsidR="0043779A" w:rsidRPr="004408A1" w:rsidRDefault="0043779A" w:rsidP="002F2B86">
            <w:pPr>
              <w:widowControl w:val="0"/>
              <w:autoSpaceDE w:val="0"/>
              <w:autoSpaceDN w:val="0"/>
              <w:adjustRightInd w:val="0"/>
              <w:rPr>
                <w:rFonts w:cs="Times New Roman"/>
                <w:sz w:val="20"/>
                <w:szCs w:val="20"/>
                <w:lang w:val="en-GB"/>
              </w:rPr>
            </w:pPr>
          </w:p>
        </w:tc>
        <w:tc>
          <w:tcPr>
            <w:tcW w:w="8824" w:type="dxa"/>
          </w:tcPr>
          <w:p w14:paraId="657009EF" w14:textId="77777777" w:rsidR="0043779A" w:rsidRPr="00F73AFF" w:rsidRDefault="0043779A"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sz w:val="20"/>
                <w:szCs w:val="20"/>
              </w:rPr>
            </w:pPr>
            <w:r w:rsidRPr="004408A1">
              <w:rPr>
                <w:rFonts w:cs="Verdana"/>
                <w:b/>
                <w:sz w:val="20"/>
                <w:szCs w:val="20"/>
                <w:lang w:val="en-GB"/>
              </w:rPr>
              <w:t xml:space="preserve">Danube transnational programme </w:t>
            </w:r>
            <w:r w:rsidRPr="004408A1">
              <w:rPr>
                <w:rFonts w:cs="Verdana"/>
                <w:sz w:val="20"/>
                <w:szCs w:val="20"/>
                <w:lang w:val="en-GB"/>
              </w:rPr>
              <w:t>(2014-20) includes</w:t>
            </w:r>
            <w:r>
              <w:rPr>
                <w:rFonts w:cs="Verdana"/>
                <w:sz w:val="20"/>
                <w:szCs w:val="20"/>
                <w:lang w:val="en-GB"/>
              </w:rPr>
              <w:t xml:space="preserve"> notably</w:t>
            </w:r>
            <w:r w:rsidRPr="004408A1">
              <w:rPr>
                <w:rFonts w:cs="Verdana"/>
                <w:sz w:val="20"/>
                <w:szCs w:val="20"/>
                <w:lang w:val="en-GB"/>
              </w:rPr>
              <w:t xml:space="preserve"> Bulgaria, Romania, Moldova and some regions in Ukraine. </w:t>
            </w:r>
            <w:r>
              <w:rPr>
                <w:rFonts w:cs="Verdana"/>
                <w:sz w:val="20"/>
                <w:szCs w:val="20"/>
              </w:rPr>
              <w:t xml:space="preserve">It </w:t>
            </w:r>
            <w:proofErr w:type="spellStart"/>
            <w:r>
              <w:rPr>
                <w:rFonts w:cs="Verdana"/>
                <w:sz w:val="20"/>
                <w:szCs w:val="20"/>
              </w:rPr>
              <w:t>will</w:t>
            </w:r>
            <w:proofErr w:type="spellEnd"/>
            <w:r>
              <w:rPr>
                <w:rFonts w:cs="Verdana"/>
                <w:sz w:val="20"/>
                <w:szCs w:val="20"/>
              </w:rPr>
              <w:t xml:space="preserve"> </w:t>
            </w:r>
            <w:proofErr w:type="spellStart"/>
            <w:r>
              <w:rPr>
                <w:rFonts w:cs="Verdana"/>
                <w:sz w:val="20"/>
                <w:szCs w:val="20"/>
              </w:rPr>
              <w:t>contribute</w:t>
            </w:r>
            <w:proofErr w:type="spellEnd"/>
            <w:r>
              <w:rPr>
                <w:rFonts w:cs="Verdana"/>
                <w:sz w:val="20"/>
                <w:szCs w:val="20"/>
              </w:rPr>
              <w:t xml:space="preserve"> to the Danube </w:t>
            </w:r>
            <w:proofErr w:type="spellStart"/>
            <w:r>
              <w:rPr>
                <w:rFonts w:cs="Verdana"/>
                <w:sz w:val="20"/>
                <w:szCs w:val="20"/>
              </w:rPr>
              <w:t>Strategy</w:t>
            </w:r>
            <w:proofErr w:type="spellEnd"/>
            <w:r>
              <w:rPr>
                <w:rFonts w:cs="Verdana"/>
                <w:sz w:val="20"/>
                <w:szCs w:val="20"/>
              </w:rPr>
              <w:t xml:space="preserve"> </w:t>
            </w:r>
            <w:proofErr w:type="spellStart"/>
            <w:r>
              <w:rPr>
                <w:rFonts w:cs="Verdana"/>
                <w:sz w:val="20"/>
                <w:szCs w:val="20"/>
              </w:rPr>
              <w:t>thematic</w:t>
            </w:r>
            <w:proofErr w:type="spellEnd"/>
            <w:r>
              <w:rPr>
                <w:rFonts w:cs="Verdana"/>
                <w:sz w:val="20"/>
                <w:szCs w:val="20"/>
              </w:rPr>
              <w:t xml:space="preserve"> goals.</w:t>
            </w:r>
          </w:p>
        </w:tc>
      </w:tr>
      <w:tr w:rsidR="0043779A" w:rsidRPr="00881B89" w14:paraId="7EF958BD" w14:textId="77777777" w:rsidTr="006E2C3C">
        <w:trPr>
          <w:cnfStyle w:val="000000010000" w:firstRow="0" w:lastRow="0" w:firstColumn="0" w:lastColumn="0" w:oddVBand="0" w:evenVBand="0" w:oddHBand="0" w:evenHBand="1"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689" w:type="dxa"/>
            <w:vMerge/>
          </w:tcPr>
          <w:p w14:paraId="49610AC6" w14:textId="77777777" w:rsidR="0043779A" w:rsidRPr="004408A1" w:rsidRDefault="0043779A" w:rsidP="002F2B86">
            <w:pPr>
              <w:widowControl w:val="0"/>
              <w:autoSpaceDE w:val="0"/>
              <w:autoSpaceDN w:val="0"/>
              <w:adjustRightInd w:val="0"/>
              <w:rPr>
                <w:rFonts w:cs="Times New Roman"/>
                <w:sz w:val="20"/>
                <w:szCs w:val="20"/>
                <w:lang w:val="en-GB"/>
              </w:rPr>
            </w:pPr>
          </w:p>
        </w:tc>
        <w:tc>
          <w:tcPr>
            <w:tcW w:w="8824" w:type="dxa"/>
          </w:tcPr>
          <w:p w14:paraId="2AE71ABC" w14:textId="77777777" w:rsidR="0043779A" w:rsidRPr="00B5595D" w:rsidRDefault="0043779A"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Verdana"/>
                <w:b/>
                <w:sz w:val="20"/>
                <w:szCs w:val="20"/>
                <w:lang w:val="en-GB"/>
              </w:rPr>
            </w:pPr>
            <w:proofErr w:type="spellStart"/>
            <w:r w:rsidRPr="00B5595D">
              <w:rPr>
                <w:rFonts w:cs="Verdana"/>
                <w:b/>
                <w:sz w:val="20"/>
                <w:szCs w:val="20"/>
                <w:lang w:val="en-GB"/>
              </w:rPr>
              <w:t>Interreg</w:t>
            </w:r>
            <w:proofErr w:type="spellEnd"/>
            <w:r w:rsidRPr="00B5595D">
              <w:rPr>
                <w:rFonts w:cs="Verdana"/>
                <w:b/>
                <w:sz w:val="20"/>
                <w:szCs w:val="20"/>
                <w:lang w:val="en-GB"/>
              </w:rPr>
              <w:t xml:space="preserve"> Europe interregional programme </w:t>
            </w:r>
            <w:r w:rsidRPr="00B5595D">
              <w:rPr>
                <w:rFonts w:cs="Verdana"/>
                <w:sz w:val="20"/>
                <w:szCs w:val="20"/>
                <w:lang w:val="en-GB"/>
              </w:rPr>
              <w:t>(2014-20) includes notably Bulgaria, Greece and Romania.</w:t>
            </w:r>
          </w:p>
        </w:tc>
      </w:tr>
      <w:tr w:rsidR="0043779A" w:rsidRPr="00B71347" w14:paraId="79DC8731" w14:textId="77777777" w:rsidTr="006E2C3C">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689" w:type="dxa"/>
            <w:vMerge/>
          </w:tcPr>
          <w:p w14:paraId="3ECE3E93" w14:textId="77777777" w:rsidR="0043779A" w:rsidRPr="004408A1" w:rsidRDefault="0043779A" w:rsidP="002F2B86">
            <w:pPr>
              <w:widowControl w:val="0"/>
              <w:autoSpaceDE w:val="0"/>
              <w:autoSpaceDN w:val="0"/>
              <w:adjustRightInd w:val="0"/>
              <w:rPr>
                <w:rFonts w:cs="Times New Roman"/>
                <w:sz w:val="20"/>
                <w:szCs w:val="20"/>
                <w:lang w:val="en-GB"/>
              </w:rPr>
            </w:pPr>
          </w:p>
        </w:tc>
        <w:tc>
          <w:tcPr>
            <w:tcW w:w="8824" w:type="dxa"/>
          </w:tcPr>
          <w:p w14:paraId="0943673F" w14:textId="77777777" w:rsidR="0043779A" w:rsidRPr="00B5595D" w:rsidRDefault="0043779A"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sz w:val="20"/>
                <w:szCs w:val="20"/>
                <w:lang w:val="en-GB"/>
              </w:rPr>
            </w:pPr>
            <w:r w:rsidRPr="00B5595D">
              <w:rPr>
                <w:rFonts w:cs="Verdana"/>
                <w:b/>
                <w:sz w:val="20"/>
                <w:szCs w:val="20"/>
                <w:lang w:val="en-GB"/>
              </w:rPr>
              <w:t xml:space="preserve">Balkan-Mediterranean transnational programme </w:t>
            </w:r>
            <w:r w:rsidRPr="00B5595D">
              <w:rPr>
                <w:rFonts w:cs="Verdana"/>
                <w:sz w:val="20"/>
                <w:szCs w:val="20"/>
                <w:lang w:val="en-GB"/>
              </w:rPr>
              <w:t>(2014-20)</w:t>
            </w:r>
            <w:r w:rsidRPr="00B5595D">
              <w:rPr>
                <w:rFonts w:cs="Verdana"/>
                <w:b/>
                <w:sz w:val="20"/>
                <w:szCs w:val="20"/>
                <w:lang w:val="en-GB"/>
              </w:rPr>
              <w:t xml:space="preserve"> </w:t>
            </w:r>
            <w:r w:rsidRPr="00B5595D">
              <w:rPr>
                <w:rFonts w:cs="Verdana"/>
                <w:sz w:val="20"/>
                <w:szCs w:val="20"/>
                <w:lang w:val="en-GB"/>
              </w:rPr>
              <w:t>includes notably Bulgaria and Greece.</w:t>
            </w:r>
          </w:p>
        </w:tc>
      </w:tr>
      <w:tr w:rsidR="0010477C" w:rsidRPr="00B71347" w14:paraId="25A86A30"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val="restart"/>
          </w:tcPr>
          <w:p w14:paraId="1C3B628E" w14:textId="77777777" w:rsidR="0010477C" w:rsidRPr="004408A1" w:rsidRDefault="0010477C" w:rsidP="00FD595F">
            <w:pPr>
              <w:widowControl w:val="0"/>
              <w:autoSpaceDE w:val="0"/>
              <w:autoSpaceDN w:val="0"/>
              <w:adjustRightInd w:val="0"/>
              <w:rPr>
                <w:rFonts w:cs="Times New Roman"/>
                <w:sz w:val="20"/>
                <w:szCs w:val="20"/>
                <w:lang w:val="en-GB"/>
              </w:rPr>
            </w:pPr>
            <w:r w:rsidRPr="004408A1">
              <w:rPr>
                <w:rFonts w:cs="Times New Roman"/>
                <w:sz w:val="20"/>
                <w:szCs w:val="20"/>
                <w:lang w:val="en-GB"/>
              </w:rPr>
              <w:t>Other programmes including EU/non EU partnerships</w:t>
            </w:r>
          </w:p>
        </w:tc>
        <w:tc>
          <w:tcPr>
            <w:tcW w:w="8824" w:type="dxa"/>
          </w:tcPr>
          <w:p w14:paraId="2D40AFE3" w14:textId="77777777" w:rsidR="0010477C" w:rsidRPr="004408A1" w:rsidRDefault="0010477C"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Verdana"/>
                <w:b/>
                <w:sz w:val="20"/>
                <w:szCs w:val="20"/>
                <w:lang w:val="en-GB"/>
              </w:rPr>
              <w:t>Erasmus+</w:t>
            </w:r>
            <w:r w:rsidRPr="004408A1">
              <w:rPr>
                <w:rFonts w:cs="Verdana"/>
                <w:sz w:val="20"/>
                <w:szCs w:val="20"/>
                <w:lang w:val="en-GB"/>
              </w:rPr>
              <w:t xml:space="preserve"> (2014-20) programme: to boost skills and employability, as well as modernising education, training, and youth work (supports mobility of students and teaching staff, joint degrees, capacity building projects, strategic partnerships).</w:t>
            </w:r>
          </w:p>
        </w:tc>
      </w:tr>
      <w:tr w:rsidR="0010477C" w:rsidRPr="00B71347" w14:paraId="7CF49EDB"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8FE7B4B" w14:textId="77777777" w:rsidR="0010477C" w:rsidRPr="004408A1" w:rsidRDefault="0010477C" w:rsidP="002F2B86">
            <w:pPr>
              <w:widowControl w:val="0"/>
              <w:autoSpaceDE w:val="0"/>
              <w:autoSpaceDN w:val="0"/>
              <w:adjustRightInd w:val="0"/>
              <w:rPr>
                <w:rFonts w:cs="Times New Roman"/>
                <w:sz w:val="20"/>
                <w:szCs w:val="20"/>
                <w:lang w:val="en-GB"/>
              </w:rPr>
            </w:pPr>
          </w:p>
        </w:tc>
        <w:tc>
          <w:tcPr>
            <w:tcW w:w="8824" w:type="dxa"/>
          </w:tcPr>
          <w:p w14:paraId="65CCCD80" w14:textId="77777777" w:rsidR="0010477C" w:rsidRPr="004408A1" w:rsidRDefault="0010477C"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4408A1">
              <w:rPr>
                <w:rFonts w:cs="Times New Roman"/>
                <w:b/>
                <w:sz w:val="20"/>
                <w:szCs w:val="20"/>
                <w:lang w:val="en-GB"/>
              </w:rPr>
              <w:t>Horizon 2020</w:t>
            </w:r>
            <w:r w:rsidRPr="004408A1">
              <w:rPr>
                <w:rFonts w:cs="Times New Roman"/>
                <w:sz w:val="20"/>
                <w:szCs w:val="20"/>
                <w:lang w:val="en-GB"/>
              </w:rPr>
              <w:t xml:space="preserve"> – EU framework programme for research and innovation. </w:t>
            </w:r>
            <w:r w:rsidR="00AB24A5">
              <w:rPr>
                <w:rFonts w:cs="Times New Roman"/>
                <w:sz w:val="20"/>
                <w:szCs w:val="20"/>
                <w:lang w:val="en-GB"/>
              </w:rPr>
              <w:t>It includes targets for</w:t>
            </w:r>
            <w:r w:rsidR="00AB24A5" w:rsidRPr="00AB24A5">
              <w:rPr>
                <w:rFonts w:cs="Times New Roman"/>
                <w:sz w:val="20"/>
                <w:szCs w:val="20"/>
                <w:lang w:val="en-GB"/>
              </w:rPr>
              <w:t xml:space="preserve"> cross-thematic marine and maritime research</w:t>
            </w:r>
            <w:r w:rsidR="00AB24A5">
              <w:rPr>
                <w:rFonts w:cs="Times New Roman"/>
                <w:sz w:val="20"/>
                <w:szCs w:val="20"/>
                <w:lang w:val="en-GB"/>
              </w:rPr>
              <w:t xml:space="preserve">. </w:t>
            </w:r>
            <w:r w:rsidRPr="004408A1">
              <w:rPr>
                <w:rFonts w:cs="Times New Roman"/>
                <w:sz w:val="20"/>
                <w:szCs w:val="20"/>
                <w:lang w:val="en-GB"/>
              </w:rPr>
              <w:t>Its first work program</w:t>
            </w:r>
            <w:r w:rsidR="004547A9">
              <w:rPr>
                <w:rFonts w:cs="Times New Roman"/>
                <w:sz w:val="20"/>
                <w:szCs w:val="20"/>
                <w:lang w:val="en-GB"/>
              </w:rPr>
              <w:t>me (2014-15) includes a specific</w:t>
            </w:r>
            <w:r w:rsidRPr="004408A1">
              <w:rPr>
                <w:rFonts w:cs="Times New Roman"/>
                <w:sz w:val="20"/>
                <w:szCs w:val="20"/>
                <w:lang w:val="en-GB"/>
              </w:rPr>
              <w:t xml:space="preserve"> call</w:t>
            </w:r>
            <w:r w:rsidR="009F3A99">
              <w:rPr>
                <w:rFonts w:cs="Times New Roman"/>
                <w:sz w:val="20"/>
                <w:szCs w:val="20"/>
                <w:lang w:val="en-GB"/>
              </w:rPr>
              <w:t xml:space="preserve"> for proposals</w:t>
            </w:r>
            <w:r w:rsidRPr="004408A1">
              <w:rPr>
                <w:rFonts w:cs="Times New Roman"/>
                <w:sz w:val="20"/>
                <w:szCs w:val="20"/>
                <w:lang w:val="en-GB"/>
              </w:rPr>
              <w:t xml:space="preserve"> for the Black Sea Region.</w:t>
            </w:r>
          </w:p>
        </w:tc>
      </w:tr>
      <w:tr w:rsidR="0010477C" w:rsidRPr="00B71347" w14:paraId="0E282A31"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F7F4553" w14:textId="77777777" w:rsidR="0010477C" w:rsidRPr="004408A1" w:rsidRDefault="0010477C" w:rsidP="002F2B86">
            <w:pPr>
              <w:widowControl w:val="0"/>
              <w:autoSpaceDE w:val="0"/>
              <w:autoSpaceDN w:val="0"/>
              <w:adjustRightInd w:val="0"/>
              <w:rPr>
                <w:rFonts w:cs="Times New Roman"/>
                <w:sz w:val="20"/>
                <w:szCs w:val="20"/>
                <w:lang w:val="en-GB"/>
              </w:rPr>
            </w:pPr>
          </w:p>
        </w:tc>
        <w:tc>
          <w:tcPr>
            <w:tcW w:w="8824" w:type="dxa"/>
          </w:tcPr>
          <w:p w14:paraId="60934E1A" w14:textId="77777777" w:rsidR="0010477C" w:rsidRPr="004408A1" w:rsidRDefault="0010477C"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t>Twinning, TAIEX</w:t>
            </w:r>
            <w:r w:rsidRPr="004408A1">
              <w:rPr>
                <w:rFonts w:cs="Times New Roman"/>
                <w:sz w:val="20"/>
                <w:szCs w:val="20"/>
                <w:lang w:val="en-GB"/>
              </w:rPr>
              <w:t> (Technical Assistance and Information Exchange):</w:t>
            </w:r>
            <w:r w:rsidRPr="004408A1">
              <w:rPr>
                <w:rFonts w:cs="Verdana"/>
                <w:sz w:val="20"/>
                <w:szCs w:val="20"/>
                <w:lang w:val="en-GB"/>
              </w:rPr>
              <w:t xml:space="preserve"> cooperation tools between a public administration in a partner country and the equivalent institution in an EU Member State to promote reforms</w:t>
            </w:r>
          </w:p>
        </w:tc>
      </w:tr>
      <w:tr w:rsidR="00E978B0" w:rsidRPr="00B71347" w14:paraId="7CED1698"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val="restart"/>
          </w:tcPr>
          <w:p w14:paraId="35E75F1C" w14:textId="77777777" w:rsidR="00E978B0" w:rsidRDefault="00E978B0" w:rsidP="002F2B86">
            <w:pPr>
              <w:widowControl w:val="0"/>
              <w:autoSpaceDE w:val="0"/>
              <w:autoSpaceDN w:val="0"/>
              <w:adjustRightInd w:val="0"/>
              <w:rPr>
                <w:rFonts w:cs="Times New Roman"/>
                <w:sz w:val="20"/>
                <w:szCs w:val="20"/>
              </w:rPr>
            </w:pPr>
            <w:proofErr w:type="spellStart"/>
            <w:r>
              <w:rPr>
                <w:rFonts w:cs="Times New Roman"/>
                <w:sz w:val="20"/>
                <w:szCs w:val="20"/>
              </w:rPr>
              <w:t>Thematic</w:t>
            </w:r>
            <w:proofErr w:type="spellEnd"/>
            <w:r>
              <w:rPr>
                <w:rFonts w:cs="Times New Roman"/>
                <w:sz w:val="20"/>
                <w:szCs w:val="20"/>
              </w:rPr>
              <w:t xml:space="preserve"> </w:t>
            </w:r>
            <w:proofErr w:type="spellStart"/>
            <w:r>
              <w:rPr>
                <w:rFonts w:cs="Times New Roman"/>
                <w:sz w:val="20"/>
                <w:szCs w:val="20"/>
              </w:rPr>
              <w:t>Cooperation</w:t>
            </w:r>
            <w:proofErr w:type="spellEnd"/>
            <w:r>
              <w:rPr>
                <w:rFonts w:cs="Times New Roman"/>
                <w:sz w:val="20"/>
                <w:szCs w:val="20"/>
              </w:rPr>
              <w:t xml:space="preserve"> programmes</w:t>
            </w:r>
          </w:p>
        </w:tc>
        <w:tc>
          <w:tcPr>
            <w:tcW w:w="8824" w:type="dxa"/>
          </w:tcPr>
          <w:p w14:paraId="08388FB0" w14:textId="77777777" w:rsidR="00E978B0" w:rsidRPr="004408A1" w:rsidRDefault="00E978B0"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sz w:val="20"/>
                <w:szCs w:val="20"/>
                <w:lang w:val="en-GB"/>
              </w:rPr>
            </w:pPr>
            <w:r w:rsidRPr="004408A1">
              <w:rPr>
                <w:rFonts w:cs="Verdana"/>
                <w:b/>
                <w:sz w:val="20"/>
                <w:szCs w:val="20"/>
                <w:lang w:val="en-GB"/>
              </w:rPr>
              <w:t>INOGATE:</w:t>
            </w:r>
            <w:r w:rsidRPr="004408A1">
              <w:rPr>
                <w:rFonts w:cs="Verdana"/>
                <w:sz w:val="20"/>
                <w:szCs w:val="20"/>
                <w:lang w:val="en-GB"/>
              </w:rPr>
              <w:t xml:space="preserve"> international energy co-operation programme between the EU, the littoral states of the Black and Caspian Seas and their neighbouring countries. The co-operation framework covers the areas of oil and gas, electricity, renewable energy and energy efficiency.</w:t>
            </w:r>
          </w:p>
        </w:tc>
      </w:tr>
      <w:tr w:rsidR="00E978B0" w:rsidRPr="00B71347" w14:paraId="7D989735" w14:textId="77777777" w:rsidTr="006E2C3C">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89" w:type="dxa"/>
            <w:vMerge/>
          </w:tcPr>
          <w:p w14:paraId="2E88C63F" w14:textId="77777777" w:rsidR="00E978B0" w:rsidRPr="004408A1" w:rsidRDefault="00E978B0" w:rsidP="002F2B86">
            <w:pPr>
              <w:widowControl w:val="0"/>
              <w:autoSpaceDE w:val="0"/>
              <w:autoSpaceDN w:val="0"/>
              <w:adjustRightInd w:val="0"/>
              <w:rPr>
                <w:rFonts w:cs="Times New Roman"/>
                <w:sz w:val="20"/>
                <w:szCs w:val="20"/>
                <w:lang w:val="en-GB"/>
              </w:rPr>
            </w:pPr>
          </w:p>
        </w:tc>
        <w:tc>
          <w:tcPr>
            <w:tcW w:w="8824" w:type="dxa"/>
          </w:tcPr>
          <w:p w14:paraId="502A30A2" w14:textId="77777777" w:rsidR="00E978B0" w:rsidRPr="004408A1" w:rsidRDefault="00E978B0" w:rsidP="00FD595F">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Verdana"/>
                <w:sz w:val="20"/>
                <w:szCs w:val="20"/>
                <w:lang w:val="en-GB"/>
              </w:rPr>
            </w:pPr>
            <w:r w:rsidRPr="004408A1">
              <w:rPr>
                <w:rFonts w:cs="Verdana"/>
                <w:b/>
                <w:sz w:val="20"/>
                <w:szCs w:val="20"/>
                <w:lang w:val="en-GB"/>
              </w:rPr>
              <w:t>TRACECA</w:t>
            </w:r>
            <w:r w:rsidRPr="004408A1">
              <w:rPr>
                <w:rFonts w:ascii="Tahoma" w:hAnsi="Tahoma" w:cs="Tahoma"/>
                <w:sz w:val="28"/>
                <w:szCs w:val="28"/>
                <w:lang w:val="en-GB"/>
              </w:rPr>
              <w:t xml:space="preserve"> </w:t>
            </w:r>
            <w:r w:rsidRPr="002C694E">
              <w:rPr>
                <w:rFonts w:cs="Verdana"/>
                <w:b/>
                <w:sz w:val="20"/>
                <w:szCs w:val="20"/>
                <w:lang w:val="en-GB"/>
              </w:rPr>
              <w:t>(</w:t>
            </w:r>
            <w:r w:rsidRPr="004408A1">
              <w:rPr>
                <w:rFonts w:cs="Verdana"/>
                <w:b/>
                <w:sz w:val="20"/>
                <w:szCs w:val="20"/>
                <w:lang w:val="en-GB"/>
              </w:rPr>
              <w:t>Transport Corridor Europe-Caucasus-Asia)</w:t>
            </w:r>
            <w:r w:rsidRPr="004408A1">
              <w:rPr>
                <w:rFonts w:cs="Verdana"/>
                <w:sz w:val="20"/>
                <w:szCs w:val="20"/>
                <w:lang w:val="en-GB"/>
              </w:rPr>
              <w:t xml:space="preserve">: an international transport cooperation programme between the EU and Partner countries in Eastern Europe, South Caucasus and Central Asia. The cooperation framework covers the areas of maritime transport, aviation, road and rail, transport security and transport infrastructure. Strategy for </w:t>
            </w:r>
            <w:r>
              <w:rPr>
                <w:rFonts w:cs="Verdana"/>
                <w:sz w:val="20"/>
                <w:szCs w:val="20"/>
                <w:lang w:val="en-GB"/>
              </w:rPr>
              <w:t xml:space="preserve">the </w:t>
            </w:r>
            <w:r w:rsidRPr="004408A1">
              <w:rPr>
                <w:rFonts w:cs="Verdana"/>
                <w:sz w:val="20"/>
                <w:szCs w:val="20"/>
                <w:lang w:val="en-GB"/>
              </w:rPr>
              <w:t xml:space="preserve">development of the international transport Europe-Caucasus-Asia corridor up to 2015 </w:t>
            </w:r>
            <w:r>
              <w:rPr>
                <w:rFonts w:cs="Verdana"/>
                <w:sz w:val="20"/>
                <w:szCs w:val="20"/>
                <w:lang w:val="en-GB"/>
              </w:rPr>
              <w:t xml:space="preserve">and </w:t>
            </w:r>
            <w:r w:rsidRPr="004408A1">
              <w:rPr>
                <w:rFonts w:cs="Verdana"/>
                <w:sz w:val="20"/>
                <w:szCs w:val="20"/>
                <w:lang w:val="en-GB"/>
              </w:rPr>
              <w:t xml:space="preserve">aims </w:t>
            </w:r>
            <w:r>
              <w:rPr>
                <w:rFonts w:cs="Verdana"/>
                <w:sz w:val="20"/>
                <w:szCs w:val="20"/>
                <w:lang w:val="en-GB"/>
              </w:rPr>
              <w:t>to create</w:t>
            </w:r>
            <w:r w:rsidRPr="004408A1">
              <w:rPr>
                <w:rFonts w:cs="Verdana"/>
                <w:sz w:val="20"/>
                <w:szCs w:val="20"/>
                <w:lang w:val="en-GB"/>
              </w:rPr>
              <w:t xml:space="preserve"> a sustainable infrastructure chain ensuring multi-modal transport with step-by-step integration of the corridor into the Trans-European Transport Networks. It encourages regional cooperation and attracts the support of IFIs and private investors.</w:t>
            </w:r>
          </w:p>
        </w:tc>
      </w:tr>
      <w:tr w:rsidR="00347B62" w:rsidRPr="00B71347" w14:paraId="6BD6C005"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06B76904" w14:textId="77777777" w:rsidR="00347B62" w:rsidRPr="004408A1" w:rsidRDefault="00347B62" w:rsidP="002F2B86">
            <w:pPr>
              <w:widowControl w:val="0"/>
              <w:autoSpaceDE w:val="0"/>
              <w:autoSpaceDN w:val="0"/>
              <w:adjustRightInd w:val="0"/>
              <w:rPr>
                <w:rFonts w:cs="Times New Roman"/>
                <w:sz w:val="20"/>
                <w:szCs w:val="20"/>
                <w:lang w:val="en-GB"/>
              </w:rPr>
            </w:pPr>
          </w:p>
        </w:tc>
        <w:tc>
          <w:tcPr>
            <w:tcW w:w="8824" w:type="dxa"/>
          </w:tcPr>
          <w:p w14:paraId="454464AB" w14:textId="04390C20" w:rsidR="00347B62" w:rsidRPr="00B73CA9" w:rsidRDefault="00347B62"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b/>
                <w:sz w:val="20"/>
                <w:szCs w:val="20"/>
                <w:lang w:val="en-GB"/>
              </w:rPr>
            </w:pPr>
            <w:r w:rsidRPr="00B73CA9">
              <w:rPr>
                <w:rFonts w:cs="Verdana"/>
                <w:b/>
                <w:sz w:val="20"/>
                <w:szCs w:val="20"/>
                <w:lang w:val="en-GB"/>
              </w:rPr>
              <w:t>Maritime Safety &amp; Security II Project</w:t>
            </w:r>
            <w:r w:rsidR="00B73CA9">
              <w:rPr>
                <w:rFonts w:cs="Verdana"/>
                <w:b/>
                <w:sz w:val="20"/>
                <w:szCs w:val="20"/>
                <w:lang w:val="en-GB"/>
              </w:rPr>
              <w:t xml:space="preserve">: </w:t>
            </w:r>
            <w:r w:rsidR="009C1F3E">
              <w:rPr>
                <w:rFonts w:cs="Verdana"/>
                <w:sz w:val="20"/>
                <w:szCs w:val="20"/>
                <w:lang w:val="en-GB"/>
              </w:rPr>
              <w:t>aims to develop</w:t>
            </w:r>
            <w:r w:rsidR="00362683">
              <w:rPr>
                <w:rFonts w:cs="Verdana"/>
                <w:sz w:val="20"/>
                <w:szCs w:val="20"/>
                <w:lang w:val="en-GB"/>
              </w:rPr>
              <w:t xml:space="preserve"> </w:t>
            </w:r>
            <w:r w:rsidR="00362683" w:rsidRPr="00362683">
              <w:rPr>
                <w:rFonts w:cs="Verdana"/>
                <w:sz w:val="20"/>
                <w:szCs w:val="20"/>
                <w:lang w:val="en-GB"/>
              </w:rPr>
              <w:t>co-operation in the field of maritime safety, security and protection of the marine environment by providing technical expertise and support to the countries members of the TRACECA organization</w:t>
            </w:r>
            <w:r w:rsidR="00BD22B1">
              <w:rPr>
                <w:rFonts w:cs="Verdana"/>
                <w:sz w:val="20"/>
                <w:szCs w:val="20"/>
                <w:lang w:val="en-GB"/>
              </w:rPr>
              <w:t xml:space="preserve"> (inclu</w:t>
            </w:r>
            <w:r w:rsidR="00D95E6A">
              <w:rPr>
                <w:rFonts w:cs="Verdana"/>
                <w:sz w:val="20"/>
                <w:szCs w:val="20"/>
                <w:lang w:val="en-GB"/>
              </w:rPr>
              <w:t>des Eastern partnership partner countries</w:t>
            </w:r>
            <w:r w:rsidR="00BD22B1">
              <w:rPr>
                <w:rFonts w:cs="Verdana"/>
                <w:sz w:val="20"/>
                <w:szCs w:val="20"/>
                <w:lang w:val="en-GB"/>
              </w:rPr>
              <w:t>)</w:t>
            </w:r>
            <w:r w:rsidR="00403B81">
              <w:rPr>
                <w:rFonts w:cs="Verdana"/>
                <w:sz w:val="20"/>
                <w:szCs w:val="20"/>
                <w:lang w:val="en-GB"/>
              </w:rPr>
              <w:t>.</w:t>
            </w:r>
          </w:p>
        </w:tc>
      </w:tr>
      <w:tr w:rsidR="00E978B0" w:rsidRPr="00B71347" w14:paraId="28077892"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61EDBCB8" w14:textId="77777777" w:rsidR="00E978B0" w:rsidRPr="004408A1" w:rsidRDefault="00E978B0" w:rsidP="002F2B86">
            <w:pPr>
              <w:widowControl w:val="0"/>
              <w:autoSpaceDE w:val="0"/>
              <w:autoSpaceDN w:val="0"/>
              <w:adjustRightInd w:val="0"/>
              <w:rPr>
                <w:rFonts w:cs="Times New Roman"/>
                <w:sz w:val="20"/>
                <w:szCs w:val="20"/>
                <w:lang w:val="en-GB"/>
              </w:rPr>
            </w:pPr>
          </w:p>
        </w:tc>
        <w:tc>
          <w:tcPr>
            <w:tcW w:w="8824" w:type="dxa"/>
          </w:tcPr>
          <w:p w14:paraId="786DD168" w14:textId="77777777" w:rsidR="00E978B0" w:rsidRPr="004408A1" w:rsidRDefault="00E978B0"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Verdana"/>
                <w:b/>
                <w:sz w:val="20"/>
                <w:szCs w:val="20"/>
                <w:lang w:val="en-GB"/>
              </w:rPr>
              <w:t>Environment and the Sustainable Management of Natural Resources including Energy (ENRTP)</w:t>
            </w:r>
            <w:r w:rsidRPr="004408A1">
              <w:rPr>
                <w:rFonts w:cs="Verdana"/>
                <w:sz w:val="20"/>
                <w:szCs w:val="20"/>
                <w:lang w:val="en-GB"/>
              </w:rPr>
              <w:t>: focus</w:t>
            </w:r>
            <w:r>
              <w:rPr>
                <w:rFonts w:cs="Verdana"/>
                <w:sz w:val="20"/>
                <w:szCs w:val="20"/>
                <w:lang w:val="en-GB"/>
              </w:rPr>
              <w:t>es</w:t>
            </w:r>
            <w:r w:rsidRPr="004408A1">
              <w:rPr>
                <w:rFonts w:cs="Verdana"/>
                <w:sz w:val="20"/>
                <w:szCs w:val="20"/>
                <w:lang w:val="en-GB"/>
              </w:rPr>
              <w:t xml:space="preserve"> on sustainable energy.</w:t>
            </w:r>
          </w:p>
        </w:tc>
      </w:tr>
      <w:tr w:rsidR="00E978B0" w:rsidRPr="00B71347" w14:paraId="77EC1E56" w14:textId="77777777" w:rsidTr="006E2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41A94132" w14:textId="77777777" w:rsidR="00E978B0" w:rsidRPr="004408A1" w:rsidRDefault="00E978B0" w:rsidP="002F2B86">
            <w:pPr>
              <w:widowControl w:val="0"/>
              <w:autoSpaceDE w:val="0"/>
              <w:autoSpaceDN w:val="0"/>
              <w:adjustRightInd w:val="0"/>
              <w:rPr>
                <w:rFonts w:cs="Times New Roman"/>
                <w:sz w:val="20"/>
                <w:szCs w:val="20"/>
                <w:lang w:val="en-GB"/>
              </w:rPr>
            </w:pPr>
          </w:p>
        </w:tc>
        <w:tc>
          <w:tcPr>
            <w:tcW w:w="8824" w:type="dxa"/>
          </w:tcPr>
          <w:p w14:paraId="1536F1EF" w14:textId="77777777" w:rsidR="00E978B0" w:rsidRPr="004408A1" w:rsidRDefault="00E978B0" w:rsidP="0070049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4408A1">
              <w:rPr>
                <w:rFonts w:cs="Times New Roman"/>
                <w:b/>
                <w:sz w:val="20"/>
                <w:szCs w:val="20"/>
                <w:lang w:val="en-GB"/>
              </w:rPr>
              <w:t>Nuclear Safety and Cooperation Instrument (NSCI)</w:t>
            </w:r>
            <w:r w:rsidRPr="004408A1">
              <w:rPr>
                <w:rFonts w:cs="Times New Roman"/>
                <w:sz w:val="20"/>
                <w:szCs w:val="20"/>
                <w:lang w:val="en-GB"/>
              </w:rPr>
              <w:t>: finances actions to improve nuclear safety (including safe transport, remediation</w:t>
            </w:r>
            <w:r>
              <w:rPr>
                <w:rFonts w:cs="Times New Roman"/>
                <w:sz w:val="20"/>
                <w:szCs w:val="20"/>
                <w:lang w:val="en-GB"/>
              </w:rPr>
              <w:t xml:space="preserve"> and</w:t>
            </w:r>
            <w:r w:rsidRPr="004408A1">
              <w:rPr>
                <w:rFonts w:cs="Times New Roman"/>
                <w:sz w:val="20"/>
                <w:szCs w:val="20"/>
                <w:lang w:val="en-GB"/>
              </w:rPr>
              <w:t xml:space="preserve"> emergency preparedness).</w:t>
            </w:r>
          </w:p>
        </w:tc>
      </w:tr>
      <w:tr w:rsidR="00E978B0" w14:paraId="37A33D63"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3854B225" w14:textId="77777777" w:rsidR="00E978B0" w:rsidRPr="00EE604A" w:rsidRDefault="00E978B0" w:rsidP="00F01CF8">
            <w:pPr>
              <w:widowControl w:val="0"/>
              <w:autoSpaceDE w:val="0"/>
              <w:autoSpaceDN w:val="0"/>
              <w:adjustRightInd w:val="0"/>
              <w:rPr>
                <w:rFonts w:cs="Times New Roman"/>
                <w:sz w:val="20"/>
                <w:szCs w:val="20"/>
                <w:lang w:val="en-GB"/>
              </w:rPr>
            </w:pPr>
          </w:p>
        </w:tc>
        <w:tc>
          <w:tcPr>
            <w:tcW w:w="8824" w:type="dxa"/>
          </w:tcPr>
          <w:p w14:paraId="2442F44F" w14:textId="77777777" w:rsidR="00E978B0" w:rsidRPr="00F770FB" w:rsidRDefault="00E978B0" w:rsidP="00F01CF8">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EE604A">
              <w:rPr>
                <w:rFonts w:cs="Times New Roman"/>
                <w:b/>
                <w:sz w:val="20"/>
                <w:szCs w:val="20"/>
                <w:lang w:val="en-GB"/>
              </w:rPr>
              <w:t>LIFE </w:t>
            </w:r>
            <w:r w:rsidRPr="00EE604A">
              <w:rPr>
                <w:rFonts w:cs="Times New Roman"/>
                <w:sz w:val="20"/>
                <w:szCs w:val="20"/>
                <w:lang w:val="en-GB"/>
              </w:rPr>
              <w:t>(2014-20): promote</w:t>
            </w:r>
            <w:r w:rsidR="00224EFC">
              <w:rPr>
                <w:rFonts w:cs="Times New Roman"/>
                <w:sz w:val="20"/>
                <w:szCs w:val="20"/>
                <w:lang w:val="en-GB"/>
              </w:rPr>
              <w:t>s</w:t>
            </w:r>
            <w:r w:rsidRPr="00EE604A">
              <w:rPr>
                <w:rFonts w:cs="Times New Roman"/>
                <w:sz w:val="20"/>
                <w:szCs w:val="20"/>
                <w:lang w:val="en-GB"/>
              </w:rPr>
              <w:t xml:space="preserve"> implementation and integration of environment and climate objectives in other policie</w:t>
            </w:r>
            <w:r w:rsidR="00A124BB">
              <w:rPr>
                <w:rFonts w:cs="Times New Roman"/>
                <w:sz w:val="20"/>
                <w:szCs w:val="20"/>
                <w:lang w:val="en-GB"/>
              </w:rPr>
              <w:t>s and EU Member States practice</w:t>
            </w:r>
            <w:r w:rsidR="00582ECC">
              <w:rPr>
                <w:rFonts w:cs="Times New Roman"/>
                <w:sz w:val="20"/>
                <w:szCs w:val="20"/>
                <w:lang w:val="en-GB"/>
              </w:rPr>
              <w:t>; emphasis on better governance</w:t>
            </w:r>
            <w:r w:rsidRPr="00EE604A">
              <w:rPr>
                <w:rFonts w:cs="Times New Roman"/>
                <w:sz w:val="20"/>
                <w:szCs w:val="20"/>
                <w:lang w:val="en-GB"/>
              </w:rPr>
              <w:t xml:space="preserve">; priorities: resource </w:t>
            </w:r>
            <w:r w:rsidRPr="00EE604A">
              <w:rPr>
                <w:rFonts w:cs="Times New Roman"/>
                <w:sz w:val="20"/>
                <w:szCs w:val="20"/>
                <w:lang w:val="en-GB"/>
              </w:rPr>
              <w:lastRenderedPageBreak/>
              <w:t xml:space="preserve">efficiency, biodiversity loss and climate adaptation and mitigation. </w:t>
            </w:r>
            <w:r w:rsidRPr="00E978B0">
              <w:rPr>
                <w:rFonts w:cs="Times New Roman"/>
                <w:sz w:val="20"/>
                <w:szCs w:val="20"/>
              </w:rPr>
              <w:t xml:space="preserve">Limited </w:t>
            </w:r>
            <w:proofErr w:type="spellStart"/>
            <w:r w:rsidRPr="00E978B0">
              <w:rPr>
                <w:rFonts w:cs="Times New Roman"/>
                <w:sz w:val="20"/>
                <w:szCs w:val="20"/>
              </w:rPr>
              <w:t>possibilities</w:t>
            </w:r>
            <w:proofErr w:type="spellEnd"/>
            <w:r w:rsidRPr="00E978B0">
              <w:rPr>
                <w:rFonts w:cs="Times New Roman"/>
                <w:sz w:val="20"/>
                <w:szCs w:val="20"/>
              </w:rPr>
              <w:t xml:space="preserve"> for </w:t>
            </w:r>
            <w:proofErr w:type="spellStart"/>
            <w:r w:rsidRPr="00E978B0">
              <w:rPr>
                <w:rFonts w:cs="Times New Roman"/>
                <w:sz w:val="20"/>
                <w:szCs w:val="20"/>
              </w:rPr>
              <w:t>partner</w:t>
            </w:r>
            <w:proofErr w:type="spellEnd"/>
            <w:r w:rsidRPr="00E978B0">
              <w:rPr>
                <w:rFonts w:cs="Times New Roman"/>
                <w:sz w:val="20"/>
                <w:szCs w:val="20"/>
              </w:rPr>
              <w:t xml:space="preserve"> countries participation.</w:t>
            </w:r>
          </w:p>
        </w:tc>
      </w:tr>
      <w:tr w:rsidR="00D273E3" w:rsidRPr="00B71347" w14:paraId="09CBE459" w14:textId="77777777" w:rsidTr="006E2C3C">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689" w:type="dxa"/>
            <w:vMerge w:val="restart"/>
            <w:shd w:val="clear" w:color="auto" w:fill="FFFFFF" w:themeFill="background1"/>
          </w:tcPr>
          <w:p w14:paraId="0C76CBC5" w14:textId="77777777" w:rsidR="00D273E3" w:rsidRPr="004408A1" w:rsidRDefault="00D273E3" w:rsidP="00563D6A">
            <w:pPr>
              <w:widowControl w:val="0"/>
              <w:autoSpaceDE w:val="0"/>
              <w:autoSpaceDN w:val="0"/>
              <w:adjustRightInd w:val="0"/>
              <w:rPr>
                <w:rFonts w:asciiTheme="minorHAnsi" w:hAnsiTheme="minorHAnsi" w:cs="Times New Roman"/>
                <w:sz w:val="20"/>
                <w:szCs w:val="20"/>
                <w:lang w:val="en-GB"/>
              </w:rPr>
            </w:pPr>
            <w:r w:rsidRPr="004408A1">
              <w:rPr>
                <w:rFonts w:asciiTheme="minorHAnsi" w:hAnsiTheme="minorHAnsi" w:cs="Times New Roman"/>
                <w:sz w:val="20"/>
                <w:szCs w:val="20"/>
                <w:lang w:val="en-GB"/>
              </w:rPr>
              <w:lastRenderedPageBreak/>
              <w:t>ENPI (until 2013), ENI (from 2014)</w:t>
            </w:r>
          </w:p>
          <w:p w14:paraId="4473FF03" w14:textId="77777777" w:rsidR="00D273E3" w:rsidRPr="004408A1" w:rsidRDefault="00D273E3" w:rsidP="00A73E3F">
            <w:pPr>
              <w:widowControl w:val="0"/>
              <w:autoSpaceDE w:val="0"/>
              <w:autoSpaceDN w:val="0"/>
              <w:adjustRightInd w:val="0"/>
              <w:rPr>
                <w:rFonts w:asciiTheme="minorHAnsi" w:hAnsiTheme="minorHAnsi" w:cs="Times New Roman"/>
                <w:sz w:val="20"/>
                <w:szCs w:val="20"/>
                <w:lang w:val="en-GB"/>
              </w:rPr>
            </w:pPr>
            <w:r w:rsidRPr="004408A1">
              <w:rPr>
                <w:rFonts w:asciiTheme="minorHAnsi" w:hAnsiTheme="minorHAnsi" w:cs="Times New Roman"/>
                <w:i/>
                <w:sz w:val="20"/>
                <w:szCs w:val="20"/>
                <w:lang w:val="en-GB"/>
              </w:rPr>
              <w:t>Partner countries</w:t>
            </w:r>
          </w:p>
        </w:tc>
        <w:tc>
          <w:tcPr>
            <w:tcW w:w="8824" w:type="dxa"/>
          </w:tcPr>
          <w:p w14:paraId="310AE3A4" w14:textId="77777777" w:rsidR="00D273E3" w:rsidRPr="004408A1" w:rsidRDefault="00873DAC" w:rsidP="00A73E3F">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Verdana"/>
                <w:sz w:val="20"/>
                <w:szCs w:val="20"/>
                <w:lang w:val="en-GB"/>
              </w:rPr>
            </w:pPr>
            <w:r w:rsidRPr="004408A1">
              <w:rPr>
                <w:rFonts w:cs="Times New Roman"/>
                <w:b/>
                <w:sz w:val="20"/>
                <w:szCs w:val="20"/>
                <w:lang w:val="en-GB"/>
              </w:rPr>
              <w:t>Bilateral country p</w:t>
            </w:r>
            <w:r w:rsidR="00D273E3" w:rsidRPr="004408A1">
              <w:rPr>
                <w:rFonts w:cs="Times New Roman"/>
                <w:b/>
                <w:sz w:val="20"/>
                <w:szCs w:val="20"/>
                <w:lang w:val="en-GB"/>
              </w:rPr>
              <w:t>rogrammes </w:t>
            </w:r>
            <w:r w:rsidR="00D273E3" w:rsidRPr="004408A1">
              <w:rPr>
                <w:rFonts w:cs="Times New Roman"/>
                <w:sz w:val="20"/>
                <w:szCs w:val="20"/>
                <w:lang w:val="en-GB"/>
              </w:rPr>
              <w:t>for each partner country (</w:t>
            </w:r>
            <w:r w:rsidR="00700497">
              <w:rPr>
                <w:rFonts w:cs="Times New Roman"/>
                <w:sz w:val="20"/>
                <w:szCs w:val="20"/>
                <w:lang w:val="en-GB"/>
              </w:rPr>
              <w:t xml:space="preserve">the </w:t>
            </w:r>
            <w:r w:rsidR="00D273E3" w:rsidRPr="004408A1">
              <w:rPr>
                <w:rFonts w:cs="Times New Roman"/>
                <w:sz w:val="20"/>
                <w:szCs w:val="20"/>
                <w:lang w:val="en-GB"/>
              </w:rPr>
              <w:t xml:space="preserve">main </w:t>
            </w:r>
            <w:r w:rsidR="00700497">
              <w:rPr>
                <w:rFonts w:cs="Times New Roman"/>
                <w:sz w:val="20"/>
                <w:szCs w:val="20"/>
                <w:lang w:val="en-GB"/>
              </w:rPr>
              <w:t xml:space="preserve">EU </w:t>
            </w:r>
            <w:r w:rsidR="00D273E3" w:rsidRPr="004408A1">
              <w:rPr>
                <w:rFonts w:cs="Times New Roman"/>
                <w:sz w:val="20"/>
                <w:szCs w:val="20"/>
                <w:lang w:val="en-GB"/>
              </w:rPr>
              <w:t xml:space="preserve">cooperation tool), includes </w:t>
            </w:r>
            <w:r w:rsidR="00A73E3F">
              <w:rPr>
                <w:rFonts w:cs="Times New Roman"/>
                <w:sz w:val="20"/>
                <w:szCs w:val="20"/>
                <w:lang w:val="en-GB"/>
              </w:rPr>
              <w:t xml:space="preserve">a </w:t>
            </w:r>
            <w:r w:rsidR="00D273E3" w:rsidRPr="004408A1">
              <w:rPr>
                <w:rFonts w:cs="Times New Roman"/>
                <w:b/>
                <w:sz w:val="20"/>
                <w:szCs w:val="20"/>
                <w:lang w:val="en-GB"/>
              </w:rPr>
              <w:t>Comprehensive Institution Building</w:t>
            </w:r>
            <w:r w:rsidR="00D273E3" w:rsidRPr="004408A1">
              <w:rPr>
                <w:rFonts w:cs="Times New Roman"/>
                <w:sz w:val="20"/>
                <w:szCs w:val="20"/>
                <w:lang w:val="en-GB"/>
              </w:rPr>
              <w:t xml:space="preserve"> (CIB) component</w:t>
            </w:r>
          </w:p>
        </w:tc>
      </w:tr>
      <w:tr w:rsidR="00D273E3" w:rsidRPr="00B71347" w14:paraId="2D8EC968" w14:textId="77777777" w:rsidTr="006E2C3C">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shd w:val="clear" w:color="auto" w:fill="FFFFFF" w:themeFill="background1"/>
          </w:tcPr>
          <w:p w14:paraId="6E03CEAB" w14:textId="77777777" w:rsidR="00D273E3" w:rsidRPr="004408A1" w:rsidRDefault="00D273E3" w:rsidP="00CA0245">
            <w:pPr>
              <w:widowControl w:val="0"/>
              <w:autoSpaceDE w:val="0"/>
              <w:autoSpaceDN w:val="0"/>
              <w:adjustRightInd w:val="0"/>
              <w:rPr>
                <w:rFonts w:asciiTheme="minorHAnsi" w:hAnsiTheme="minorHAnsi" w:cs="Times New Roman"/>
                <w:sz w:val="20"/>
                <w:szCs w:val="20"/>
                <w:lang w:val="en-GB"/>
              </w:rPr>
            </w:pPr>
          </w:p>
        </w:tc>
        <w:tc>
          <w:tcPr>
            <w:tcW w:w="8824" w:type="dxa"/>
          </w:tcPr>
          <w:p w14:paraId="231C79FF" w14:textId="5E7B239F" w:rsidR="00D273E3" w:rsidRPr="004408A1" w:rsidRDefault="007544C7" w:rsidP="00254070">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b/>
                <w:sz w:val="20"/>
                <w:szCs w:val="20"/>
                <w:lang w:val="en-GB"/>
              </w:rPr>
            </w:pPr>
            <w:r w:rsidRPr="004408A1">
              <w:rPr>
                <w:rFonts w:asciiTheme="minorHAnsi" w:hAnsiTheme="minorHAnsi" w:cs="Times New Roman"/>
                <w:b/>
                <w:sz w:val="20"/>
                <w:szCs w:val="20"/>
                <w:lang w:val="en-GB"/>
              </w:rPr>
              <w:t>Regional</w:t>
            </w:r>
            <w:r w:rsidR="00D273E3" w:rsidRPr="004408A1">
              <w:rPr>
                <w:rFonts w:asciiTheme="minorHAnsi" w:hAnsiTheme="minorHAnsi" w:cs="Times New Roman"/>
                <w:b/>
                <w:sz w:val="20"/>
                <w:szCs w:val="20"/>
                <w:lang w:val="en-GB"/>
              </w:rPr>
              <w:t xml:space="preserve"> Programmes, includ</w:t>
            </w:r>
            <w:r w:rsidR="00700497">
              <w:rPr>
                <w:rFonts w:asciiTheme="minorHAnsi" w:hAnsiTheme="minorHAnsi" w:cs="Times New Roman"/>
                <w:b/>
                <w:sz w:val="20"/>
                <w:szCs w:val="20"/>
                <w:lang w:val="en-GB"/>
              </w:rPr>
              <w:t>ing</w:t>
            </w:r>
            <w:r w:rsidR="00000AE2">
              <w:rPr>
                <w:rStyle w:val="FootnoteReference"/>
                <w:rFonts w:asciiTheme="minorHAnsi" w:hAnsiTheme="minorHAnsi" w:cs="Times New Roman"/>
                <w:b/>
                <w:sz w:val="20"/>
                <w:szCs w:val="20"/>
              </w:rPr>
              <w:footnoteReference w:id="56"/>
            </w:r>
            <w:r w:rsidR="00BA3E06">
              <w:rPr>
                <w:rFonts w:asciiTheme="minorHAnsi" w:hAnsiTheme="minorHAnsi" w:cs="Times New Roman"/>
                <w:b/>
                <w:sz w:val="20"/>
                <w:szCs w:val="20"/>
                <w:lang w:val="en-GB"/>
              </w:rPr>
              <w:t>:</w:t>
            </w:r>
          </w:p>
          <w:p w14:paraId="1680F97D" w14:textId="77777777" w:rsidR="00D273E3" w:rsidRPr="004408A1" w:rsidRDefault="00D273E3" w:rsidP="00254070">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Verdana"/>
                <w:color w:val="auto"/>
                <w:sz w:val="20"/>
                <w:szCs w:val="20"/>
                <w:lang w:val="en-GB"/>
              </w:rPr>
            </w:pPr>
            <w:r w:rsidRPr="004408A1">
              <w:rPr>
                <w:rFonts w:asciiTheme="minorHAnsi" w:hAnsiTheme="minorHAnsi" w:cs="Times New Roman"/>
                <w:b/>
                <w:sz w:val="20"/>
                <w:szCs w:val="20"/>
                <w:lang w:val="en-GB"/>
              </w:rPr>
              <w:t>- Eastern Partnership Integrated Border Management (IBM)</w:t>
            </w:r>
            <w:r w:rsidRPr="004408A1">
              <w:rPr>
                <w:rFonts w:asciiTheme="minorHAnsi" w:hAnsiTheme="minorHAnsi" w:cs="Times New Roman"/>
                <w:sz w:val="20"/>
                <w:szCs w:val="20"/>
                <w:lang w:val="en-GB"/>
              </w:rPr>
              <w:t xml:space="preserve">: </w:t>
            </w:r>
            <w:r w:rsidRPr="004408A1">
              <w:rPr>
                <w:rFonts w:asciiTheme="minorHAnsi" w:hAnsiTheme="minorHAnsi" w:cs="Verdana"/>
                <w:color w:val="auto"/>
                <w:sz w:val="20"/>
                <w:szCs w:val="20"/>
                <w:lang w:val="en-GB"/>
              </w:rPr>
              <w:t xml:space="preserve">supports the implementation of the concept of integrated border management, with the dual objective to secure the borders and to facilitate the legal passing of persons and goods. </w:t>
            </w:r>
          </w:p>
          <w:p w14:paraId="6CEFFFAF" w14:textId="32748ED3" w:rsidR="00D273E3" w:rsidRPr="004408A1" w:rsidRDefault="00D273E3" w:rsidP="00254070">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t xml:space="preserve">- Eastern Partnership SMEs development support: </w:t>
            </w:r>
            <w:r w:rsidRPr="004408A1">
              <w:rPr>
                <w:rFonts w:cs="Times New Roman"/>
                <w:sz w:val="20"/>
                <w:szCs w:val="20"/>
                <w:lang w:val="en-GB"/>
              </w:rPr>
              <w:t>supports partner countr</w:t>
            </w:r>
            <w:r w:rsidR="00700497">
              <w:rPr>
                <w:rFonts w:cs="Times New Roman"/>
                <w:sz w:val="20"/>
                <w:szCs w:val="20"/>
                <w:lang w:val="en-GB"/>
              </w:rPr>
              <w:t>y</w:t>
            </w:r>
            <w:r w:rsidRPr="004408A1">
              <w:rPr>
                <w:rFonts w:cs="Times New Roman"/>
                <w:sz w:val="20"/>
                <w:szCs w:val="20"/>
                <w:lang w:val="en-GB"/>
              </w:rPr>
              <w:t xml:space="preserve"> institutions to put in place and implement policy and legislative reforms in support of SMEs; supports Business Support organisations and promotes trade opportunities between European and partner countr</w:t>
            </w:r>
            <w:r w:rsidR="00700497">
              <w:rPr>
                <w:rFonts w:cs="Times New Roman"/>
                <w:sz w:val="20"/>
                <w:szCs w:val="20"/>
                <w:lang w:val="en-GB"/>
              </w:rPr>
              <w:t>y</w:t>
            </w:r>
            <w:r w:rsidRPr="004408A1">
              <w:rPr>
                <w:rFonts w:cs="Times New Roman"/>
                <w:sz w:val="20"/>
                <w:szCs w:val="20"/>
                <w:lang w:val="en-GB"/>
              </w:rPr>
              <w:t xml:space="preserve"> companies (East-Invest); strengthens auditing and reporting capacity of SMEs to improve their access to financing.</w:t>
            </w:r>
          </w:p>
          <w:p w14:paraId="4E30BD28" w14:textId="77777777" w:rsidR="001D38B4" w:rsidRDefault="00704B5C" w:rsidP="001D38B4">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imes New Roman"/>
                <w:color w:val="auto"/>
                <w:sz w:val="20"/>
                <w:szCs w:val="20"/>
                <w:lang w:val="en-GB"/>
              </w:rPr>
            </w:pPr>
            <w:r w:rsidRPr="004408A1">
              <w:rPr>
                <w:rFonts w:cs="Times New Roman"/>
                <w:sz w:val="20"/>
                <w:szCs w:val="20"/>
                <w:lang w:val="en-GB"/>
              </w:rPr>
              <w:t xml:space="preserve">- </w:t>
            </w:r>
            <w:r w:rsidRPr="004408A1">
              <w:rPr>
                <w:rFonts w:asciiTheme="minorHAnsi" w:hAnsiTheme="minorHAnsi" w:cs="Times New Roman"/>
                <w:b/>
                <w:sz w:val="20"/>
                <w:szCs w:val="20"/>
                <w:lang w:val="en-GB"/>
              </w:rPr>
              <w:t>Eastern Partnership SME Finance Facility</w:t>
            </w:r>
            <w:r w:rsidR="00BB5434" w:rsidRPr="004408A1">
              <w:rPr>
                <w:rFonts w:asciiTheme="minorHAnsi" w:hAnsiTheme="minorHAnsi" w:cs="Times New Roman"/>
                <w:b/>
                <w:sz w:val="20"/>
                <w:szCs w:val="20"/>
                <w:lang w:val="en-GB"/>
              </w:rPr>
              <w:t xml:space="preserve">: </w:t>
            </w:r>
            <w:r w:rsidR="00BB5434" w:rsidRPr="004408A1">
              <w:rPr>
                <w:rFonts w:asciiTheme="minorHAnsi" w:hAnsiTheme="minorHAnsi" w:cs="Times New Roman"/>
                <w:color w:val="auto"/>
                <w:sz w:val="20"/>
                <w:szCs w:val="20"/>
                <w:lang w:val="en-GB"/>
              </w:rPr>
              <w:t>c</w:t>
            </w:r>
            <w:r w:rsidRPr="004408A1">
              <w:rPr>
                <w:rFonts w:asciiTheme="minorHAnsi" w:hAnsiTheme="minorHAnsi" w:cs="Times New Roman"/>
                <w:color w:val="auto"/>
                <w:sz w:val="20"/>
                <w:szCs w:val="20"/>
                <w:lang w:val="en-GB"/>
              </w:rPr>
              <w:t xml:space="preserve">ombines </w:t>
            </w:r>
            <w:r w:rsidR="00BB5434" w:rsidRPr="004408A1">
              <w:rPr>
                <w:rFonts w:asciiTheme="minorHAnsi" w:hAnsiTheme="minorHAnsi" w:cs="Times New Roman"/>
                <w:color w:val="auto"/>
                <w:sz w:val="20"/>
                <w:szCs w:val="20"/>
                <w:lang w:val="en-GB"/>
              </w:rPr>
              <w:t>EBRD, EIB</w:t>
            </w:r>
            <w:r w:rsidRPr="004408A1">
              <w:rPr>
                <w:rFonts w:asciiTheme="minorHAnsi" w:hAnsiTheme="minorHAnsi" w:cs="Times New Roman"/>
                <w:color w:val="auto"/>
                <w:sz w:val="20"/>
                <w:szCs w:val="20"/>
                <w:lang w:val="en-GB"/>
              </w:rPr>
              <w:t xml:space="preserve"> and </w:t>
            </w:r>
            <w:proofErr w:type="spellStart"/>
            <w:r w:rsidRPr="004408A1">
              <w:rPr>
                <w:rFonts w:asciiTheme="minorHAnsi" w:hAnsiTheme="minorHAnsi" w:cs="Times New Roman"/>
                <w:color w:val="auto"/>
                <w:sz w:val="20"/>
                <w:szCs w:val="20"/>
                <w:lang w:val="en-GB"/>
              </w:rPr>
              <w:t>KfW</w:t>
            </w:r>
            <w:proofErr w:type="spellEnd"/>
            <w:r w:rsidRPr="004408A1">
              <w:rPr>
                <w:rFonts w:asciiTheme="minorHAnsi" w:hAnsiTheme="minorHAnsi" w:cs="Times New Roman"/>
                <w:color w:val="auto"/>
                <w:sz w:val="20"/>
                <w:szCs w:val="20"/>
                <w:lang w:val="en-GB"/>
              </w:rPr>
              <w:t xml:space="preserve"> loans with EU grant resources, to support SME lending</w:t>
            </w:r>
          </w:p>
          <w:p w14:paraId="3ED5869E" w14:textId="77777777" w:rsidR="00CD669B" w:rsidRDefault="00CD669B" w:rsidP="00CD669B">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color w:val="000000"/>
                <w:sz w:val="20"/>
                <w:szCs w:val="20"/>
                <w:lang w:val="en-GB"/>
              </w:rPr>
              <w:t xml:space="preserve">- Small Business Support Programmes in the Eastern Partnership: </w:t>
            </w:r>
            <w:r w:rsidRPr="004408A1">
              <w:rPr>
                <w:rFonts w:cs="Times New Roman"/>
                <w:sz w:val="20"/>
                <w:szCs w:val="20"/>
                <w:lang w:val="en-GB"/>
              </w:rPr>
              <w:t>Business Advisory Services and Enterprise Growth Programmes provide individual and customised technical assistance to help micro, small and medium-sized enterprises adapt to the demands of a liberal market economy, and develop the capacities of local SMEs as well as local business advisory services.</w:t>
            </w:r>
          </w:p>
          <w:p w14:paraId="318434A3" w14:textId="0B34647D" w:rsidR="008E3AEF" w:rsidRDefault="008E3AEF" w:rsidP="008E3AEF">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Pr>
                <w:rFonts w:cs="Times New Roman"/>
                <w:b/>
                <w:sz w:val="20"/>
                <w:szCs w:val="20"/>
                <w:lang w:val="en-GB"/>
              </w:rPr>
              <w:t>- The Eastern European Neighbourhood Programme for Agriculture and Rural Development (ENPARD</w:t>
            </w:r>
            <w:r w:rsidRPr="00D9324E">
              <w:rPr>
                <w:rFonts w:cs="Times New Roman"/>
                <w:b/>
                <w:sz w:val="20"/>
                <w:szCs w:val="20"/>
                <w:lang w:val="en-GB"/>
              </w:rPr>
              <w:t>)</w:t>
            </w:r>
            <w:r w:rsidRPr="00D9324E">
              <w:rPr>
                <w:rFonts w:cs="Times New Roman"/>
                <w:sz w:val="20"/>
                <w:szCs w:val="20"/>
                <w:lang w:val="en-GB"/>
              </w:rPr>
              <w:t>: support</w:t>
            </w:r>
            <w:r w:rsidR="00403B81">
              <w:rPr>
                <w:rFonts w:cs="Times New Roman"/>
                <w:sz w:val="20"/>
                <w:szCs w:val="20"/>
                <w:lang w:val="en-GB"/>
              </w:rPr>
              <w:t>s</w:t>
            </w:r>
            <w:r w:rsidRPr="00D9324E">
              <w:rPr>
                <w:rFonts w:cs="Times New Roman"/>
                <w:sz w:val="20"/>
                <w:szCs w:val="20"/>
                <w:lang w:val="en-GB"/>
              </w:rPr>
              <w:t xml:space="preserve"> </w:t>
            </w:r>
            <w:r>
              <w:rPr>
                <w:rFonts w:cs="Times New Roman"/>
                <w:sz w:val="20"/>
                <w:szCs w:val="20"/>
                <w:lang w:val="en-GB"/>
              </w:rPr>
              <w:t xml:space="preserve">partner </w:t>
            </w:r>
            <w:r w:rsidRPr="00D9324E">
              <w:rPr>
                <w:rFonts w:cs="Times New Roman"/>
                <w:sz w:val="20"/>
                <w:szCs w:val="20"/>
                <w:lang w:val="en-GB"/>
              </w:rPr>
              <w:t>countries in their agricultural and rural development</w:t>
            </w:r>
          </w:p>
          <w:p w14:paraId="60D2989A" w14:textId="70B8BCFA" w:rsidR="004031F6" w:rsidRPr="00DD046E" w:rsidRDefault="00DE694D" w:rsidP="00DD046E">
            <w:pPr>
              <w:cnfStyle w:val="000000010000" w:firstRow="0" w:lastRow="0" w:firstColumn="0" w:lastColumn="0" w:oddVBand="0" w:evenVBand="0" w:oddHBand="0" w:evenHBand="1" w:firstRowFirstColumn="0" w:firstRowLastColumn="0" w:lastRowFirstColumn="0" w:lastRowLastColumn="0"/>
              <w:rPr>
                <w:rFonts w:ascii="Helvetica" w:eastAsia="Times New Roman" w:hAnsi="Helvetica" w:cs="Times New Roman"/>
                <w:sz w:val="20"/>
                <w:szCs w:val="20"/>
              </w:rPr>
            </w:pPr>
            <w:r>
              <w:rPr>
                <w:rFonts w:ascii="Helvetica" w:eastAsia="Times New Roman" w:hAnsi="Helvetica" w:cs="Times New Roman"/>
                <w:sz w:val="20"/>
                <w:szCs w:val="20"/>
              </w:rPr>
              <w:t xml:space="preserve">- </w:t>
            </w:r>
            <w:r w:rsidR="00FF0391" w:rsidRPr="00FF0391">
              <w:rPr>
                <w:rFonts w:cs="Times New Roman"/>
                <w:b/>
                <w:sz w:val="20"/>
                <w:szCs w:val="20"/>
                <w:lang w:val="en-GB"/>
              </w:rPr>
              <w:t>ENPI SEIS project</w:t>
            </w:r>
            <w:r w:rsidR="00FF0391">
              <w:rPr>
                <w:rFonts w:ascii="Helvetica" w:eastAsia="Times New Roman" w:hAnsi="Helvetica" w:cs="Times New Roman"/>
                <w:sz w:val="20"/>
                <w:szCs w:val="20"/>
              </w:rPr>
              <w:t xml:space="preserve"> </w:t>
            </w:r>
            <w:r w:rsidR="004031F6" w:rsidRPr="002312E5">
              <w:rPr>
                <w:rFonts w:cs="Times New Roman"/>
                <w:b/>
                <w:sz w:val="20"/>
                <w:szCs w:val="20"/>
                <w:lang w:val="en-GB"/>
              </w:rPr>
              <w:t>T</w:t>
            </w:r>
            <w:r w:rsidRPr="002312E5">
              <w:rPr>
                <w:rFonts w:cs="Times New Roman"/>
                <w:b/>
                <w:sz w:val="20"/>
                <w:szCs w:val="20"/>
                <w:lang w:val="en-GB"/>
              </w:rPr>
              <w:t>owards a shared environmental information system</w:t>
            </w:r>
            <w:r w:rsidR="00937A0D" w:rsidRPr="002312E5">
              <w:rPr>
                <w:rFonts w:cs="Times New Roman"/>
                <w:b/>
                <w:sz w:val="20"/>
                <w:szCs w:val="20"/>
                <w:lang w:val="en-GB"/>
              </w:rPr>
              <w:t xml:space="preserve"> (SEIS)</w:t>
            </w:r>
            <w:r w:rsidRPr="002312E5">
              <w:rPr>
                <w:rFonts w:cs="Times New Roman"/>
                <w:b/>
                <w:sz w:val="20"/>
                <w:szCs w:val="20"/>
                <w:lang w:val="en-GB"/>
              </w:rPr>
              <w:t xml:space="preserve"> in the European Neighbourhood</w:t>
            </w:r>
            <w:r>
              <w:rPr>
                <w:rFonts w:ascii="Helvetica" w:eastAsia="Times New Roman" w:hAnsi="Helvetica" w:cs="Times New Roman"/>
                <w:sz w:val="20"/>
                <w:szCs w:val="20"/>
              </w:rPr>
              <w:t>:</w:t>
            </w:r>
            <w:r w:rsidRPr="00DD046E">
              <w:rPr>
                <w:rFonts w:cs="Times New Roman"/>
                <w:sz w:val="20"/>
                <w:szCs w:val="20"/>
                <w:lang w:val="en-GB"/>
              </w:rPr>
              <w:t xml:space="preserve"> to improve environmental monitoring and data and information sharing by gradually extending the SEIS principles to the European neighbourhood</w:t>
            </w:r>
          </w:p>
          <w:p w14:paraId="78FFEA9E" w14:textId="18E8DFE5" w:rsidR="008E3AEF" w:rsidRPr="004B49D3" w:rsidRDefault="008E3AEF" w:rsidP="004B49D3">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Pr>
                <w:rFonts w:cs="Times New Roman"/>
                <w:b/>
                <w:sz w:val="20"/>
                <w:szCs w:val="20"/>
                <w:lang w:val="en-GB"/>
              </w:rPr>
              <w:t xml:space="preserve">- </w:t>
            </w:r>
            <w:r w:rsidRPr="008E3AEF">
              <w:rPr>
                <w:rFonts w:cs="Times New Roman"/>
                <w:b/>
                <w:sz w:val="20"/>
                <w:szCs w:val="20"/>
                <w:lang w:val="en-GB"/>
              </w:rPr>
              <w:t>Prevention, Preparedness and Response to natural and man-made disasters</w:t>
            </w:r>
            <w:r w:rsidRPr="008E3AEF">
              <w:rPr>
                <w:rFonts w:cs="Times New Roman"/>
                <w:sz w:val="20"/>
                <w:szCs w:val="20"/>
                <w:lang w:val="en-GB"/>
              </w:rPr>
              <w:t xml:space="preserve"> in Eastern Partnership countries</w:t>
            </w:r>
            <w:r w:rsidR="00F146AA">
              <w:rPr>
                <w:rFonts w:cs="Times New Roman"/>
                <w:sz w:val="20"/>
                <w:szCs w:val="20"/>
                <w:lang w:val="en-GB"/>
              </w:rPr>
              <w:t xml:space="preserve"> programme</w:t>
            </w:r>
            <w:r w:rsidRPr="008E3AEF">
              <w:rPr>
                <w:rFonts w:cs="Times New Roman"/>
                <w:sz w:val="20"/>
                <w:szCs w:val="20"/>
                <w:lang w:val="en-GB"/>
              </w:rPr>
              <w:t xml:space="preserve"> (PPRD East II)</w:t>
            </w:r>
            <w:r w:rsidR="004B49D3">
              <w:rPr>
                <w:rFonts w:cs="Times New Roman"/>
                <w:sz w:val="20"/>
                <w:szCs w:val="20"/>
                <w:lang w:val="en-GB"/>
              </w:rPr>
              <w:t xml:space="preserve">: to </w:t>
            </w:r>
            <w:r w:rsidR="004B49D3" w:rsidRPr="004B49D3">
              <w:rPr>
                <w:rFonts w:cs="Times New Roman"/>
                <w:sz w:val="20"/>
                <w:szCs w:val="20"/>
                <w:lang w:val="en-GB"/>
              </w:rPr>
              <w:t>strengthen</w:t>
            </w:r>
            <w:r w:rsidR="004B49D3">
              <w:rPr>
                <w:rFonts w:cs="Times New Roman"/>
                <w:sz w:val="20"/>
                <w:szCs w:val="20"/>
                <w:lang w:val="en-GB"/>
              </w:rPr>
              <w:t xml:space="preserve"> </w:t>
            </w:r>
            <w:r w:rsidR="004B49D3" w:rsidRPr="004B49D3">
              <w:rPr>
                <w:rFonts w:cs="Times New Roman"/>
                <w:sz w:val="20"/>
                <w:szCs w:val="20"/>
                <w:lang w:val="en-GB"/>
              </w:rPr>
              <w:t>partner countries’ civil protection capacities for disaster prevention, preparedness and response</w:t>
            </w:r>
          </w:p>
          <w:p w14:paraId="209A2222" w14:textId="37E40DC2" w:rsidR="001D38B4" w:rsidRPr="004408A1" w:rsidRDefault="008E3AEF" w:rsidP="00CD669B">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b/>
                <w:color w:val="000000"/>
                <w:sz w:val="20"/>
                <w:szCs w:val="20"/>
                <w:lang w:val="en-GB"/>
              </w:rPr>
            </w:pPr>
            <w:r>
              <w:rPr>
                <w:rFonts w:cs="Times New Roman"/>
                <w:b/>
                <w:color w:val="000000"/>
                <w:sz w:val="20"/>
                <w:szCs w:val="20"/>
                <w:lang w:val="en-GB"/>
              </w:rPr>
              <w:t xml:space="preserve">- </w:t>
            </w:r>
            <w:r w:rsidR="001D38B4" w:rsidRPr="004408A1">
              <w:rPr>
                <w:rFonts w:cs="Times New Roman"/>
                <w:b/>
                <w:color w:val="000000"/>
                <w:sz w:val="20"/>
                <w:szCs w:val="20"/>
                <w:lang w:val="en-GB"/>
              </w:rPr>
              <w:t>Eastern Partnership Youth Window</w:t>
            </w:r>
            <w:r w:rsidR="001D38B4" w:rsidRPr="004408A1">
              <w:rPr>
                <w:rFonts w:cs="Times New Roman"/>
                <w:b/>
                <w:sz w:val="20"/>
                <w:szCs w:val="20"/>
                <w:lang w:val="en-GB"/>
              </w:rPr>
              <w:t>: </w:t>
            </w:r>
            <w:r w:rsidR="001D38B4" w:rsidRPr="004408A1">
              <w:rPr>
                <w:rFonts w:cs="Times New Roman"/>
                <w:sz w:val="20"/>
                <w:szCs w:val="20"/>
                <w:lang w:val="en-GB"/>
              </w:rPr>
              <w:t>support</w:t>
            </w:r>
            <w:r w:rsidR="007F6C7A" w:rsidRPr="004408A1">
              <w:rPr>
                <w:rFonts w:cs="Times New Roman"/>
                <w:sz w:val="20"/>
                <w:szCs w:val="20"/>
                <w:lang w:val="en-GB"/>
              </w:rPr>
              <w:t xml:space="preserve"> i</w:t>
            </w:r>
            <w:r w:rsidR="001D38B4" w:rsidRPr="004408A1">
              <w:rPr>
                <w:rFonts w:cs="Times New Roman"/>
                <w:sz w:val="20"/>
                <w:szCs w:val="20"/>
                <w:lang w:val="en-GB"/>
              </w:rPr>
              <w:t>n responding</w:t>
            </w:r>
            <w:r w:rsidR="007F6C7A" w:rsidRPr="004408A1">
              <w:rPr>
                <w:rFonts w:cs="Times New Roman"/>
                <w:sz w:val="20"/>
                <w:szCs w:val="20"/>
                <w:lang w:val="en-GB"/>
              </w:rPr>
              <w:t xml:space="preserve"> to the needs of youth in </w:t>
            </w:r>
            <w:r w:rsidR="001D38B4" w:rsidRPr="004408A1">
              <w:rPr>
                <w:rFonts w:cs="Times New Roman"/>
                <w:sz w:val="20"/>
                <w:szCs w:val="20"/>
                <w:lang w:val="en-GB"/>
              </w:rPr>
              <w:t>societies through cooperation among young people and youth worker</w:t>
            </w:r>
          </w:p>
          <w:p w14:paraId="541C37CF" w14:textId="77777777" w:rsidR="00C67CF5" w:rsidRPr="004408A1" w:rsidRDefault="007544C7" w:rsidP="00CD669B">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sz w:val="20"/>
                <w:szCs w:val="20"/>
                <w:lang w:val="en-GB"/>
              </w:rPr>
              <w:t xml:space="preserve">- </w:t>
            </w:r>
            <w:proofErr w:type="spellStart"/>
            <w:r w:rsidR="00C510E1" w:rsidRPr="004408A1">
              <w:rPr>
                <w:rFonts w:cs="Times New Roman"/>
                <w:b/>
                <w:sz w:val="20"/>
                <w:szCs w:val="20"/>
                <w:lang w:val="en-GB"/>
              </w:rPr>
              <w:t>ClimaEast</w:t>
            </w:r>
            <w:proofErr w:type="spellEnd"/>
            <w:r w:rsidR="00C510E1" w:rsidRPr="004408A1">
              <w:rPr>
                <w:rFonts w:cs="Times New Roman"/>
                <w:b/>
                <w:sz w:val="20"/>
                <w:szCs w:val="20"/>
                <w:lang w:val="en-GB"/>
              </w:rPr>
              <w:t>: supporting climate change mitigation and adaptation </w:t>
            </w:r>
            <w:r w:rsidR="00C510E1" w:rsidRPr="004408A1">
              <w:rPr>
                <w:rFonts w:cs="Times New Roman"/>
                <w:sz w:val="20"/>
                <w:szCs w:val="20"/>
                <w:lang w:val="en-GB"/>
              </w:rPr>
              <w:t>to foster improved climate change policies, strategies and market mechanisms</w:t>
            </w:r>
          </w:p>
          <w:p w14:paraId="5995E8A6" w14:textId="77777777" w:rsidR="00D273E3" w:rsidRDefault="00C67CF5" w:rsidP="00563D6A">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sz w:val="20"/>
                <w:szCs w:val="20"/>
                <w:lang w:val="en-GB"/>
              </w:rPr>
              <w:t xml:space="preserve">- </w:t>
            </w:r>
            <w:r w:rsidRPr="004408A1">
              <w:rPr>
                <w:rFonts w:cs="Times New Roman"/>
                <w:b/>
                <w:sz w:val="20"/>
                <w:szCs w:val="20"/>
                <w:lang w:val="en-GB"/>
              </w:rPr>
              <w:t xml:space="preserve">Greening economies in the Eastern </w:t>
            </w:r>
            <w:r w:rsidR="00BA3E06" w:rsidRPr="004408A1">
              <w:rPr>
                <w:rFonts w:cs="Times New Roman"/>
                <w:b/>
                <w:sz w:val="20"/>
                <w:szCs w:val="20"/>
                <w:lang w:val="en-GB"/>
              </w:rPr>
              <w:t>Neighbourhood:</w:t>
            </w:r>
            <w:r w:rsidR="00144BD7" w:rsidRPr="004408A1">
              <w:rPr>
                <w:rFonts w:cs="Times New Roman"/>
                <w:sz w:val="20"/>
                <w:szCs w:val="20"/>
                <w:lang w:val="en-GB"/>
              </w:rPr>
              <w:t xml:space="preserve"> s</w:t>
            </w:r>
            <w:r w:rsidRPr="004408A1">
              <w:rPr>
                <w:rFonts w:cs="Times New Roman"/>
                <w:sz w:val="20"/>
                <w:szCs w:val="20"/>
                <w:lang w:val="en-GB"/>
              </w:rPr>
              <w:t xml:space="preserve">upports </w:t>
            </w:r>
            <w:r w:rsidR="00AC27C0" w:rsidRPr="004408A1">
              <w:rPr>
                <w:rFonts w:cs="Times New Roman"/>
                <w:sz w:val="20"/>
                <w:szCs w:val="20"/>
                <w:lang w:val="en-GB"/>
              </w:rPr>
              <w:t>the</w:t>
            </w:r>
            <w:r w:rsidR="00144BD7" w:rsidRPr="004408A1">
              <w:rPr>
                <w:rFonts w:cs="Times New Roman"/>
                <w:sz w:val="20"/>
                <w:szCs w:val="20"/>
                <w:lang w:val="en-GB"/>
              </w:rPr>
              <w:t xml:space="preserve"> </w:t>
            </w:r>
            <w:r w:rsidRPr="004408A1">
              <w:rPr>
                <w:rFonts w:cs="Times New Roman"/>
                <w:sz w:val="20"/>
                <w:szCs w:val="20"/>
                <w:lang w:val="en-GB"/>
              </w:rPr>
              <w:t>move towards a green economy by decoupling economic growth from environmental degradation and resource depletion and by promoting sustainable consumption and production strategies</w:t>
            </w:r>
          </w:p>
          <w:p w14:paraId="6E72ADCE" w14:textId="77777777" w:rsidR="00A124BB" w:rsidRDefault="00A124BB" w:rsidP="00563D6A">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Pr>
                <w:rFonts w:cs="Times New Roman"/>
                <w:b/>
                <w:sz w:val="20"/>
                <w:szCs w:val="20"/>
                <w:lang w:val="en-GB"/>
              </w:rPr>
              <w:t xml:space="preserve">- </w:t>
            </w:r>
            <w:r w:rsidRPr="004408A1">
              <w:rPr>
                <w:rFonts w:cs="Times New Roman"/>
                <w:b/>
                <w:sz w:val="20"/>
                <w:szCs w:val="20"/>
                <w:lang w:val="en-GB"/>
              </w:rPr>
              <w:t xml:space="preserve">Eastern </w:t>
            </w:r>
            <w:proofErr w:type="spellStart"/>
            <w:r w:rsidRPr="004408A1">
              <w:rPr>
                <w:rFonts w:cs="Times New Roman"/>
                <w:b/>
                <w:sz w:val="20"/>
                <w:szCs w:val="20"/>
                <w:lang w:val="en-GB"/>
              </w:rPr>
              <w:t>Parnership</w:t>
            </w:r>
            <w:proofErr w:type="spellEnd"/>
            <w:r w:rsidRPr="004408A1">
              <w:rPr>
                <w:rFonts w:cs="Times New Roman"/>
                <w:b/>
                <w:sz w:val="20"/>
                <w:szCs w:val="20"/>
                <w:lang w:val="en-GB"/>
              </w:rPr>
              <w:t xml:space="preserve"> Culture programme:</w:t>
            </w:r>
            <w:r w:rsidRPr="004408A1">
              <w:rPr>
                <w:rFonts w:cs="Times New Roman"/>
                <w:sz w:val="20"/>
                <w:szCs w:val="20"/>
                <w:lang w:val="en-GB"/>
              </w:rPr>
              <w:t xml:space="preserve"> strengthens regional cultural links and dialogue within the Eastern Partnership region, and between the EU and ENP Eastern countries' cultural networks and actors</w:t>
            </w:r>
          </w:p>
          <w:p w14:paraId="670B0A16" w14:textId="70E9B43E" w:rsidR="002F2DA7" w:rsidRPr="004408A1" w:rsidRDefault="002F2DA7" w:rsidP="00563D6A">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Pr>
                <w:rFonts w:cs="Verdana"/>
                <w:b/>
                <w:sz w:val="20"/>
                <w:szCs w:val="20"/>
                <w:lang w:val="en-GB"/>
              </w:rPr>
              <w:t xml:space="preserve">- </w:t>
            </w:r>
            <w:r w:rsidRPr="004408A1">
              <w:rPr>
                <w:rFonts w:cs="Verdana"/>
                <w:b/>
                <w:sz w:val="20"/>
                <w:szCs w:val="20"/>
                <w:lang w:val="en-GB"/>
              </w:rPr>
              <w:t>The Eastern Partnership Integration and Cooperation (</w:t>
            </w:r>
            <w:proofErr w:type="spellStart"/>
            <w:r w:rsidRPr="004408A1">
              <w:rPr>
                <w:rFonts w:cs="Verdana"/>
                <w:b/>
                <w:sz w:val="20"/>
                <w:szCs w:val="20"/>
                <w:lang w:val="en-GB"/>
              </w:rPr>
              <w:t>EaPIC</w:t>
            </w:r>
            <w:proofErr w:type="spellEnd"/>
            <w:r w:rsidRPr="004408A1">
              <w:rPr>
                <w:rFonts w:cs="Verdana"/>
                <w:b/>
                <w:sz w:val="20"/>
                <w:szCs w:val="20"/>
                <w:lang w:val="en-GB"/>
              </w:rPr>
              <w:t>) programme</w:t>
            </w:r>
            <w:r w:rsidRPr="004408A1">
              <w:rPr>
                <w:rFonts w:cs="Verdana"/>
                <w:sz w:val="20"/>
                <w:szCs w:val="20"/>
                <w:lang w:val="en-GB"/>
              </w:rPr>
              <w:t>: additional funding based on reforms achieved to support democratic transformation and institution building, sustainable and inclusive growth and economic development</w:t>
            </w:r>
          </w:p>
        </w:tc>
      </w:tr>
      <w:tr w:rsidR="00D273E3" w:rsidRPr="00B71347" w14:paraId="477E5F4A" w14:textId="77777777" w:rsidTr="006E2C3C">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shd w:val="clear" w:color="auto" w:fill="FFFFFF" w:themeFill="background1"/>
          </w:tcPr>
          <w:p w14:paraId="2C9DD158" w14:textId="77777777" w:rsidR="00D273E3" w:rsidRPr="004408A1" w:rsidRDefault="00D273E3" w:rsidP="00CA0245">
            <w:pPr>
              <w:widowControl w:val="0"/>
              <w:autoSpaceDE w:val="0"/>
              <w:autoSpaceDN w:val="0"/>
              <w:adjustRightInd w:val="0"/>
              <w:rPr>
                <w:rFonts w:asciiTheme="minorHAnsi" w:hAnsiTheme="minorHAnsi" w:cs="Times New Roman"/>
                <w:sz w:val="20"/>
                <w:szCs w:val="20"/>
                <w:lang w:val="en-GB"/>
              </w:rPr>
            </w:pPr>
          </w:p>
        </w:tc>
        <w:tc>
          <w:tcPr>
            <w:tcW w:w="8824" w:type="dxa"/>
          </w:tcPr>
          <w:p w14:paraId="3D74DE3B" w14:textId="77777777" w:rsidR="00D273E3" w:rsidRPr="004408A1" w:rsidRDefault="007544C7" w:rsidP="009A3D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r w:rsidRPr="004408A1">
              <w:rPr>
                <w:rFonts w:cs="Times New Roman"/>
                <w:b/>
                <w:sz w:val="20"/>
                <w:szCs w:val="20"/>
                <w:lang w:val="en-GB"/>
              </w:rPr>
              <w:t>Neighbourhood Investment Facility (NIF)</w:t>
            </w:r>
            <w:r w:rsidRPr="004408A1">
              <w:rPr>
                <w:rFonts w:cs="Times New Roman"/>
                <w:sz w:val="20"/>
                <w:szCs w:val="20"/>
                <w:lang w:val="en-GB"/>
              </w:rPr>
              <w:t>:</w:t>
            </w:r>
            <w:r w:rsidRPr="004408A1">
              <w:rPr>
                <w:rFonts w:cs="Verdana"/>
                <w:sz w:val="20"/>
                <w:szCs w:val="20"/>
                <w:lang w:val="en-GB"/>
              </w:rPr>
              <w:t xml:space="preserve"> finances key </w:t>
            </w:r>
            <w:r w:rsidRPr="004408A1">
              <w:rPr>
                <w:rFonts w:cs="Verdana"/>
                <w:bCs/>
                <w:sz w:val="20"/>
                <w:szCs w:val="20"/>
                <w:lang w:val="en-GB"/>
              </w:rPr>
              <w:t xml:space="preserve">infrastructure </w:t>
            </w:r>
            <w:r w:rsidRPr="004408A1">
              <w:rPr>
                <w:rFonts w:cs="Verdana"/>
                <w:sz w:val="20"/>
                <w:szCs w:val="20"/>
                <w:lang w:val="en-GB"/>
              </w:rPr>
              <w:t xml:space="preserve">projects in partner countries as well as supports their </w:t>
            </w:r>
            <w:r w:rsidRPr="004408A1">
              <w:rPr>
                <w:rFonts w:cs="Verdana"/>
                <w:bCs/>
                <w:sz w:val="20"/>
                <w:szCs w:val="20"/>
                <w:lang w:val="en-GB"/>
              </w:rPr>
              <w:t>private sector</w:t>
            </w:r>
            <w:r w:rsidR="00700497">
              <w:rPr>
                <w:rFonts w:cs="Verdana"/>
                <w:bCs/>
                <w:sz w:val="20"/>
                <w:szCs w:val="20"/>
                <w:lang w:val="en-GB"/>
              </w:rPr>
              <w:t>s</w:t>
            </w:r>
            <w:r w:rsidRPr="004408A1">
              <w:rPr>
                <w:rFonts w:cs="Verdana"/>
                <w:bCs/>
                <w:sz w:val="20"/>
                <w:szCs w:val="20"/>
                <w:lang w:val="en-GB"/>
              </w:rPr>
              <w:t xml:space="preserve"> (mix of grants and loans)</w:t>
            </w:r>
          </w:p>
        </w:tc>
      </w:tr>
      <w:tr w:rsidR="00EE0009" w:rsidRPr="00B71347" w14:paraId="076B25AB" w14:textId="77777777" w:rsidTr="006E2C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561A7C43" w14:textId="77777777" w:rsidR="00EE0009" w:rsidRPr="004408A1" w:rsidRDefault="00EE0009" w:rsidP="00CA0245">
            <w:pPr>
              <w:widowControl w:val="0"/>
              <w:autoSpaceDE w:val="0"/>
              <w:autoSpaceDN w:val="0"/>
              <w:adjustRightInd w:val="0"/>
              <w:rPr>
                <w:rFonts w:cs="Times New Roman"/>
                <w:sz w:val="20"/>
                <w:szCs w:val="20"/>
                <w:lang w:val="en-GB"/>
              </w:rPr>
            </w:pPr>
          </w:p>
        </w:tc>
        <w:tc>
          <w:tcPr>
            <w:tcW w:w="8824" w:type="dxa"/>
          </w:tcPr>
          <w:p w14:paraId="511E0323" w14:textId="77777777" w:rsidR="00EE0009" w:rsidRPr="004408A1" w:rsidRDefault="00EE0009" w:rsidP="00700497">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t>Neighbourhood Civil Society Facility</w:t>
            </w:r>
            <w:r w:rsidRPr="004408A1">
              <w:rPr>
                <w:rFonts w:cs="Times New Roman"/>
                <w:sz w:val="20"/>
                <w:szCs w:val="20"/>
                <w:lang w:val="en-GB"/>
              </w:rPr>
              <w:t xml:space="preserve">: </w:t>
            </w:r>
            <w:r w:rsidRPr="004408A1">
              <w:rPr>
                <w:rFonts w:cs="Verdana"/>
                <w:sz w:val="20"/>
                <w:szCs w:val="20"/>
                <w:lang w:val="en-GB"/>
              </w:rPr>
              <w:t>financial support to projects, capacity building, involvement in sector policy dialogues for civil society actors</w:t>
            </w:r>
          </w:p>
        </w:tc>
      </w:tr>
      <w:tr w:rsidR="00EE0009" w:rsidRPr="00B71347" w14:paraId="5F1CBE9B" w14:textId="77777777" w:rsidTr="006E2C3C">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689" w:type="dxa"/>
            <w:vMerge/>
          </w:tcPr>
          <w:p w14:paraId="3490BD54" w14:textId="77777777" w:rsidR="00EE0009" w:rsidRPr="004408A1" w:rsidRDefault="00EE0009" w:rsidP="00CA0245">
            <w:pPr>
              <w:widowControl w:val="0"/>
              <w:autoSpaceDE w:val="0"/>
              <w:autoSpaceDN w:val="0"/>
              <w:adjustRightInd w:val="0"/>
              <w:rPr>
                <w:rFonts w:cs="Times New Roman"/>
                <w:sz w:val="20"/>
                <w:szCs w:val="20"/>
                <w:lang w:val="en-GB"/>
              </w:rPr>
            </w:pPr>
          </w:p>
        </w:tc>
        <w:tc>
          <w:tcPr>
            <w:tcW w:w="8824" w:type="dxa"/>
          </w:tcPr>
          <w:p w14:paraId="2FBC1FCD" w14:textId="77777777" w:rsidR="00EE0009" w:rsidRPr="00B97B29" w:rsidRDefault="00EE0009" w:rsidP="00780B7D">
            <w:pPr>
              <w:widowControl w:val="0"/>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B97B29">
              <w:rPr>
                <w:rFonts w:cs="Times New Roman"/>
                <w:b/>
                <w:sz w:val="20"/>
                <w:szCs w:val="20"/>
                <w:lang w:val="en-GB"/>
              </w:rPr>
              <w:t>SIGMA</w:t>
            </w:r>
            <w:r w:rsidRPr="00B97B29">
              <w:rPr>
                <w:rFonts w:cs="Times New Roman"/>
                <w:sz w:val="20"/>
                <w:szCs w:val="20"/>
                <w:lang w:val="en-GB"/>
              </w:rPr>
              <w:t xml:space="preserve"> (Support for Improvement in Governance and Management): joint initiative </w:t>
            </w:r>
            <w:r w:rsidR="00700497" w:rsidRPr="00B97B29">
              <w:rPr>
                <w:rFonts w:cs="Times New Roman"/>
                <w:sz w:val="20"/>
                <w:szCs w:val="20"/>
                <w:lang w:val="en-GB"/>
              </w:rPr>
              <w:t xml:space="preserve">of the </w:t>
            </w:r>
            <w:r w:rsidRPr="00B97B29">
              <w:rPr>
                <w:rFonts w:cs="Times New Roman"/>
                <w:sz w:val="20"/>
                <w:szCs w:val="20"/>
                <w:lang w:val="en-GB"/>
              </w:rPr>
              <w:t>EU</w:t>
            </w:r>
            <w:r w:rsidR="00700497">
              <w:rPr>
                <w:rFonts w:cs="Times New Roman"/>
                <w:sz w:val="20"/>
                <w:szCs w:val="20"/>
                <w:lang w:val="en-GB"/>
              </w:rPr>
              <w:t xml:space="preserve"> and </w:t>
            </w:r>
            <w:r w:rsidRPr="00B97B29">
              <w:rPr>
                <w:rFonts w:cs="Times New Roman"/>
                <w:sz w:val="20"/>
                <w:szCs w:val="20"/>
                <w:lang w:val="en-GB"/>
              </w:rPr>
              <w:t>OECD provides technical support at national level</w:t>
            </w:r>
          </w:p>
        </w:tc>
      </w:tr>
      <w:tr w:rsidR="00BD571E" w:rsidRPr="00B71347" w14:paraId="5A587C05" w14:textId="77777777" w:rsidTr="006E2C3C">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val="restart"/>
          </w:tcPr>
          <w:p w14:paraId="6CC936EB" w14:textId="77777777" w:rsidR="00BD571E" w:rsidRPr="004408A1" w:rsidRDefault="00BD571E" w:rsidP="002F2B86">
            <w:pPr>
              <w:widowControl w:val="0"/>
              <w:autoSpaceDE w:val="0"/>
              <w:autoSpaceDN w:val="0"/>
              <w:adjustRightInd w:val="0"/>
              <w:rPr>
                <w:rFonts w:asciiTheme="minorHAnsi" w:hAnsiTheme="minorHAnsi" w:cs="Times New Roman"/>
                <w:sz w:val="20"/>
                <w:szCs w:val="20"/>
                <w:lang w:val="en-GB"/>
              </w:rPr>
            </w:pPr>
            <w:r w:rsidRPr="004408A1">
              <w:rPr>
                <w:rFonts w:asciiTheme="minorHAnsi" w:hAnsiTheme="minorHAnsi" w:cs="Times New Roman"/>
                <w:sz w:val="20"/>
                <w:szCs w:val="20"/>
                <w:lang w:val="en-GB"/>
              </w:rPr>
              <w:t>Cohesion Policy under European Structural and Investment Funds</w:t>
            </w:r>
          </w:p>
          <w:p w14:paraId="7E4CC3D0" w14:textId="77777777" w:rsidR="00BD571E" w:rsidRPr="00726B20" w:rsidRDefault="00BD571E" w:rsidP="002F2B86">
            <w:pPr>
              <w:widowControl w:val="0"/>
              <w:autoSpaceDE w:val="0"/>
              <w:autoSpaceDN w:val="0"/>
              <w:adjustRightInd w:val="0"/>
              <w:rPr>
                <w:rFonts w:asciiTheme="minorHAnsi" w:hAnsiTheme="minorHAnsi" w:cs="Times New Roman"/>
                <w:i/>
                <w:sz w:val="20"/>
                <w:szCs w:val="20"/>
              </w:rPr>
            </w:pPr>
            <w:r w:rsidRPr="00726B20">
              <w:rPr>
                <w:rFonts w:asciiTheme="minorHAnsi" w:hAnsiTheme="minorHAnsi" w:cs="Times New Roman"/>
                <w:i/>
                <w:sz w:val="20"/>
                <w:szCs w:val="20"/>
              </w:rPr>
              <w:t xml:space="preserve">EU </w:t>
            </w:r>
            <w:proofErr w:type="spellStart"/>
            <w:r w:rsidRPr="00726B20">
              <w:rPr>
                <w:rFonts w:asciiTheme="minorHAnsi" w:hAnsiTheme="minorHAnsi" w:cs="Times New Roman"/>
                <w:i/>
                <w:sz w:val="20"/>
                <w:szCs w:val="20"/>
              </w:rPr>
              <w:t>Member</w:t>
            </w:r>
            <w:proofErr w:type="spellEnd"/>
            <w:r w:rsidRPr="00726B20">
              <w:rPr>
                <w:rFonts w:asciiTheme="minorHAnsi" w:hAnsiTheme="minorHAnsi" w:cs="Times New Roman"/>
                <w:i/>
                <w:sz w:val="20"/>
                <w:szCs w:val="20"/>
              </w:rPr>
              <w:t xml:space="preserve"> </w:t>
            </w:r>
            <w:r w:rsidRPr="00726B20">
              <w:rPr>
                <w:rFonts w:asciiTheme="minorHAnsi" w:hAnsiTheme="minorHAnsi" w:cs="Times New Roman"/>
                <w:i/>
                <w:sz w:val="20"/>
                <w:szCs w:val="20"/>
              </w:rPr>
              <w:lastRenderedPageBreak/>
              <w:t>States</w:t>
            </w:r>
          </w:p>
        </w:tc>
        <w:tc>
          <w:tcPr>
            <w:tcW w:w="8824" w:type="dxa"/>
          </w:tcPr>
          <w:p w14:paraId="6200F8DF" w14:textId="77777777" w:rsidR="00BD571E" w:rsidRPr="004408A1" w:rsidRDefault="00BD571E" w:rsidP="00700497">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lastRenderedPageBreak/>
              <w:t>European Regional Development Fund (ERDF):</w:t>
            </w:r>
            <w:r w:rsidRPr="004408A1">
              <w:rPr>
                <w:rFonts w:ascii="Verdana" w:hAnsi="Verdana" w:cs="Verdana"/>
                <w:lang w:val="en-GB"/>
              </w:rPr>
              <w:t xml:space="preserve"> </w:t>
            </w:r>
            <w:r w:rsidRPr="004408A1">
              <w:rPr>
                <w:rFonts w:cs="Times New Roman"/>
                <w:sz w:val="20"/>
                <w:szCs w:val="20"/>
                <w:lang w:val="en-GB"/>
              </w:rPr>
              <w:t>investments in 2014-20 will be concentrated on 4 key priorities: innovation and research, ICT, support for SMEs and shift towards a low-carbon economy</w:t>
            </w:r>
          </w:p>
        </w:tc>
      </w:tr>
      <w:tr w:rsidR="00BD571E" w:rsidRPr="00B71347" w14:paraId="3E21B036" w14:textId="77777777" w:rsidTr="006E2C3C">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0F9AB312" w14:textId="77777777" w:rsidR="00BD571E" w:rsidRPr="004408A1" w:rsidRDefault="00BD571E" w:rsidP="002F2B86">
            <w:pPr>
              <w:widowControl w:val="0"/>
              <w:autoSpaceDE w:val="0"/>
              <w:autoSpaceDN w:val="0"/>
              <w:adjustRightInd w:val="0"/>
              <w:rPr>
                <w:rFonts w:asciiTheme="minorHAnsi" w:hAnsiTheme="minorHAnsi" w:cs="Times New Roman"/>
                <w:sz w:val="20"/>
                <w:szCs w:val="20"/>
                <w:lang w:val="en-GB"/>
              </w:rPr>
            </w:pPr>
          </w:p>
        </w:tc>
        <w:tc>
          <w:tcPr>
            <w:tcW w:w="8824" w:type="dxa"/>
          </w:tcPr>
          <w:p w14:paraId="3CD4788E" w14:textId="77777777" w:rsidR="00BD571E" w:rsidRPr="004408A1" w:rsidRDefault="00BD571E" w:rsidP="002F2B8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4408A1">
              <w:rPr>
                <w:rFonts w:cs="Times New Roman"/>
                <w:b/>
                <w:sz w:val="20"/>
                <w:szCs w:val="20"/>
                <w:lang w:val="en-GB"/>
              </w:rPr>
              <w:t>Cohesion Fund</w:t>
            </w:r>
            <w:r w:rsidRPr="004408A1">
              <w:rPr>
                <w:rFonts w:cs="Times New Roman"/>
                <w:sz w:val="20"/>
                <w:szCs w:val="20"/>
                <w:lang w:val="en-GB"/>
              </w:rPr>
              <w:t>: focused on priority Trans-European transport links and key environmental infrastructure projects</w:t>
            </w:r>
          </w:p>
        </w:tc>
      </w:tr>
      <w:tr w:rsidR="00BD571E" w:rsidRPr="00B71347" w14:paraId="40DF79CA" w14:textId="77777777" w:rsidTr="006E2C3C">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2D71CC2E" w14:textId="77777777" w:rsidR="00BD571E" w:rsidRPr="004408A1" w:rsidRDefault="00BD571E" w:rsidP="002F2B86">
            <w:pPr>
              <w:widowControl w:val="0"/>
              <w:autoSpaceDE w:val="0"/>
              <w:autoSpaceDN w:val="0"/>
              <w:adjustRightInd w:val="0"/>
              <w:rPr>
                <w:rFonts w:asciiTheme="minorHAnsi" w:hAnsiTheme="minorHAnsi" w:cs="Times New Roman"/>
                <w:sz w:val="20"/>
                <w:szCs w:val="20"/>
                <w:lang w:val="en-GB"/>
              </w:rPr>
            </w:pPr>
          </w:p>
        </w:tc>
        <w:tc>
          <w:tcPr>
            <w:tcW w:w="8824" w:type="dxa"/>
          </w:tcPr>
          <w:p w14:paraId="01B2BBE9" w14:textId="77777777" w:rsidR="00BD571E" w:rsidRPr="004408A1" w:rsidRDefault="00BD571E" w:rsidP="002F2B86">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t>European Social Fund (ESF)</w:t>
            </w:r>
            <w:r w:rsidRPr="004408A1">
              <w:rPr>
                <w:rFonts w:cs="Times New Roman"/>
                <w:sz w:val="20"/>
                <w:szCs w:val="20"/>
                <w:lang w:val="en-GB"/>
              </w:rPr>
              <w:t>: employment, education and social inclusion</w:t>
            </w:r>
          </w:p>
        </w:tc>
      </w:tr>
      <w:tr w:rsidR="00BD571E" w:rsidRPr="00B71347" w14:paraId="35E1D931" w14:textId="77777777" w:rsidTr="006E2C3C">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5850114D" w14:textId="77777777" w:rsidR="00BD571E" w:rsidRPr="004408A1" w:rsidRDefault="00BD571E" w:rsidP="002F2B86">
            <w:pPr>
              <w:widowControl w:val="0"/>
              <w:autoSpaceDE w:val="0"/>
              <w:autoSpaceDN w:val="0"/>
              <w:adjustRightInd w:val="0"/>
              <w:rPr>
                <w:rFonts w:asciiTheme="minorHAnsi" w:hAnsiTheme="minorHAnsi" w:cs="Times New Roman"/>
                <w:sz w:val="20"/>
                <w:szCs w:val="20"/>
                <w:lang w:val="en-GB"/>
              </w:rPr>
            </w:pPr>
          </w:p>
        </w:tc>
        <w:tc>
          <w:tcPr>
            <w:tcW w:w="8824" w:type="dxa"/>
          </w:tcPr>
          <w:p w14:paraId="12B49C6E" w14:textId="77777777" w:rsidR="00BD571E" w:rsidRPr="004408A1" w:rsidRDefault="00BD571E" w:rsidP="0070049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4408A1">
              <w:rPr>
                <w:rFonts w:cs="Times New Roman"/>
                <w:b/>
                <w:sz w:val="20"/>
                <w:szCs w:val="20"/>
                <w:lang w:val="en-GB"/>
              </w:rPr>
              <w:t>European Agricultural Fund for Rural Development</w:t>
            </w:r>
            <w:r w:rsidRPr="004408A1">
              <w:rPr>
                <w:rFonts w:cs="Times New Roman"/>
                <w:sz w:val="20"/>
                <w:szCs w:val="20"/>
                <w:lang w:val="en-GB"/>
              </w:rPr>
              <w:t xml:space="preserve">: finances rural development programmes </w:t>
            </w:r>
          </w:p>
        </w:tc>
      </w:tr>
      <w:tr w:rsidR="00BD571E" w:rsidRPr="00B71347" w14:paraId="11649EB5" w14:textId="77777777" w:rsidTr="006E2C3C">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vMerge/>
          </w:tcPr>
          <w:p w14:paraId="3455ED3D" w14:textId="77777777" w:rsidR="00BD571E" w:rsidRPr="004408A1" w:rsidRDefault="00BD571E" w:rsidP="002F2B86">
            <w:pPr>
              <w:widowControl w:val="0"/>
              <w:autoSpaceDE w:val="0"/>
              <w:autoSpaceDN w:val="0"/>
              <w:adjustRightInd w:val="0"/>
              <w:rPr>
                <w:rFonts w:asciiTheme="minorHAnsi" w:hAnsiTheme="minorHAnsi" w:cs="Times New Roman"/>
                <w:sz w:val="20"/>
                <w:szCs w:val="20"/>
                <w:lang w:val="en-GB"/>
              </w:rPr>
            </w:pPr>
          </w:p>
        </w:tc>
        <w:tc>
          <w:tcPr>
            <w:tcW w:w="8824" w:type="dxa"/>
          </w:tcPr>
          <w:p w14:paraId="5F7B1F17" w14:textId="77777777" w:rsidR="00BD571E" w:rsidRPr="004408A1" w:rsidRDefault="00BD571E" w:rsidP="00700497">
            <w:pPr>
              <w:widowControl w:val="0"/>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4408A1">
              <w:rPr>
                <w:rFonts w:cs="Times New Roman"/>
                <w:b/>
                <w:sz w:val="20"/>
                <w:szCs w:val="20"/>
                <w:lang w:val="en-GB"/>
              </w:rPr>
              <w:t xml:space="preserve">European </w:t>
            </w:r>
            <w:r w:rsidR="00071A17">
              <w:rPr>
                <w:rFonts w:cs="Times New Roman"/>
                <w:b/>
                <w:sz w:val="20"/>
                <w:szCs w:val="20"/>
                <w:lang w:val="en-GB"/>
              </w:rPr>
              <w:t>Maritime and Fisheries Fund (EMF</w:t>
            </w:r>
            <w:r w:rsidRPr="004408A1">
              <w:rPr>
                <w:rFonts w:cs="Times New Roman"/>
                <w:b/>
                <w:sz w:val="20"/>
                <w:szCs w:val="20"/>
                <w:lang w:val="en-GB"/>
              </w:rPr>
              <w:t>F)</w:t>
            </w:r>
            <w:r w:rsidRPr="004408A1">
              <w:rPr>
                <w:rFonts w:cs="Times New Roman"/>
                <w:sz w:val="20"/>
                <w:szCs w:val="20"/>
                <w:lang w:val="en-GB"/>
              </w:rPr>
              <w:t>: priorities for 2014-20 are to help fishermen in the transition to sustainable fishing, to support coastal communities in diversifying their economies, to finance projects that create new jobs and improve quality of life along European coasts and to make it easier to access financing</w:t>
            </w:r>
          </w:p>
        </w:tc>
      </w:tr>
      <w:tr w:rsidR="00BD571E" w:rsidRPr="00B71347" w14:paraId="545879E6" w14:textId="77777777" w:rsidTr="006E2C3C">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shd w:val="clear" w:color="auto" w:fill="FFFFFF" w:themeFill="background1"/>
          </w:tcPr>
          <w:p w14:paraId="5C294810" w14:textId="77777777" w:rsidR="00BD571E" w:rsidRPr="00726B20" w:rsidRDefault="00BD571E" w:rsidP="002F2B86">
            <w:pPr>
              <w:widowControl w:val="0"/>
              <w:autoSpaceDE w:val="0"/>
              <w:autoSpaceDN w:val="0"/>
              <w:adjustRightInd w:val="0"/>
              <w:ind w:right="504"/>
              <w:rPr>
                <w:rFonts w:asciiTheme="minorHAnsi" w:hAnsiTheme="minorHAnsi" w:cs="Times New Roman"/>
                <w:sz w:val="20"/>
                <w:szCs w:val="20"/>
              </w:rPr>
            </w:pPr>
            <w:r w:rsidRPr="00726B20">
              <w:rPr>
                <w:rFonts w:asciiTheme="minorHAnsi" w:hAnsiTheme="minorHAnsi" w:cs="Times New Roman"/>
                <w:sz w:val="20"/>
                <w:szCs w:val="20"/>
              </w:rPr>
              <w:t xml:space="preserve">Instrument for </w:t>
            </w:r>
            <w:proofErr w:type="spellStart"/>
            <w:r w:rsidRPr="00726B20">
              <w:rPr>
                <w:rFonts w:asciiTheme="minorHAnsi" w:hAnsiTheme="minorHAnsi" w:cs="Times New Roman"/>
                <w:sz w:val="20"/>
                <w:szCs w:val="20"/>
              </w:rPr>
              <w:t>pre</w:t>
            </w:r>
            <w:proofErr w:type="spellEnd"/>
            <w:r w:rsidRPr="00726B20">
              <w:rPr>
                <w:rFonts w:asciiTheme="minorHAnsi" w:hAnsiTheme="minorHAnsi" w:cs="Times New Roman"/>
                <w:sz w:val="20"/>
                <w:szCs w:val="20"/>
              </w:rPr>
              <w:t xml:space="preserve">-accession </w:t>
            </w:r>
            <w:r>
              <w:rPr>
                <w:rFonts w:asciiTheme="minorHAnsi" w:hAnsiTheme="minorHAnsi" w:cs="Times New Roman"/>
                <w:sz w:val="20"/>
                <w:szCs w:val="20"/>
              </w:rPr>
              <w:t>(IPA)</w:t>
            </w:r>
          </w:p>
          <w:p w14:paraId="36BE8480" w14:textId="77777777" w:rsidR="00BD571E" w:rsidRPr="00726B20" w:rsidRDefault="00BD571E" w:rsidP="002F2B86">
            <w:pPr>
              <w:widowControl w:val="0"/>
              <w:autoSpaceDE w:val="0"/>
              <w:autoSpaceDN w:val="0"/>
              <w:adjustRightInd w:val="0"/>
              <w:rPr>
                <w:rFonts w:asciiTheme="minorHAnsi" w:hAnsiTheme="minorHAnsi" w:cs="Times New Roman"/>
                <w:i/>
                <w:sz w:val="20"/>
                <w:szCs w:val="20"/>
              </w:rPr>
            </w:pPr>
            <w:proofErr w:type="spellStart"/>
            <w:r w:rsidRPr="00726B20">
              <w:rPr>
                <w:rFonts w:asciiTheme="minorHAnsi" w:hAnsiTheme="minorHAnsi" w:cs="Times New Roman"/>
                <w:i/>
                <w:sz w:val="20"/>
                <w:szCs w:val="20"/>
              </w:rPr>
              <w:t>Turkey</w:t>
            </w:r>
            <w:proofErr w:type="spellEnd"/>
          </w:p>
        </w:tc>
        <w:tc>
          <w:tcPr>
            <w:tcW w:w="8824" w:type="dxa"/>
          </w:tcPr>
          <w:p w14:paraId="45EDF18D" w14:textId="77777777" w:rsidR="00BD571E" w:rsidRPr="004408A1" w:rsidRDefault="00A21D1A" w:rsidP="00700497">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A21D1A">
              <w:rPr>
                <w:rFonts w:cs="Times New Roman"/>
                <w:sz w:val="20"/>
                <w:szCs w:val="20"/>
                <w:lang w:val="en-GB"/>
              </w:rPr>
              <w:t>For</w:t>
            </w:r>
            <w:r>
              <w:rPr>
                <w:rFonts w:cs="Times New Roman"/>
                <w:sz w:val="20"/>
                <w:szCs w:val="20"/>
                <w:lang w:val="en-GB"/>
              </w:rPr>
              <w:t xml:space="preserve"> the</w:t>
            </w:r>
            <w:r w:rsidRPr="00A21D1A">
              <w:rPr>
                <w:rFonts w:cs="Times New Roman"/>
                <w:sz w:val="20"/>
                <w:szCs w:val="20"/>
                <w:lang w:val="en-GB"/>
              </w:rPr>
              <w:t xml:space="preserve"> 2014-2020 period</w:t>
            </w:r>
            <w:r w:rsidR="00EA2E75">
              <w:rPr>
                <w:rFonts w:cs="Times New Roman"/>
                <w:sz w:val="20"/>
                <w:szCs w:val="20"/>
                <w:lang w:val="en-GB"/>
              </w:rPr>
              <w:t>, f</w:t>
            </w:r>
            <w:r w:rsidRPr="00A21D1A">
              <w:rPr>
                <w:rFonts w:cs="Times New Roman"/>
                <w:sz w:val="20"/>
                <w:szCs w:val="20"/>
                <w:lang w:val="en-GB"/>
              </w:rPr>
              <w:t xml:space="preserve">inancing under IPA is provided through </w:t>
            </w:r>
            <w:r w:rsidR="00D96F22">
              <w:rPr>
                <w:rFonts w:cs="Times New Roman"/>
                <w:sz w:val="20"/>
                <w:szCs w:val="20"/>
                <w:lang w:val="en-GB"/>
              </w:rPr>
              <w:t xml:space="preserve">the following </w:t>
            </w:r>
            <w:r w:rsidR="00720DA8">
              <w:rPr>
                <w:rFonts w:cs="Times New Roman"/>
                <w:sz w:val="20"/>
                <w:szCs w:val="20"/>
                <w:lang w:val="en-GB"/>
              </w:rPr>
              <w:t>policy areas</w:t>
            </w:r>
            <w:r w:rsidR="00146712">
              <w:rPr>
                <w:rFonts w:cs="Times New Roman"/>
                <w:sz w:val="20"/>
                <w:szCs w:val="20"/>
                <w:lang w:val="en-GB"/>
              </w:rPr>
              <w:t>:</w:t>
            </w:r>
            <w:r w:rsidRPr="00A21D1A">
              <w:rPr>
                <w:rFonts w:cs="Times New Roman"/>
                <w:sz w:val="20"/>
                <w:szCs w:val="20"/>
                <w:lang w:val="en-GB"/>
              </w:rPr>
              <w:t xml:space="preserve"> 1)</w:t>
            </w:r>
            <w:r w:rsidR="00720DA8">
              <w:rPr>
                <w:rFonts w:cs="Times New Roman"/>
                <w:sz w:val="20"/>
                <w:szCs w:val="20"/>
                <w:lang w:val="en-GB"/>
              </w:rPr>
              <w:t xml:space="preserve"> R</w:t>
            </w:r>
            <w:r w:rsidRPr="00A21D1A">
              <w:rPr>
                <w:rFonts w:cs="Times New Roman"/>
                <w:sz w:val="20"/>
                <w:szCs w:val="20"/>
                <w:lang w:val="en-GB"/>
              </w:rPr>
              <w:t>eforms in preparation for Union mem</w:t>
            </w:r>
            <w:r w:rsidR="00720DA8">
              <w:rPr>
                <w:rFonts w:cs="Times New Roman"/>
                <w:sz w:val="20"/>
                <w:szCs w:val="20"/>
                <w:lang w:val="en-GB"/>
              </w:rPr>
              <w:t>bership and related institution</w:t>
            </w:r>
            <w:r w:rsidRPr="00A21D1A">
              <w:rPr>
                <w:rFonts w:cs="Times New Roman"/>
                <w:sz w:val="20"/>
                <w:szCs w:val="20"/>
                <w:lang w:val="en-GB"/>
              </w:rPr>
              <w:t xml:space="preserve"> and capacity-building, 2)</w:t>
            </w:r>
            <w:r w:rsidR="00720DA8">
              <w:rPr>
                <w:rFonts w:cs="Times New Roman"/>
                <w:sz w:val="20"/>
                <w:szCs w:val="20"/>
                <w:lang w:val="en-GB"/>
              </w:rPr>
              <w:t xml:space="preserve"> S</w:t>
            </w:r>
            <w:r w:rsidRPr="00A21D1A">
              <w:rPr>
                <w:rFonts w:cs="Times New Roman"/>
                <w:sz w:val="20"/>
                <w:szCs w:val="20"/>
                <w:lang w:val="en-GB"/>
              </w:rPr>
              <w:t>ocio-economic and regional development, 3)</w:t>
            </w:r>
            <w:r w:rsidR="00720DA8">
              <w:rPr>
                <w:rFonts w:cs="Times New Roman"/>
                <w:sz w:val="20"/>
                <w:szCs w:val="20"/>
                <w:lang w:val="en-GB"/>
              </w:rPr>
              <w:t xml:space="preserve"> E</w:t>
            </w:r>
            <w:r w:rsidRPr="00A21D1A">
              <w:rPr>
                <w:rFonts w:cs="Times New Roman"/>
                <w:sz w:val="20"/>
                <w:szCs w:val="20"/>
                <w:lang w:val="en-GB"/>
              </w:rPr>
              <w:t>mployment, social policies, educatio</w:t>
            </w:r>
            <w:r w:rsidR="0067084D">
              <w:rPr>
                <w:rFonts w:cs="Times New Roman"/>
                <w:sz w:val="20"/>
                <w:szCs w:val="20"/>
                <w:lang w:val="en-GB"/>
              </w:rPr>
              <w:t>n, promotion of gender equality</w:t>
            </w:r>
            <w:r w:rsidRPr="00A21D1A">
              <w:rPr>
                <w:rFonts w:cs="Times New Roman"/>
                <w:sz w:val="20"/>
                <w:szCs w:val="20"/>
                <w:lang w:val="en-GB"/>
              </w:rPr>
              <w:t xml:space="preserve"> and human resources development, 4)</w:t>
            </w:r>
            <w:r w:rsidR="00720DA8">
              <w:rPr>
                <w:rFonts w:cs="Times New Roman"/>
                <w:sz w:val="20"/>
                <w:szCs w:val="20"/>
                <w:lang w:val="en-GB"/>
              </w:rPr>
              <w:t xml:space="preserve"> A</w:t>
            </w:r>
            <w:r w:rsidRPr="00A21D1A">
              <w:rPr>
                <w:rFonts w:cs="Times New Roman"/>
                <w:sz w:val="20"/>
                <w:szCs w:val="20"/>
                <w:lang w:val="en-GB"/>
              </w:rPr>
              <w:t>griculture and rural development; 5)</w:t>
            </w:r>
            <w:r w:rsidR="00720DA8">
              <w:rPr>
                <w:rFonts w:cs="Times New Roman"/>
                <w:sz w:val="20"/>
                <w:szCs w:val="20"/>
                <w:lang w:val="en-GB"/>
              </w:rPr>
              <w:t xml:space="preserve"> R</w:t>
            </w:r>
            <w:r w:rsidRPr="00A21D1A">
              <w:rPr>
                <w:rFonts w:cs="Times New Roman"/>
                <w:sz w:val="20"/>
                <w:szCs w:val="20"/>
                <w:lang w:val="en-GB"/>
              </w:rPr>
              <w:t>egional and territorial cooperation</w:t>
            </w:r>
          </w:p>
        </w:tc>
      </w:tr>
    </w:tbl>
    <w:p w14:paraId="614957ED" w14:textId="77777777" w:rsidR="002E3758" w:rsidRDefault="005C4840" w:rsidP="0020166B">
      <w:pPr>
        <w:rPr>
          <w:rFonts w:eastAsia="Times New Roman" w:cs="Times New Roman"/>
          <w:i/>
          <w:color w:val="000000"/>
          <w:sz w:val="22"/>
          <w:szCs w:val="22"/>
          <w:lang w:val="en-GB"/>
        </w:rPr>
      </w:pPr>
      <w:proofErr w:type="gramStart"/>
      <w:r>
        <w:rPr>
          <w:rFonts w:eastAsia="Times New Roman" w:cs="Times New Roman"/>
          <w:i/>
          <w:color w:val="000000"/>
          <w:sz w:val="22"/>
          <w:szCs w:val="22"/>
          <w:lang w:val="en-GB"/>
        </w:rPr>
        <w:t>Table 3</w:t>
      </w:r>
      <w:r w:rsidR="002E3758" w:rsidRPr="004B58D3">
        <w:rPr>
          <w:rFonts w:eastAsia="Times New Roman" w:cs="Times New Roman"/>
          <w:i/>
          <w:color w:val="000000"/>
          <w:sz w:val="22"/>
          <w:szCs w:val="22"/>
          <w:lang w:val="en-GB"/>
        </w:rPr>
        <w:t>.</w:t>
      </w:r>
      <w:proofErr w:type="gramEnd"/>
      <w:r w:rsidR="002E3758" w:rsidRPr="004B58D3">
        <w:rPr>
          <w:rFonts w:eastAsia="Times New Roman" w:cs="Times New Roman"/>
          <w:i/>
          <w:color w:val="000000"/>
          <w:sz w:val="22"/>
          <w:szCs w:val="22"/>
          <w:lang w:val="en-GB"/>
        </w:rPr>
        <w:t xml:space="preserve"> </w:t>
      </w:r>
      <w:r w:rsidR="00755312">
        <w:rPr>
          <w:rFonts w:eastAsia="Times New Roman" w:cs="Times New Roman"/>
          <w:i/>
          <w:color w:val="000000"/>
          <w:sz w:val="22"/>
          <w:szCs w:val="22"/>
          <w:lang w:val="en-GB"/>
        </w:rPr>
        <w:t>O</w:t>
      </w:r>
      <w:r w:rsidR="00C55FD8">
        <w:rPr>
          <w:rFonts w:eastAsia="Times New Roman" w:cs="Times New Roman"/>
          <w:i/>
          <w:color w:val="000000"/>
          <w:sz w:val="22"/>
          <w:szCs w:val="22"/>
          <w:lang w:val="en-GB"/>
        </w:rPr>
        <w:t>verview of o</w:t>
      </w:r>
      <w:r w:rsidR="00755312">
        <w:rPr>
          <w:rFonts w:eastAsia="Times New Roman" w:cs="Times New Roman"/>
          <w:i/>
          <w:color w:val="000000"/>
          <w:sz w:val="22"/>
          <w:szCs w:val="22"/>
          <w:lang w:val="en-GB"/>
        </w:rPr>
        <w:t>ther</w:t>
      </w:r>
      <w:r w:rsidR="000C0E7C">
        <w:rPr>
          <w:rFonts w:eastAsia="Times New Roman" w:cs="Times New Roman"/>
          <w:i/>
          <w:color w:val="000000"/>
          <w:sz w:val="22"/>
          <w:szCs w:val="22"/>
          <w:lang w:val="en-GB"/>
        </w:rPr>
        <w:t xml:space="preserve"> </w:t>
      </w:r>
      <w:r w:rsidR="002E3758" w:rsidRPr="002E3758">
        <w:rPr>
          <w:rFonts w:eastAsia="Times New Roman" w:cs="Times New Roman"/>
          <w:i/>
          <w:color w:val="000000"/>
          <w:sz w:val="22"/>
          <w:szCs w:val="22"/>
          <w:lang w:val="en-GB"/>
        </w:rPr>
        <w:t>EU</w:t>
      </w:r>
      <w:r w:rsidR="00A17CA5">
        <w:rPr>
          <w:rFonts w:eastAsia="Times New Roman" w:cs="Times New Roman"/>
          <w:i/>
          <w:color w:val="000000"/>
          <w:sz w:val="22"/>
          <w:szCs w:val="22"/>
          <w:lang w:val="en-GB"/>
        </w:rPr>
        <w:t xml:space="preserve"> financial</w:t>
      </w:r>
      <w:r w:rsidR="002E3758" w:rsidRPr="002E3758">
        <w:rPr>
          <w:rFonts w:eastAsia="Times New Roman" w:cs="Times New Roman"/>
          <w:i/>
          <w:color w:val="000000"/>
          <w:sz w:val="22"/>
          <w:szCs w:val="22"/>
          <w:lang w:val="en-GB"/>
        </w:rPr>
        <w:t xml:space="preserve"> instruments for cooperation and regional development in Black Sea Basin countries </w:t>
      </w:r>
    </w:p>
    <w:p w14:paraId="55BF041A" w14:textId="77777777" w:rsidR="002F2B86" w:rsidRDefault="002F2B86" w:rsidP="00EE604A">
      <w:pPr>
        <w:spacing w:before="120" w:after="0" w:line="264" w:lineRule="auto"/>
        <w:jc w:val="both"/>
        <w:rPr>
          <w:sz w:val="22"/>
          <w:szCs w:val="22"/>
          <w:lang w:val="en-GB"/>
        </w:rPr>
      </w:pPr>
      <w:proofErr w:type="gramStart"/>
      <w:r w:rsidRPr="00762489">
        <w:rPr>
          <w:b/>
          <w:sz w:val="22"/>
          <w:szCs w:val="22"/>
          <w:lang w:val="en-GB"/>
        </w:rPr>
        <w:t xml:space="preserve">Thematic </w:t>
      </w:r>
      <w:r w:rsidR="00700497">
        <w:rPr>
          <w:b/>
          <w:sz w:val="22"/>
          <w:szCs w:val="22"/>
          <w:lang w:val="en-GB"/>
        </w:rPr>
        <w:t>O</w:t>
      </w:r>
      <w:r w:rsidRPr="00762489">
        <w:rPr>
          <w:b/>
          <w:sz w:val="22"/>
          <w:szCs w:val="22"/>
          <w:lang w:val="en-GB"/>
        </w:rPr>
        <w:t>bjective 1</w:t>
      </w:r>
      <w:r w:rsidR="00762489" w:rsidRPr="00762489">
        <w:rPr>
          <w:b/>
          <w:sz w:val="22"/>
          <w:szCs w:val="22"/>
          <w:lang w:val="en-GB"/>
        </w:rPr>
        <w:t>.</w:t>
      </w:r>
      <w:proofErr w:type="gramEnd"/>
      <w:r w:rsidR="003B47D1">
        <w:rPr>
          <w:sz w:val="22"/>
          <w:szCs w:val="22"/>
          <w:lang w:val="en-GB"/>
        </w:rPr>
        <w:t xml:space="preserve"> EU </w:t>
      </w:r>
      <w:r w:rsidR="0071274A">
        <w:rPr>
          <w:sz w:val="22"/>
          <w:szCs w:val="22"/>
          <w:lang w:val="en-GB"/>
        </w:rPr>
        <w:t xml:space="preserve">cooperation </w:t>
      </w:r>
      <w:r w:rsidR="003B47D1">
        <w:rPr>
          <w:sz w:val="22"/>
          <w:szCs w:val="22"/>
          <w:lang w:val="en-GB"/>
        </w:rPr>
        <w:t xml:space="preserve">programmes </w:t>
      </w:r>
      <w:r w:rsidR="00431F0E">
        <w:rPr>
          <w:sz w:val="22"/>
          <w:szCs w:val="22"/>
          <w:lang w:val="en-GB"/>
        </w:rPr>
        <w:t xml:space="preserve">focus mostly on SME development and technical assistance, leaving a </w:t>
      </w:r>
      <w:r w:rsidR="00130E73">
        <w:rPr>
          <w:sz w:val="22"/>
          <w:szCs w:val="22"/>
          <w:lang w:val="en-GB"/>
        </w:rPr>
        <w:t xml:space="preserve">broad </w:t>
      </w:r>
      <w:r w:rsidR="00431F0E">
        <w:rPr>
          <w:sz w:val="22"/>
          <w:szCs w:val="22"/>
          <w:lang w:val="en-GB"/>
        </w:rPr>
        <w:t xml:space="preserve">scope for </w:t>
      </w:r>
      <w:r w:rsidR="00520858">
        <w:rPr>
          <w:sz w:val="22"/>
          <w:szCs w:val="22"/>
          <w:lang w:val="en-GB"/>
        </w:rPr>
        <w:t xml:space="preserve">the development of </w:t>
      </w:r>
      <w:r w:rsidR="00900DF8">
        <w:rPr>
          <w:sz w:val="22"/>
          <w:szCs w:val="22"/>
          <w:lang w:val="en-GB"/>
        </w:rPr>
        <w:t xml:space="preserve">non-overlapping </w:t>
      </w:r>
      <w:r w:rsidR="00431F0E">
        <w:rPr>
          <w:sz w:val="22"/>
          <w:szCs w:val="22"/>
          <w:lang w:val="en-GB"/>
        </w:rPr>
        <w:t>cooperation opportunities</w:t>
      </w:r>
      <w:r w:rsidR="006F2CB2">
        <w:rPr>
          <w:sz w:val="22"/>
          <w:szCs w:val="22"/>
          <w:lang w:val="en-GB"/>
        </w:rPr>
        <w:t xml:space="preserve"> within the Black Sea Basin priorities</w:t>
      </w:r>
      <w:r w:rsidR="00BB3ADD">
        <w:rPr>
          <w:sz w:val="22"/>
          <w:szCs w:val="22"/>
          <w:lang w:val="en-GB"/>
        </w:rPr>
        <w:t xml:space="preserve">, as identified </w:t>
      </w:r>
      <w:r w:rsidR="00130E73">
        <w:rPr>
          <w:sz w:val="22"/>
          <w:szCs w:val="22"/>
          <w:lang w:val="en-GB"/>
        </w:rPr>
        <w:t>in the</w:t>
      </w:r>
      <w:r w:rsidR="00BB3ADD">
        <w:rPr>
          <w:sz w:val="22"/>
          <w:szCs w:val="22"/>
          <w:lang w:val="en-GB"/>
        </w:rPr>
        <w:t xml:space="preserve"> analyses</w:t>
      </w:r>
      <w:r w:rsidR="000E4A5C">
        <w:rPr>
          <w:sz w:val="22"/>
          <w:szCs w:val="22"/>
          <w:lang w:val="en-GB"/>
        </w:rPr>
        <w:t xml:space="preserve"> and during the consultations</w:t>
      </w:r>
      <w:r w:rsidR="00B6456E">
        <w:rPr>
          <w:sz w:val="22"/>
          <w:szCs w:val="22"/>
          <w:lang w:val="en-GB"/>
        </w:rPr>
        <w:t xml:space="preserve"> (notably tourism, etc.)</w:t>
      </w:r>
      <w:r w:rsidR="00431F0E">
        <w:rPr>
          <w:sz w:val="22"/>
          <w:szCs w:val="22"/>
          <w:lang w:val="en-GB"/>
        </w:rPr>
        <w:t>.</w:t>
      </w:r>
      <w:r w:rsidR="003B47D1">
        <w:rPr>
          <w:sz w:val="22"/>
          <w:szCs w:val="22"/>
          <w:lang w:val="en-GB"/>
        </w:rPr>
        <w:t xml:space="preserve"> </w:t>
      </w:r>
    </w:p>
    <w:p w14:paraId="1C0D2D98" w14:textId="77777777" w:rsidR="00130E73" w:rsidRDefault="003B47D1" w:rsidP="00EE604A">
      <w:pPr>
        <w:spacing w:before="120" w:after="0" w:line="264" w:lineRule="auto"/>
        <w:jc w:val="both"/>
        <w:rPr>
          <w:sz w:val="22"/>
          <w:szCs w:val="22"/>
          <w:lang w:val="en-GB"/>
        </w:rPr>
      </w:pPr>
      <w:proofErr w:type="gramStart"/>
      <w:r w:rsidRPr="00762489">
        <w:rPr>
          <w:b/>
          <w:sz w:val="22"/>
          <w:szCs w:val="22"/>
          <w:lang w:val="en-GB"/>
        </w:rPr>
        <w:t xml:space="preserve">Thematic </w:t>
      </w:r>
      <w:r w:rsidR="00700497">
        <w:rPr>
          <w:b/>
          <w:sz w:val="22"/>
          <w:szCs w:val="22"/>
          <w:lang w:val="en-GB"/>
        </w:rPr>
        <w:t>O</w:t>
      </w:r>
      <w:r w:rsidR="00762489" w:rsidRPr="00762489">
        <w:rPr>
          <w:b/>
          <w:sz w:val="22"/>
          <w:szCs w:val="22"/>
          <w:lang w:val="en-GB"/>
        </w:rPr>
        <w:t>bjective 2.</w:t>
      </w:r>
      <w:proofErr w:type="gramEnd"/>
      <w:r w:rsidR="00762489">
        <w:rPr>
          <w:sz w:val="22"/>
          <w:szCs w:val="22"/>
          <w:lang w:val="en-GB"/>
        </w:rPr>
        <w:t xml:space="preserve"> S</w:t>
      </w:r>
      <w:r w:rsidR="00C7790A">
        <w:rPr>
          <w:sz w:val="22"/>
          <w:szCs w:val="22"/>
          <w:lang w:val="en-GB"/>
        </w:rPr>
        <w:t>everal partnership programmes (</w:t>
      </w:r>
      <w:r w:rsidR="00C7790A" w:rsidRPr="00B555DB">
        <w:rPr>
          <w:i/>
          <w:sz w:val="22"/>
          <w:szCs w:val="22"/>
          <w:lang w:val="en-GB"/>
        </w:rPr>
        <w:t>Horizon 2020, Erasmus+)</w:t>
      </w:r>
      <w:r w:rsidR="00C7790A">
        <w:rPr>
          <w:sz w:val="22"/>
          <w:szCs w:val="22"/>
          <w:lang w:val="en-GB"/>
        </w:rPr>
        <w:t xml:space="preserve"> provide </w:t>
      </w:r>
      <w:r w:rsidR="003979A7">
        <w:rPr>
          <w:sz w:val="22"/>
          <w:szCs w:val="22"/>
          <w:lang w:val="en-GB"/>
        </w:rPr>
        <w:t xml:space="preserve">suitable </w:t>
      </w:r>
      <w:r w:rsidR="00C7790A">
        <w:rPr>
          <w:sz w:val="22"/>
          <w:szCs w:val="22"/>
          <w:lang w:val="en-GB"/>
        </w:rPr>
        <w:t xml:space="preserve">funding for </w:t>
      </w:r>
      <w:r w:rsidR="001C45AC">
        <w:rPr>
          <w:sz w:val="22"/>
          <w:szCs w:val="22"/>
          <w:lang w:val="en-GB"/>
        </w:rPr>
        <w:t>cooperation in the field of research and innovation</w:t>
      </w:r>
      <w:r w:rsidR="007375C6">
        <w:rPr>
          <w:sz w:val="22"/>
          <w:szCs w:val="22"/>
          <w:lang w:val="en-GB"/>
        </w:rPr>
        <w:t xml:space="preserve"> within the Black Sea Basin</w:t>
      </w:r>
      <w:r w:rsidR="001C45AC">
        <w:rPr>
          <w:sz w:val="22"/>
          <w:szCs w:val="22"/>
          <w:lang w:val="en-GB"/>
        </w:rPr>
        <w:t xml:space="preserve">, including </w:t>
      </w:r>
      <w:r w:rsidR="003979A7">
        <w:rPr>
          <w:sz w:val="22"/>
          <w:szCs w:val="22"/>
          <w:lang w:val="en-GB"/>
        </w:rPr>
        <w:t xml:space="preserve">exchange of students and searchers </w:t>
      </w:r>
      <w:r w:rsidR="001C45AC">
        <w:rPr>
          <w:sz w:val="22"/>
          <w:szCs w:val="22"/>
          <w:lang w:val="en-GB"/>
        </w:rPr>
        <w:t xml:space="preserve">and </w:t>
      </w:r>
      <w:r w:rsidR="007375C6">
        <w:rPr>
          <w:sz w:val="22"/>
          <w:szCs w:val="22"/>
          <w:lang w:val="en-GB"/>
        </w:rPr>
        <w:t>establish</w:t>
      </w:r>
      <w:r w:rsidR="00AD363A">
        <w:rPr>
          <w:sz w:val="22"/>
          <w:szCs w:val="22"/>
          <w:lang w:val="en-GB"/>
        </w:rPr>
        <w:t xml:space="preserve">ment of </w:t>
      </w:r>
      <w:r w:rsidR="001C45AC">
        <w:rPr>
          <w:sz w:val="22"/>
          <w:szCs w:val="22"/>
          <w:lang w:val="en-GB"/>
        </w:rPr>
        <w:t>partnerships</w:t>
      </w:r>
      <w:r w:rsidR="00AD363A">
        <w:rPr>
          <w:sz w:val="22"/>
          <w:szCs w:val="22"/>
          <w:lang w:val="en-GB"/>
        </w:rPr>
        <w:t xml:space="preserve"> between</w:t>
      </w:r>
      <w:r w:rsidR="003979A7">
        <w:rPr>
          <w:sz w:val="22"/>
          <w:szCs w:val="22"/>
          <w:lang w:val="en-GB"/>
        </w:rPr>
        <w:t xml:space="preserve"> </w:t>
      </w:r>
      <w:r w:rsidR="007375C6">
        <w:rPr>
          <w:sz w:val="22"/>
          <w:szCs w:val="22"/>
          <w:lang w:val="en-GB"/>
        </w:rPr>
        <w:t xml:space="preserve">education </w:t>
      </w:r>
      <w:r w:rsidR="00AD363A">
        <w:rPr>
          <w:sz w:val="22"/>
          <w:szCs w:val="22"/>
          <w:lang w:val="en-GB"/>
        </w:rPr>
        <w:t>and research centres</w:t>
      </w:r>
      <w:r w:rsidR="003979A7">
        <w:rPr>
          <w:sz w:val="22"/>
          <w:szCs w:val="22"/>
          <w:lang w:val="en-GB"/>
        </w:rPr>
        <w:t>.</w:t>
      </w:r>
      <w:r w:rsidR="00664BBB">
        <w:rPr>
          <w:sz w:val="22"/>
          <w:szCs w:val="22"/>
          <w:lang w:val="en-GB"/>
        </w:rPr>
        <w:t xml:space="preserve"> The inclusion of </w:t>
      </w:r>
      <w:r w:rsidR="00130E73">
        <w:rPr>
          <w:sz w:val="22"/>
          <w:szCs w:val="22"/>
          <w:lang w:val="en-GB"/>
        </w:rPr>
        <w:t>T</w:t>
      </w:r>
      <w:r w:rsidR="00664BBB">
        <w:rPr>
          <w:sz w:val="22"/>
          <w:szCs w:val="22"/>
          <w:lang w:val="en-GB"/>
        </w:rPr>
        <w:t xml:space="preserve">hematic </w:t>
      </w:r>
      <w:r w:rsidR="00130E73">
        <w:rPr>
          <w:sz w:val="22"/>
          <w:szCs w:val="22"/>
          <w:lang w:val="en-GB"/>
        </w:rPr>
        <w:t>O</w:t>
      </w:r>
      <w:r w:rsidR="00664BBB">
        <w:rPr>
          <w:sz w:val="22"/>
          <w:szCs w:val="22"/>
          <w:lang w:val="en-GB"/>
        </w:rPr>
        <w:t xml:space="preserve">bjective 2 </w:t>
      </w:r>
      <w:r w:rsidR="00641F28">
        <w:rPr>
          <w:sz w:val="22"/>
          <w:szCs w:val="22"/>
          <w:lang w:val="en-GB"/>
        </w:rPr>
        <w:t xml:space="preserve">therefore </w:t>
      </w:r>
      <w:r w:rsidR="00C83975">
        <w:rPr>
          <w:sz w:val="22"/>
          <w:szCs w:val="22"/>
          <w:lang w:val="en-GB"/>
        </w:rPr>
        <w:t>does not appear full</w:t>
      </w:r>
      <w:r w:rsidR="0093797C">
        <w:rPr>
          <w:sz w:val="22"/>
          <w:szCs w:val="22"/>
          <w:lang w:val="en-GB"/>
        </w:rPr>
        <w:t>y</w:t>
      </w:r>
      <w:r w:rsidR="00664BBB">
        <w:rPr>
          <w:sz w:val="22"/>
          <w:szCs w:val="22"/>
          <w:lang w:val="en-GB"/>
        </w:rPr>
        <w:t xml:space="preserve"> justified.</w:t>
      </w:r>
      <w:r w:rsidR="00762489">
        <w:rPr>
          <w:sz w:val="22"/>
          <w:szCs w:val="22"/>
          <w:lang w:val="en-GB"/>
        </w:rPr>
        <w:t xml:space="preserve"> </w:t>
      </w:r>
    </w:p>
    <w:p w14:paraId="409AD305" w14:textId="27604A9F" w:rsidR="003B47D1" w:rsidRDefault="00762489" w:rsidP="00EE604A">
      <w:pPr>
        <w:spacing w:before="120" w:after="0" w:line="264" w:lineRule="auto"/>
        <w:jc w:val="both"/>
        <w:rPr>
          <w:sz w:val="22"/>
          <w:szCs w:val="22"/>
          <w:lang w:val="en-GB"/>
        </w:rPr>
      </w:pPr>
      <w:r>
        <w:rPr>
          <w:sz w:val="22"/>
          <w:szCs w:val="22"/>
          <w:lang w:val="en-GB"/>
        </w:rPr>
        <w:t xml:space="preserve">Nonetheless, some specific research activities </w:t>
      </w:r>
      <w:r w:rsidR="002C423C">
        <w:rPr>
          <w:sz w:val="22"/>
          <w:szCs w:val="22"/>
          <w:lang w:val="en-GB"/>
        </w:rPr>
        <w:t xml:space="preserve">could be included in </w:t>
      </w:r>
      <w:r w:rsidR="00D01A03">
        <w:rPr>
          <w:sz w:val="22"/>
          <w:szCs w:val="22"/>
          <w:lang w:val="en-GB"/>
        </w:rPr>
        <w:t>CBC projects</w:t>
      </w:r>
      <w:r w:rsidR="00645314">
        <w:rPr>
          <w:sz w:val="22"/>
          <w:szCs w:val="22"/>
          <w:lang w:val="en-GB"/>
        </w:rPr>
        <w:t xml:space="preserve"> as relevant</w:t>
      </w:r>
      <w:r w:rsidR="00861844">
        <w:rPr>
          <w:sz w:val="22"/>
          <w:szCs w:val="22"/>
          <w:lang w:val="en-GB"/>
        </w:rPr>
        <w:t xml:space="preserve">, </w:t>
      </w:r>
      <w:r w:rsidR="002C423C">
        <w:rPr>
          <w:sz w:val="22"/>
          <w:szCs w:val="22"/>
          <w:lang w:val="en-GB"/>
        </w:rPr>
        <w:t>without being the main aim of the project</w:t>
      </w:r>
      <w:r w:rsidR="00F14A82">
        <w:rPr>
          <w:sz w:val="22"/>
          <w:szCs w:val="22"/>
          <w:lang w:val="en-GB"/>
        </w:rPr>
        <w:t>s</w:t>
      </w:r>
      <w:r w:rsidR="002C423C">
        <w:rPr>
          <w:sz w:val="22"/>
          <w:szCs w:val="22"/>
          <w:lang w:val="en-GB"/>
        </w:rPr>
        <w:t>.</w:t>
      </w:r>
      <w:r w:rsidR="00D01A03">
        <w:rPr>
          <w:sz w:val="22"/>
          <w:szCs w:val="22"/>
          <w:lang w:val="en-GB"/>
        </w:rPr>
        <w:t xml:space="preserve"> Likewise, universities, education institutions and research</w:t>
      </w:r>
      <w:r w:rsidR="00B647FB">
        <w:rPr>
          <w:sz w:val="22"/>
          <w:szCs w:val="22"/>
          <w:lang w:val="en-GB"/>
        </w:rPr>
        <w:t>/te</w:t>
      </w:r>
      <w:r w:rsidR="00234F3B">
        <w:rPr>
          <w:sz w:val="22"/>
          <w:szCs w:val="22"/>
          <w:lang w:val="en-GB"/>
        </w:rPr>
        <w:t>c</w:t>
      </w:r>
      <w:r w:rsidR="00B647FB">
        <w:rPr>
          <w:sz w:val="22"/>
          <w:szCs w:val="22"/>
          <w:lang w:val="en-GB"/>
        </w:rPr>
        <w:t>hnological</w:t>
      </w:r>
      <w:r w:rsidR="00D01A03">
        <w:rPr>
          <w:sz w:val="22"/>
          <w:szCs w:val="22"/>
          <w:lang w:val="en-GB"/>
        </w:rPr>
        <w:t xml:space="preserve"> </w:t>
      </w:r>
      <w:proofErr w:type="spellStart"/>
      <w:r w:rsidR="00D01A03">
        <w:rPr>
          <w:sz w:val="22"/>
          <w:szCs w:val="22"/>
          <w:lang w:val="en-GB"/>
        </w:rPr>
        <w:t>centers</w:t>
      </w:r>
      <w:proofErr w:type="spellEnd"/>
      <w:r w:rsidR="00D01A03">
        <w:rPr>
          <w:sz w:val="22"/>
          <w:szCs w:val="22"/>
          <w:lang w:val="en-GB"/>
        </w:rPr>
        <w:t xml:space="preserve"> may remain among the target groups for the valuable input they may provide under other thematic objectives.</w:t>
      </w:r>
    </w:p>
    <w:p w14:paraId="0E9E4681" w14:textId="77777777" w:rsidR="00B555DB" w:rsidRPr="00D269BE" w:rsidRDefault="00762489" w:rsidP="00EE604A">
      <w:pPr>
        <w:spacing w:before="120" w:after="0" w:line="264" w:lineRule="auto"/>
        <w:jc w:val="both"/>
        <w:rPr>
          <w:sz w:val="22"/>
          <w:szCs w:val="22"/>
          <w:lang w:val="en-GB"/>
        </w:rPr>
      </w:pPr>
      <w:proofErr w:type="gramStart"/>
      <w:r w:rsidRPr="009B20B4">
        <w:rPr>
          <w:b/>
          <w:sz w:val="22"/>
          <w:szCs w:val="22"/>
          <w:lang w:val="en-GB"/>
        </w:rPr>
        <w:t xml:space="preserve">Thematic </w:t>
      </w:r>
      <w:r w:rsidR="00700497" w:rsidRPr="009B20B4">
        <w:rPr>
          <w:b/>
          <w:sz w:val="22"/>
          <w:szCs w:val="22"/>
          <w:lang w:val="en-GB"/>
        </w:rPr>
        <w:t>O</w:t>
      </w:r>
      <w:r w:rsidRPr="009B20B4">
        <w:rPr>
          <w:b/>
          <w:sz w:val="22"/>
          <w:szCs w:val="22"/>
          <w:lang w:val="en-GB"/>
        </w:rPr>
        <w:t>bjective 3</w:t>
      </w:r>
      <w:r w:rsidRPr="009B20B4">
        <w:rPr>
          <w:sz w:val="22"/>
          <w:szCs w:val="22"/>
          <w:lang w:val="en-GB"/>
        </w:rPr>
        <w:t>.</w:t>
      </w:r>
      <w:proofErr w:type="gramEnd"/>
      <w:r w:rsidR="00993BAA" w:rsidRPr="009B20B4">
        <w:rPr>
          <w:sz w:val="22"/>
          <w:szCs w:val="22"/>
          <w:lang w:val="en-GB"/>
        </w:rPr>
        <w:t xml:space="preserve"> </w:t>
      </w:r>
      <w:r w:rsidR="00674F2F" w:rsidRPr="009B20B4">
        <w:rPr>
          <w:sz w:val="22"/>
          <w:szCs w:val="22"/>
          <w:lang w:val="en-GB"/>
        </w:rPr>
        <w:t>T</w:t>
      </w:r>
      <w:r w:rsidR="00993BAA" w:rsidRPr="009B20B4">
        <w:rPr>
          <w:sz w:val="22"/>
          <w:szCs w:val="22"/>
          <w:lang w:val="en-GB"/>
        </w:rPr>
        <w:t xml:space="preserve">he </w:t>
      </w:r>
      <w:r w:rsidR="00993BAA" w:rsidRPr="009B20B4">
        <w:rPr>
          <w:i/>
          <w:sz w:val="22"/>
          <w:szCs w:val="22"/>
          <w:lang w:val="en-GB"/>
        </w:rPr>
        <w:t>Eastern Partnership culture programme</w:t>
      </w:r>
      <w:r w:rsidR="00F95A87" w:rsidRPr="009B20B4">
        <w:rPr>
          <w:sz w:val="22"/>
          <w:szCs w:val="22"/>
          <w:lang w:val="en-GB"/>
        </w:rPr>
        <w:t xml:space="preserve"> </w:t>
      </w:r>
      <w:r w:rsidR="00674F2F" w:rsidRPr="009B20B4">
        <w:rPr>
          <w:sz w:val="22"/>
          <w:szCs w:val="22"/>
          <w:lang w:val="en-GB"/>
        </w:rPr>
        <w:t>targets support to partner countries</w:t>
      </w:r>
      <w:r w:rsidR="004369F3" w:rsidRPr="009B20B4">
        <w:rPr>
          <w:sz w:val="22"/>
          <w:szCs w:val="22"/>
          <w:lang w:val="en-GB"/>
        </w:rPr>
        <w:t>.</w:t>
      </w:r>
      <w:r w:rsidR="00674F2F" w:rsidRPr="009B20B4">
        <w:rPr>
          <w:sz w:val="22"/>
          <w:szCs w:val="22"/>
          <w:lang w:val="en-GB"/>
        </w:rPr>
        <w:t xml:space="preserve"> </w:t>
      </w:r>
      <w:r w:rsidR="004369F3" w:rsidRPr="009B20B4">
        <w:rPr>
          <w:sz w:val="22"/>
          <w:szCs w:val="22"/>
          <w:lang w:val="en-GB"/>
        </w:rPr>
        <w:t>I</w:t>
      </w:r>
      <w:r w:rsidR="00674F2F" w:rsidRPr="009B20B4">
        <w:rPr>
          <w:sz w:val="22"/>
          <w:szCs w:val="22"/>
          <w:lang w:val="en-GB"/>
        </w:rPr>
        <w:t xml:space="preserve">n the future </w:t>
      </w:r>
      <w:r w:rsidR="004369F3" w:rsidRPr="009B20B4">
        <w:rPr>
          <w:sz w:val="22"/>
          <w:szCs w:val="22"/>
          <w:lang w:val="en-GB"/>
        </w:rPr>
        <w:t xml:space="preserve">it </w:t>
      </w:r>
      <w:r w:rsidR="00674F2F" w:rsidRPr="009B20B4">
        <w:rPr>
          <w:sz w:val="22"/>
          <w:szCs w:val="22"/>
          <w:lang w:val="en-GB"/>
        </w:rPr>
        <w:t xml:space="preserve">will focus on technical assistance and </w:t>
      </w:r>
      <w:r w:rsidR="004369F3" w:rsidRPr="009B20B4">
        <w:rPr>
          <w:sz w:val="22"/>
          <w:szCs w:val="22"/>
          <w:lang w:val="en-GB"/>
        </w:rPr>
        <w:t xml:space="preserve">will </w:t>
      </w:r>
      <w:r w:rsidR="00674F2F" w:rsidRPr="009B20B4">
        <w:rPr>
          <w:sz w:val="22"/>
          <w:szCs w:val="22"/>
          <w:lang w:val="en-GB"/>
        </w:rPr>
        <w:t>not provide further opportunities for direct partnerships between cultural actors</w:t>
      </w:r>
      <w:r w:rsidR="00A502E9" w:rsidRPr="009B20B4">
        <w:rPr>
          <w:sz w:val="22"/>
          <w:szCs w:val="22"/>
          <w:lang w:val="en-GB"/>
        </w:rPr>
        <w:t xml:space="preserve"> so </w:t>
      </w:r>
      <w:r w:rsidR="004369F3" w:rsidRPr="009B20B4">
        <w:rPr>
          <w:sz w:val="22"/>
          <w:szCs w:val="22"/>
          <w:lang w:val="en-GB"/>
        </w:rPr>
        <w:t xml:space="preserve">there are now </w:t>
      </w:r>
      <w:r w:rsidR="00A502E9" w:rsidRPr="009B20B4">
        <w:rPr>
          <w:sz w:val="22"/>
          <w:szCs w:val="22"/>
          <w:lang w:val="en-GB"/>
        </w:rPr>
        <w:t>few o</w:t>
      </w:r>
      <w:r w:rsidR="0009754B" w:rsidRPr="009B20B4">
        <w:rPr>
          <w:sz w:val="22"/>
          <w:szCs w:val="22"/>
          <w:lang w:val="en-GB"/>
        </w:rPr>
        <w:t xml:space="preserve">pportunities for cooperation </w:t>
      </w:r>
      <w:r w:rsidR="00346261" w:rsidRPr="009B20B4">
        <w:rPr>
          <w:sz w:val="22"/>
          <w:szCs w:val="22"/>
          <w:lang w:val="en-GB"/>
        </w:rPr>
        <w:t xml:space="preserve">in the cultural </w:t>
      </w:r>
      <w:r w:rsidR="0009754B" w:rsidRPr="009B20B4">
        <w:rPr>
          <w:sz w:val="22"/>
          <w:szCs w:val="22"/>
          <w:lang w:val="en-GB"/>
        </w:rPr>
        <w:t>sector</w:t>
      </w:r>
      <w:r w:rsidR="00674F2F" w:rsidRPr="009B20B4">
        <w:rPr>
          <w:sz w:val="22"/>
          <w:szCs w:val="22"/>
          <w:lang w:val="en-GB"/>
        </w:rPr>
        <w:t xml:space="preserve">. </w:t>
      </w:r>
      <w:r w:rsidR="0071391E" w:rsidRPr="009B20B4">
        <w:rPr>
          <w:sz w:val="22"/>
          <w:szCs w:val="22"/>
          <w:lang w:val="en-GB"/>
        </w:rPr>
        <w:t>S</w:t>
      </w:r>
      <w:r w:rsidR="00357BB1" w:rsidRPr="009B20B4">
        <w:rPr>
          <w:sz w:val="22"/>
          <w:szCs w:val="22"/>
          <w:lang w:val="en-GB"/>
        </w:rPr>
        <w:t>ome c</w:t>
      </w:r>
      <w:r w:rsidR="00DE6040" w:rsidRPr="009B20B4">
        <w:rPr>
          <w:sz w:val="22"/>
          <w:szCs w:val="22"/>
          <w:lang w:val="en-GB"/>
        </w:rPr>
        <w:t>ultural aspects may</w:t>
      </w:r>
      <w:r w:rsidR="008F57D5" w:rsidRPr="009B20B4">
        <w:rPr>
          <w:sz w:val="22"/>
          <w:szCs w:val="22"/>
          <w:lang w:val="en-GB"/>
        </w:rPr>
        <w:t xml:space="preserve"> nonetheless be reflected also under</w:t>
      </w:r>
      <w:r w:rsidR="00DE6040" w:rsidRPr="009B20B4">
        <w:rPr>
          <w:sz w:val="22"/>
          <w:szCs w:val="22"/>
          <w:lang w:val="en-GB"/>
        </w:rPr>
        <w:t xml:space="preserve"> economic </w:t>
      </w:r>
      <w:r w:rsidR="00374943" w:rsidRPr="009B20B4">
        <w:rPr>
          <w:sz w:val="22"/>
          <w:szCs w:val="22"/>
          <w:lang w:val="en-GB"/>
        </w:rPr>
        <w:t xml:space="preserve">(e.g. tourism) </w:t>
      </w:r>
      <w:r w:rsidR="00357BB1" w:rsidRPr="009B20B4">
        <w:rPr>
          <w:sz w:val="22"/>
          <w:szCs w:val="22"/>
          <w:lang w:val="en-GB"/>
        </w:rPr>
        <w:t>and environmental</w:t>
      </w:r>
      <w:r w:rsidR="00DE6040" w:rsidRPr="009B20B4">
        <w:rPr>
          <w:sz w:val="22"/>
          <w:szCs w:val="22"/>
          <w:lang w:val="en-GB"/>
        </w:rPr>
        <w:t xml:space="preserve"> </w:t>
      </w:r>
      <w:r w:rsidR="00374943" w:rsidRPr="009B20B4">
        <w:rPr>
          <w:sz w:val="22"/>
          <w:szCs w:val="22"/>
          <w:lang w:val="en-GB"/>
        </w:rPr>
        <w:t xml:space="preserve">(e.g. </w:t>
      </w:r>
      <w:proofErr w:type="spellStart"/>
      <w:r w:rsidR="00374943" w:rsidRPr="009B20B4">
        <w:rPr>
          <w:sz w:val="22"/>
          <w:szCs w:val="22"/>
          <w:lang w:val="en-GB"/>
        </w:rPr>
        <w:t>archeological</w:t>
      </w:r>
      <w:proofErr w:type="spellEnd"/>
      <w:r w:rsidR="00374943" w:rsidRPr="009B20B4">
        <w:rPr>
          <w:sz w:val="22"/>
          <w:szCs w:val="22"/>
          <w:lang w:val="en-GB"/>
        </w:rPr>
        <w:t xml:space="preserve"> sites) </w:t>
      </w:r>
      <w:r w:rsidR="00357BB1" w:rsidRPr="009B20B4">
        <w:rPr>
          <w:sz w:val="22"/>
          <w:szCs w:val="22"/>
          <w:lang w:val="en-GB"/>
        </w:rPr>
        <w:t xml:space="preserve">issues </w:t>
      </w:r>
      <w:r w:rsidR="008F57D5" w:rsidRPr="009B20B4">
        <w:rPr>
          <w:sz w:val="22"/>
          <w:szCs w:val="22"/>
          <w:lang w:val="en-GB"/>
        </w:rPr>
        <w:t xml:space="preserve">so that </w:t>
      </w:r>
      <w:r w:rsidR="00836B1D" w:rsidRPr="009B20B4">
        <w:rPr>
          <w:sz w:val="22"/>
          <w:szCs w:val="22"/>
          <w:lang w:val="en-GB"/>
        </w:rPr>
        <w:t>cultural</w:t>
      </w:r>
      <w:r w:rsidR="003B1C76" w:rsidRPr="009B20B4">
        <w:rPr>
          <w:sz w:val="22"/>
          <w:szCs w:val="22"/>
          <w:lang w:val="en-GB"/>
        </w:rPr>
        <w:t xml:space="preserve"> actors</w:t>
      </w:r>
      <w:r w:rsidR="00557572" w:rsidRPr="009B20B4">
        <w:rPr>
          <w:sz w:val="22"/>
          <w:szCs w:val="22"/>
          <w:lang w:val="en-GB"/>
        </w:rPr>
        <w:t xml:space="preserve"> and some</w:t>
      </w:r>
      <w:r w:rsidR="00961BAE" w:rsidRPr="009B20B4">
        <w:rPr>
          <w:sz w:val="22"/>
          <w:szCs w:val="22"/>
          <w:lang w:val="en-GB"/>
        </w:rPr>
        <w:t xml:space="preserve"> specific</w:t>
      </w:r>
      <w:r w:rsidR="00557572" w:rsidRPr="009B20B4">
        <w:rPr>
          <w:sz w:val="22"/>
          <w:szCs w:val="22"/>
          <w:lang w:val="en-GB"/>
        </w:rPr>
        <w:t xml:space="preserve"> cultural activities </w:t>
      </w:r>
      <w:r w:rsidR="00130E73" w:rsidRPr="009B20B4">
        <w:rPr>
          <w:sz w:val="22"/>
          <w:szCs w:val="22"/>
          <w:lang w:val="en-GB"/>
        </w:rPr>
        <w:t xml:space="preserve">could </w:t>
      </w:r>
      <w:r w:rsidR="003B1C76" w:rsidRPr="009B20B4">
        <w:rPr>
          <w:sz w:val="22"/>
          <w:szCs w:val="22"/>
          <w:lang w:val="en-GB"/>
        </w:rPr>
        <w:t xml:space="preserve">also </w:t>
      </w:r>
      <w:r w:rsidR="00130E73" w:rsidRPr="009B20B4">
        <w:rPr>
          <w:sz w:val="22"/>
          <w:szCs w:val="22"/>
          <w:lang w:val="en-GB"/>
        </w:rPr>
        <w:t xml:space="preserve">be </w:t>
      </w:r>
      <w:r w:rsidR="00557572" w:rsidRPr="009B20B4">
        <w:rPr>
          <w:sz w:val="22"/>
          <w:szCs w:val="22"/>
          <w:lang w:val="en-GB"/>
        </w:rPr>
        <w:t xml:space="preserve">included </w:t>
      </w:r>
      <w:r w:rsidR="00961BAE" w:rsidRPr="009B20B4">
        <w:rPr>
          <w:sz w:val="22"/>
          <w:szCs w:val="22"/>
          <w:lang w:val="en-GB"/>
        </w:rPr>
        <w:t xml:space="preserve">under </w:t>
      </w:r>
      <w:r w:rsidR="003B1C76" w:rsidRPr="009B20B4">
        <w:rPr>
          <w:sz w:val="22"/>
          <w:szCs w:val="22"/>
          <w:lang w:val="en-GB"/>
        </w:rPr>
        <w:t xml:space="preserve">those priorities </w:t>
      </w:r>
      <w:r w:rsidR="00517FD7" w:rsidRPr="009B20B4">
        <w:rPr>
          <w:sz w:val="22"/>
          <w:szCs w:val="22"/>
          <w:lang w:val="en-GB"/>
        </w:rPr>
        <w:t>as relevant</w:t>
      </w:r>
      <w:r w:rsidR="00961BAE" w:rsidRPr="009B20B4">
        <w:rPr>
          <w:sz w:val="22"/>
          <w:szCs w:val="22"/>
          <w:lang w:val="en-GB"/>
        </w:rPr>
        <w:t>.</w:t>
      </w:r>
    </w:p>
    <w:p w14:paraId="6903749D" w14:textId="77777777" w:rsidR="00641F28" w:rsidRPr="00762489" w:rsidRDefault="00762489" w:rsidP="00EE604A">
      <w:pPr>
        <w:spacing w:before="120" w:after="0" w:line="264" w:lineRule="auto"/>
        <w:jc w:val="both"/>
        <w:rPr>
          <w:b/>
          <w:sz w:val="22"/>
          <w:szCs w:val="22"/>
          <w:lang w:val="en-GB"/>
        </w:rPr>
      </w:pPr>
      <w:proofErr w:type="gramStart"/>
      <w:r w:rsidRPr="00762489">
        <w:rPr>
          <w:b/>
          <w:sz w:val="22"/>
          <w:szCs w:val="22"/>
          <w:lang w:val="en-GB"/>
        </w:rPr>
        <w:t xml:space="preserve">Thematic </w:t>
      </w:r>
      <w:r w:rsidR="00700497">
        <w:rPr>
          <w:b/>
          <w:sz w:val="22"/>
          <w:szCs w:val="22"/>
          <w:lang w:val="en-GB"/>
        </w:rPr>
        <w:t>O</w:t>
      </w:r>
      <w:r w:rsidRPr="00762489">
        <w:rPr>
          <w:b/>
          <w:sz w:val="22"/>
          <w:szCs w:val="22"/>
          <w:lang w:val="en-GB"/>
        </w:rPr>
        <w:t>bjective 4.</w:t>
      </w:r>
      <w:proofErr w:type="gramEnd"/>
      <w:r w:rsidR="007517A1">
        <w:rPr>
          <w:b/>
          <w:sz w:val="22"/>
          <w:szCs w:val="22"/>
          <w:lang w:val="en-GB"/>
        </w:rPr>
        <w:t xml:space="preserve"> </w:t>
      </w:r>
      <w:r w:rsidR="00872DC9">
        <w:rPr>
          <w:sz w:val="22"/>
          <w:szCs w:val="22"/>
          <w:lang w:val="en-GB"/>
        </w:rPr>
        <w:t>EU support to s</w:t>
      </w:r>
      <w:r w:rsidR="007517A1" w:rsidRPr="007517A1">
        <w:rPr>
          <w:sz w:val="22"/>
          <w:szCs w:val="22"/>
          <w:lang w:val="en-GB"/>
        </w:rPr>
        <w:t xml:space="preserve">ocial </w:t>
      </w:r>
      <w:r w:rsidR="00DD044E">
        <w:rPr>
          <w:sz w:val="22"/>
          <w:szCs w:val="22"/>
          <w:lang w:val="en-GB"/>
        </w:rPr>
        <w:t>issues is mostly fund</w:t>
      </w:r>
      <w:r w:rsidR="00872DC9">
        <w:rPr>
          <w:sz w:val="22"/>
          <w:szCs w:val="22"/>
          <w:lang w:val="en-GB"/>
        </w:rPr>
        <w:t>ed</w:t>
      </w:r>
      <w:r w:rsidR="007517A1">
        <w:rPr>
          <w:sz w:val="22"/>
          <w:szCs w:val="22"/>
          <w:lang w:val="en-GB"/>
        </w:rPr>
        <w:t xml:space="preserve"> under coun</w:t>
      </w:r>
      <w:r w:rsidR="00803062">
        <w:rPr>
          <w:sz w:val="22"/>
          <w:szCs w:val="22"/>
          <w:lang w:val="en-GB"/>
        </w:rPr>
        <w:t>try-specific</w:t>
      </w:r>
      <w:r w:rsidR="00076752">
        <w:rPr>
          <w:sz w:val="22"/>
          <w:szCs w:val="22"/>
          <w:lang w:val="en-GB"/>
        </w:rPr>
        <w:t xml:space="preserve"> programmes so</w:t>
      </w:r>
      <w:r w:rsidR="00ED2378">
        <w:rPr>
          <w:sz w:val="22"/>
          <w:szCs w:val="22"/>
          <w:lang w:val="en-GB"/>
        </w:rPr>
        <w:t xml:space="preserve"> there are few</w:t>
      </w:r>
      <w:r w:rsidR="00076752">
        <w:rPr>
          <w:sz w:val="22"/>
          <w:szCs w:val="22"/>
          <w:lang w:val="en-GB"/>
        </w:rPr>
        <w:t xml:space="preserve"> </w:t>
      </w:r>
      <w:r w:rsidR="007517A1">
        <w:rPr>
          <w:sz w:val="22"/>
          <w:szCs w:val="22"/>
          <w:lang w:val="en-GB"/>
        </w:rPr>
        <w:t xml:space="preserve">opportunities for cooperation </w:t>
      </w:r>
      <w:r w:rsidR="00055BD4">
        <w:rPr>
          <w:sz w:val="22"/>
          <w:szCs w:val="22"/>
          <w:lang w:val="en-GB"/>
        </w:rPr>
        <w:t xml:space="preserve">and exchange of experience </w:t>
      </w:r>
      <w:r w:rsidR="00ED2378">
        <w:rPr>
          <w:sz w:val="22"/>
          <w:szCs w:val="22"/>
          <w:lang w:val="en-GB"/>
        </w:rPr>
        <w:t xml:space="preserve">between countries </w:t>
      </w:r>
      <w:r w:rsidR="007517A1">
        <w:rPr>
          <w:sz w:val="22"/>
          <w:szCs w:val="22"/>
          <w:lang w:val="en-GB"/>
        </w:rPr>
        <w:t xml:space="preserve">within </w:t>
      </w:r>
      <w:r w:rsidR="00ED2378">
        <w:rPr>
          <w:sz w:val="22"/>
          <w:szCs w:val="22"/>
          <w:lang w:val="en-GB"/>
        </w:rPr>
        <w:t>the</w:t>
      </w:r>
      <w:r w:rsidR="007517A1">
        <w:rPr>
          <w:sz w:val="22"/>
          <w:szCs w:val="22"/>
          <w:lang w:val="en-GB"/>
        </w:rPr>
        <w:t xml:space="preserve"> Black Sea Basin</w:t>
      </w:r>
      <w:r w:rsidR="00ED2378">
        <w:rPr>
          <w:sz w:val="22"/>
          <w:szCs w:val="22"/>
          <w:lang w:val="en-GB"/>
        </w:rPr>
        <w:t xml:space="preserve"> area under current</w:t>
      </w:r>
      <w:r w:rsidR="007517A1">
        <w:rPr>
          <w:sz w:val="22"/>
          <w:szCs w:val="22"/>
          <w:lang w:val="en-GB"/>
        </w:rPr>
        <w:t xml:space="preserve"> </w:t>
      </w:r>
      <w:r w:rsidR="00B34CA9">
        <w:rPr>
          <w:sz w:val="22"/>
          <w:szCs w:val="22"/>
          <w:lang w:val="en-GB"/>
        </w:rPr>
        <w:t>EU</w:t>
      </w:r>
      <w:r w:rsidR="001F5319">
        <w:rPr>
          <w:sz w:val="22"/>
          <w:szCs w:val="22"/>
          <w:lang w:val="en-GB"/>
        </w:rPr>
        <w:t xml:space="preserve"> programmes</w:t>
      </w:r>
      <w:r w:rsidR="00B34CA9">
        <w:rPr>
          <w:sz w:val="22"/>
          <w:szCs w:val="22"/>
          <w:lang w:val="en-GB"/>
        </w:rPr>
        <w:t>.</w:t>
      </w:r>
      <w:r w:rsidR="007517A1">
        <w:rPr>
          <w:b/>
          <w:sz w:val="22"/>
          <w:szCs w:val="22"/>
          <w:lang w:val="en-GB"/>
        </w:rPr>
        <w:t xml:space="preserve"> </w:t>
      </w:r>
    </w:p>
    <w:p w14:paraId="449D9C40" w14:textId="246B3A9E" w:rsidR="00762489" w:rsidRPr="00762489" w:rsidRDefault="00762489" w:rsidP="00EE604A">
      <w:pPr>
        <w:spacing w:before="120" w:after="0" w:line="264" w:lineRule="auto"/>
        <w:jc w:val="both"/>
        <w:rPr>
          <w:b/>
          <w:sz w:val="22"/>
          <w:szCs w:val="22"/>
          <w:lang w:val="en-GB"/>
        </w:rPr>
      </w:pPr>
      <w:proofErr w:type="gramStart"/>
      <w:r w:rsidRPr="00762489">
        <w:rPr>
          <w:b/>
          <w:sz w:val="22"/>
          <w:szCs w:val="22"/>
          <w:lang w:val="en-GB"/>
        </w:rPr>
        <w:t xml:space="preserve">Thematic </w:t>
      </w:r>
      <w:r w:rsidR="00700497">
        <w:rPr>
          <w:b/>
          <w:sz w:val="22"/>
          <w:szCs w:val="22"/>
          <w:lang w:val="en-GB"/>
        </w:rPr>
        <w:t>O</w:t>
      </w:r>
      <w:r w:rsidRPr="00762489">
        <w:rPr>
          <w:b/>
          <w:sz w:val="22"/>
          <w:szCs w:val="22"/>
          <w:lang w:val="en-GB"/>
        </w:rPr>
        <w:t>bjective 6.</w:t>
      </w:r>
      <w:proofErr w:type="gramEnd"/>
      <w:r w:rsidR="00AD3876">
        <w:rPr>
          <w:b/>
          <w:sz w:val="22"/>
          <w:szCs w:val="22"/>
          <w:lang w:val="en-GB"/>
        </w:rPr>
        <w:t xml:space="preserve"> </w:t>
      </w:r>
      <w:r w:rsidR="00AD3876" w:rsidRPr="00AD3876">
        <w:rPr>
          <w:sz w:val="22"/>
          <w:szCs w:val="22"/>
          <w:lang w:val="en-GB"/>
        </w:rPr>
        <w:t>EU cooperation programmes</w:t>
      </w:r>
      <w:r w:rsidR="00AD3876">
        <w:rPr>
          <w:sz w:val="22"/>
          <w:szCs w:val="22"/>
          <w:lang w:val="en-GB"/>
        </w:rPr>
        <w:t xml:space="preserve"> in the env</w:t>
      </w:r>
      <w:r w:rsidR="00A428D5">
        <w:rPr>
          <w:sz w:val="22"/>
          <w:szCs w:val="22"/>
          <w:lang w:val="en-GB"/>
        </w:rPr>
        <w:t>ironmental sector</w:t>
      </w:r>
      <w:r w:rsidR="00122E76">
        <w:rPr>
          <w:sz w:val="22"/>
          <w:szCs w:val="22"/>
          <w:lang w:val="en-GB"/>
        </w:rPr>
        <w:t xml:space="preserve"> </w:t>
      </w:r>
      <w:r w:rsidR="00A428D5">
        <w:rPr>
          <w:sz w:val="22"/>
          <w:szCs w:val="22"/>
          <w:lang w:val="en-GB"/>
        </w:rPr>
        <w:t>target</w:t>
      </w:r>
      <w:r w:rsidR="001B1ADD">
        <w:rPr>
          <w:sz w:val="22"/>
          <w:szCs w:val="22"/>
          <w:lang w:val="en-GB"/>
        </w:rPr>
        <w:t>s notably</w:t>
      </w:r>
      <w:r w:rsidR="00A428D5">
        <w:rPr>
          <w:sz w:val="22"/>
          <w:szCs w:val="22"/>
          <w:lang w:val="en-GB"/>
        </w:rPr>
        <w:t xml:space="preserve"> </w:t>
      </w:r>
      <w:r w:rsidR="00AD3876">
        <w:rPr>
          <w:sz w:val="22"/>
          <w:szCs w:val="22"/>
          <w:lang w:val="en-GB"/>
        </w:rPr>
        <w:t>energy efficiency measures</w:t>
      </w:r>
      <w:r w:rsidR="00147EFD" w:rsidRPr="00147EFD">
        <w:rPr>
          <w:sz w:val="22"/>
          <w:szCs w:val="22"/>
          <w:lang w:val="en-GB"/>
        </w:rPr>
        <w:t>, sustainable use of natural resources</w:t>
      </w:r>
      <w:r w:rsidR="00A428D5">
        <w:rPr>
          <w:sz w:val="22"/>
          <w:szCs w:val="22"/>
          <w:lang w:val="en-GB"/>
        </w:rPr>
        <w:t xml:space="preserve">, </w:t>
      </w:r>
      <w:r w:rsidR="00147EFD" w:rsidRPr="00147EFD">
        <w:rPr>
          <w:sz w:val="22"/>
          <w:szCs w:val="22"/>
          <w:lang w:val="en-GB"/>
        </w:rPr>
        <w:t>promotion of a low carbon economy</w:t>
      </w:r>
      <w:r w:rsidR="00A428D5">
        <w:rPr>
          <w:sz w:val="22"/>
          <w:szCs w:val="22"/>
          <w:lang w:val="en-GB"/>
        </w:rPr>
        <w:t xml:space="preserve"> and adaptation to climate change</w:t>
      </w:r>
      <w:r w:rsidR="00147EFD" w:rsidRPr="00147EFD">
        <w:rPr>
          <w:sz w:val="22"/>
          <w:szCs w:val="22"/>
          <w:lang w:val="en-GB"/>
        </w:rPr>
        <w:t>.</w:t>
      </w:r>
      <w:r w:rsidR="003D272E">
        <w:rPr>
          <w:sz w:val="22"/>
          <w:szCs w:val="22"/>
          <w:lang w:val="en-GB"/>
        </w:rPr>
        <w:t xml:space="preserve"> </w:t>
      </w:r>
      <w:r w:rsidR="001B1ADD">
        <w:rPr>
          <w:sz w:val="22"/>
          <w:szCs w:val="22"/>
          <w:lang w:val="en-GB"/>
        </w:rPr>
        <w:t>It</w:t>
      </w:r>
      <w:r w:rsidR="003D272E">
        <w:rPr>
          <w:sz w:val="22"/>
          <w:szCs w:val="22"/>
          <w:lang w:val="en-GB"/>
        </w:rPr>
        <w:t xml:space="preserve"> leaves considerabl</w:t>
      </w:r>
      <w:r w:rsidR="00130E73">
        <w:rPr>
          <w:sz w:val="22"/>
          <w:szCs w:val="22"/>
          <w:lang w:val="en-GB"/>
        </w:rPr>
        <w:t>e</w:t>
      </w:r>
      <w:r w:rsidR="003D272E">
        <w:rPr>
          <w:sz w:val="22"/>
          <w:szCs w:val="22"/>
          <w:lang w:val="en-GB"/>
        </w:rPr>
        <w:t xml:space="preserve"> scope for further joint actions </w:t>
      </w:r>
      <w:r w:rsidR="00130E73">
        <w:rPr>
          <w:sz w:val="22"/>
          <w:szCs w:val="22"/>
          <w:lang w:val="en-GB"/>
        </w:rPr>
        <w:t xml:space="preserve">for </w:t>
      </w:r>
      <w:r w:rsidR="003D272E">
        <w:rPr>
          <w:sz w:val="22"/>
          <w:szCs w:val="22"/>
          <w:lang w:val="en-GB"/>
        </w:rPr>
        <w:t>environmental protection</w:t>
      </w:r>
      <w:r w:rsidR="00BB3ADD">
        <w:rPr>
          <w:sz w:val="22"/>
          <w:szCs w:val="22"/>
          <w:lang w:val="en-GB"/>
        </w:rPr>
        <w:t xml:space="preserve">, as identified </w:t>
      </w:r>
      <w:r w:rsidR="00130E73">
        <w:rPr>
          <w:sz w:val="22"/>
          <w:szCs w:val="22"/>
          <w:lang w:val="en-GB"/>
        </w:rPr>
        <w:t>in the</w:t>
      </w:r>
      <w:r w:rsidR="00BB3ADD">
        <w:rPr>
          <w:sz w:val="22"/>
          <w:szCs w:val="22"/>
          <w:lang w:val="en-GB"/>
        </w:rPr>
        <w:t xml:space="preserve"> analyses</w:t>
      </w:r>
      <w:r w:rsidR="000E4A5C">
        <w:rPr>
          <w:sz w:val="22"/>
          <w:szCs w:val="22"/>
          <w:lang w:val="en-GB"/>
        </w:rPr>
        <w:t xml:space="preserve"> and during the consultations</w:t>
      </w:r>
      <w:r w:rsidR="00F46365">
        <w:rPr>
          <w:sz w:val="22"/>
          <w:szCs w:val="22"/>
          <w:lang w:val="en-GB"/>
        </w:rPr>
        <w:t xml:space="preserve"> (notably monitoring, </w:t>
      </w:r>
      <w:proofErr w:type="spellStart"/>
      <w:r w:rsidR="00F46365">
        <w:rPr>
          <w:sz w:val="22"/>
          <w:szCs w:val="22"/>
          <w:lang w:val="en-GB"/>
        </w:rPr>
        <w:t>etc</w:t>
      </w:r>
      <w:proofErr w:type="spellEnd"/>
      <w:r w:rsidR="00F46365">
        <w:rPr>
          <w:sz w:val="22"/>
          <w:szCs w:val="22"/>
          <w:lang w:val="en-GB"/>
        </w:rPr>
        <w:t>)</w:t>
      </w:r>
      <w:r w:rsidR="003D272E">
        <w:rPr>
          <w:sz w:val="22"/>
          <w:szCs w:val="22"/>
          <w:lang w:val="en-GB"/>
        </w:rPr>
        <w:t>.</w:t>
      </w:r>
    </w:p>
    <w:p w14:paraId="6D802EB2" w14:textId="485E09C4" w:rsidR="00B3638B" w:rsidRDefault="00323BC7" w:rsidP="00EE604A">
      <w:pPr>
        <w:spacing w:before="120" w:after="0" w:line="264" w:lineRule="auto"/>
        <w:jc w:val="both"/>
        <w:rPr>
          <w:sz w:val="22"/>
          <w:szCs w:val="22"/>
          <w:lang w:val="en-GB"/>
        </w:rPr>
      </w:pPr>
      <w:proofErr w:type="gramStart"/>
      <w:r w:rsidRPr="00762489">
        <w:rPr>
          <w:b/>
          <w:sz w:val="22"/>
          <w:szCs w:val="22"/>
          <w:lang w:val="en-GB"/>
        </w:rPr>
        <w:t xml:space="preserve">Thematic </w:t>
      </w:r>
      <w:r w:rsidR="00700497">
        <w:rPr>
          <w:b/>
          <w:sz w:val="22"/>
          <w:szCs w:val="22"/>
          <w:lang w:val="en-GB"/>
        </w:rPr>
        <w:t>O</w:t>
      </w:r>
      <w:r w:rsidR="00762489" w:rsidRPr="00762489">
        <w:rPr>
          <w:b/>
          <w:sz w:val="22"/>
          <w:szCs w:val="22"/>
          <w:lang w:val="en-GB"/>
        </w:rPr>
        <w:t xml:space="preserve">bjective </w:t>
      </w:r>
      <w:r w:rsidRPr="00762489">
        <w:rPr>
          <w:b/>
          <w:sz w:val="22"/>
          <w:szCs w:val="22"/>
          <w:lang w:val="en-GB"/>
        </w:rPr>
        <w:t>7</w:t>
      </w:r>
      <w:r w:rsidR="00762489" w:rsidRPr="00762489">
        <w:rPr>
          <w:b/>
          <w:sz w:val="22"/>
          <w:szCs w:val="22"/>
          <w:lang w:val="en-GB"/>
        </w:rPr>
        <w:t>.</w:t>
      </w:r>
      <w:proofErr w:type="gramEnd"/>
      <w:r>
        <w:rPr>
          <w:sz w:val="22"/>
          <w:szCs w:val="22"/>
          <w:lang w:val="en-GB"/>
        </w:rPr>
        <w:t xml:space="preserve"> </w:t>
      </w:r>
      <w:r w:rsidR="00940D19">
        <w:rPr>
          <w:sz w:val="22"/>
          <w:szCs w:val="22"/>
          <w:lang w:val="en-GB"/>
        </w:rPr>
        <w:t>The TRA</w:t>
      </w:r>
      <w:r w:rsidR="00FB1B9D">
        <w:rPr>
          <w:sz w:val="22"/>
          <w:szCs w:val="22"/>
          <w:lang w:val="en-GB"/>
        </w:rPr>
        <w:t xml:space="preserve">CECA programme </w:t>
      </w:r>
      <w:r w:rsidR="00807F79">
        <w:rPr>
          <w:sz w:val="22"/>
          <w:szCs w:val="22"/>
          <w:lang w:val="en-GB"/>
        </w:rPr>
        <w:t xml:space="preserve">has </w:t>
      </w:r>
      <w:r w:rsidR="00FB1B9D">
        <w:rPr>
          <w:sz w:val="22"/>
          <w:szCs w:val="22"/>
          <w:lang w:val="en-GB"/>
        </w:rPr>
        <w:t>provide</w:t>
      </w:r>
      <w:r w:rsidR="00807F79">
        <w:rPr>
          <w:sz w:val="22"/>
          <w:szCs w:val="22"/>
          <w:lang w:val="en-GB"/>
        </w:rPr>
        <w:t>d</w:t>
      </w:r>
      <w:r w:rsidR="00FB1B9D">
        <w:rPr>
          <w:sz w:val="22"/>
          <w:szCs w:val="22"/>
          <w:lang w:val="en-GB"/>
        </w:rPr>
        <w:t xml:space="preserve"> a </w:t>
      </w:r>
      <w:r w:rsidR="00940D19">
        <w:rPr>
          <w:sz w:val="22"/>
          <w:szCs w:val="22"/>
          <w:lang w:val="en-GB"/>
        </w:rPr>
        <w:t>long-lastin</w:t>
      </w:r>
      <w:r w:rsidR="00BE1710">
        <w:rPr>
          <w:sz w:val="22"/>
          <w:szCs w:val="22"/>
          <w:lang w:val="en-GB"/>
        </w:rPr>
        <w:t xml:space="preserve">g cooperation framework to enhance </w:t>
      </w:r>
      <w:r w:rsidR="00940D19">
        <w:rPr>
          <w:sz w:val="22"/>
          <w:szCs w:val="22"/>
          <w:lang w:val="en-GB"/>
        </w:rPr>
        <w:t xml:space="preserve">transport </w:t>
      </w:r>
      <w:r w:rsidR="00BE1710">
        <w:rPr>
          <w:sz w:val="22"/>
          <w:szCs w:val="22"/>
          <w:lang w:val="en-GB"/>
        </w:rPr>
        <w:t xml:space="preserve">networks </w:t>
      </w:r>
      <w:r w:rsidR="006A0211">
        <w:rPr>
          <w:sz w:val="22"/>
          <w:szCs w:val="22"/>
          <w:lang w:val="en-GB"/>
        </w:rPr>
        <w:t xml:space="preserve">and infrastructure </w:t>
      </w:r>
      <w:r w:rsidR="00940D19">
        <w:rPr>
          <w:sz w:val="22"/>
          <w:szCs w:val="22"/>
          <w:lang w:val="en-GB"/>
        </w:rPr>
        <w:t>within the Black Sea Basin</w:t>
      </w:r>
      <w:r w:rsidR="00BE1710">
        <w:rPr>
          <w:sz w:val="22"/>
          <w:szCs w:val="22"/>
          <w:lang w:val="en-GB"/>
        </w:rPr>
        <w:t xml:space="preserve">. </w:t>
      </w:r>
      <w:r w:rsidR="00807F79" w:rsidRPr="009F3627">
        <w:rPr>
          <w:sz w:val="22"/>
          <w:szCs w:val="22"/>
          <w:lang w:val="en-GB"/>
        </w:rPr>
        <w:t xml:space="preserve">The dialogue on transport in the region has also been framed by the extension of the TEN-T networks and by the Eastern Partnership panel on transport. </w:t>
      </w:r>
      <w:r w:rsidR="00BE1710">
        <w:rPr>
          <w:sz w:val="22"/>
          <w:szCs w:val="22"/>
          <w:lang w:val="en-GB"/>
        </w:rPr>
        <w:t>Transport infrastructure</w:t>
      </w:r>
      <w:r w:rsidR="00D10DBF">
        <w:rPr>
          <w:sz w:val="22"/>
          <w:szCs w:val="22"/>
          <w:lang w:val="en-GB"/>
        </w:rPr>
        <w:t xml:space="preserve"> development</w:t>
      </w:r>
      <w:r w:rsidR="00BE1710">
        <w:rPr>
          <w:sz w:val="22"/>
          <w:szCs w:val="22"/>
          <w:lang w:val="en-GB"/>
        </w:rPr>
        <w:t xml:space="preserve"> is supported </w:t>
      </w:r>
      <w:r w:rsidR="00D92006">
        <w:rPr>
          <w:sz w:val="22"/>
          <w:szCs w:val="22"/>
          <w:lang w:val="en-GB"/>
        </w:rPr>
        <w:t xml:space="preserve">notably </w:t>
      </w:r>
      <w:r w:rsidR="00BE1710">
        <w:rPr>
          <w:sz w:val="22"/>
          <w:szCs w:val="22"/>
          <w:lang w:val="en-GB"/>
        </w:rPr>
        <w:t>un</w:t>
      </w:r>
      <w:r w:rsidR="00D10DBF">
        <w:rPr>
          <w:sz w:val="22"/>
          <w:szCs w:val="22"/>
          <w:lang w:val="en-GB"/>
        </w:rPr>
        <w:t>der country-specific programmes</w:t>
      </w:r>
      <w:r w:rsidR="00300F3D">
        <w:rPr>
          <w:sz w:val="22"/>
          <w:szCs w:val="22"/>
          <w:lang w:val="en-GB"/>
        </w:rPr>
        <w:t xml:space="preserve">, </w:t>
      </w:r>
      <w:r w:rsidR="0039151A">
        <w:rPr>
          <w:sz w:val="22"/>
          <w:szCs w:val="22"/>
          <w:lang w:val="en-GB"/>
        </w:rPr>
        <w:t xml:space="preserve">via </w:t>
      </w:r>
      <w:r w:rsidR="00300F3D">
        <w:rPr>
          <w:sz w:val="22"/>
          <w:szCs w:val="22"/>
          <w:lang w:val="en-GB"/>
        </w:rPr>
        <w:t>cohesion fund</w:t>
      </w:r>
      <w:r w:rsidR="0039151A">
        <w:rPr>
          <w:sz w:val="22"/>
          <w:szCs w:val="22"/>
          <w:lang w:val="en-GB"/>
        </w:rPr>
        <w:t>s</w:t>
      </w:r>
      <w:r w:rsidR="00807F79">
        <w:rPr>
          <w:sz w:val="22"/>
          <w:szCs w:val="22"/>
          <w:lang w:val="en-GB"/>
        </w:rPr>
        <w:t>,</w:t>
      </w:r>
      <w:r w:rsidR="00D10DBF">
        <w:rPr>
          <w:sz w:val="22"/>
          <w:szCs w:val="22"/>
          <w:lang w:val="en-GB"/>
        </w:rPr>
        <w:t xml:space="preserve"> the NIF</w:t>
      </w:r>
      <w:r w:rsidR="00807F79">
        <w:rPr>
          <w:sz w:val="22"/>
          <w:szCs w:val="22"/>
          <w:lang w:val="en-GB"/>
        </w:rPr>
        <w:t xml:space="preserve"> </w:t>
      </w:r>
      <w:r w:rsidR="00807F79" w:rsidRPr="009F3627">
        <w:rPr>
          <w:sz w:val="22"/>
          <w:szCs w:val="22"/>
          <w:lang w:val="en-GB"/>
        </w:rPr>
        <w:t xml:space="preserve">(for which transport connectivity is identified as a priority) and the Connecting Europe Facility. </w:t>
      </w:r>
      <w:r w:rsidR="00144BE3">
        <w:rPr>
          <w:sz w:val="22"/>
          <w:szCs w:val="22"/>
          <w:lang w:val="en-GB"/>
        </w:rPr>
        <w:t>T</w:t>
      </w:r>
      <w:r w:rsidR="0037248B">
        <w:rPr>
          <w:sz w:val="22"/>
          <w:szCs w:val="22"/>
          <w:lang w:val="en-GB"/>
        </w:rPr>
        <w:t>herefore</w:t>
      </w:r>
      <w:r w:rsidR="00A73B36">
        <w:rPr>
          <w:sz w:val="22"/>
          <w:szCs w:val="22"/>
          <w:lang w:val="en-GB"/>
        </w:rPr>
        <w:t>, despite the large remaining need to upgrade transp</w:t>
      </w:r>
      <w:r w:rsidR="00172AA1">
        <w:rPr>
          <w:sz w:val="22"/>
          <w:szCs w:val="22"/>
          <w:lang w:val="en-GB"/>
        </w:rPr>
        <w:t>ort facilities</w:t>
      </w:r>
      <w:r w:rsidR="00D06B17">
        <w:rPr>
          <w:sz w:val="22"/>
          <w:szCs w:val="22"/>
          <w:lang w:val="en-GB"/>
        </w:rPr>
        <w:t xml:space="preserve"> within the region</w:t>
      </w:r>
      <w:r w:rsidR="00A73B36">
        <w:rPr>
          <w:sz w:val="22"/>
          <w:szCs w:val="22"/>
          <w:lang w:val="en-GB"/>
        </w:rPr>
        <w:t>,</w:t>
      </w:r>
      <w:r w:rsidR="0037248B">
        <w:rPr>
          <w:sz w:val="22"/>
          <w:szCs w:val="22"/>
          <w:lang w:val="en-GB"/>
        </w:rPr>
        <w:t xml:space="preserve"> </w:t>
      </w:r>
      <w:r w:rsidR="00130E73">
        <w:rPr>
          <w:sz w:val="22"/>
          <w:szCs w:val="22"/>
          <w:lang w:val="en-GB"/>
        </w:rPr>
        <w:t xml:space="preserve">the </w:t>
      </w:r>
      <w:r w:rsidR="00016F71">
        <w:rPr>
          <w:sz w:val="22"/>
          <w:szCs w:val="22"/>
          <w:lang w:val="en-GB"/>
        </w:rPr>
        <w:t>inclusion of transport in</w:t>
      </w:r>
      <w:r w:rsidR="0037248B">
        <w:rPr>
          <w:sz w:val="22"/>
          <w:szCs w:val="22"/>
          <w:lang w:val="en-GB"/>
        </w:rPr>
        <w:t xml:space="preserve"> the Black Sea Basin strategy does not appear justified</w:t>
      </w:r>
      <w:r w:rsidR="00940D19">
        <w:rPr>
          <w:sz w:val="22"/>
          <w:szCs w:val="22"/>
          <w:lang w:val="en-GB"/>
        </w:rPr>
        <w:t xml:space="preserve">. </w:t>
      </w:r>
      <w:r w:rsidR="00262D9F">
        <w:rPr>
          <w:sz w:val="22"/>
          <w:szCs w:val="22"/>
          <w:lang w:val="en-GB"/>
        </w:rPr>
        <w:t>Some specific transport</w:t>
      </w:r>
      <w:r w:rsidR="00E7772C">
        <w:rPr>
          <w:sz w:val="22"/>
          <w:szCs w:val="22"/>
          <w:lang w:val="en-GB"/>
        </w:rPr>
        <w:t>-related</w:t>
      </w:r>
      <w:r w:rsidR="00262D9F">
        <w:rPr>
          <w:sz w:val="22"/>
          <w:szCs w:val="22"/>
          <w:lang w:val="en-GB"/>
        </w:rPr>
        <w:t xml:space="preserve"> </w:t>
      </w:r>
      <w:r w:rsidR="00E7772C">
        <w:rPr>
          <w:sz w:val="22"/>
          <w:szCs w:val="22"/>
          <w:lang w:val="en-GB"/>
        </w:rPr>
        <w:t>issues could still be considered for</w:t>
      </w:r>
      <w:r w:rsidR="00262D9F">
        <w:rPr>
          <w:sz w:val="22"/>
          <w:szCs w:val="22"/>
          <w:lang w:val="en-GB"/>
        </w:rPr>
        <w:t xml:space="preserve"> their economic or</w:t>
      </w:r>
      <w:r w:rsidR="00326E53">
        <w:rPr>
          <w:sz w:val="22"/>
          <w:szCs w:val="22"/>
          <w:lang w:val="en-GB"/>
        </w:rPr>
        <w:t xml:space="preserve"> environmental dimensions</w:t>
      </w:r>
      <w:r w:rsidR="00A17C2D">
        <w:rPr>
          <w:sz w:val="22"/>
          <w:szCs w:val="22"/>
          <w:lang w:val="en-GB"/>
        </w:rPr>
        <w:t xml:space="preserve"> and included in </w:t>
      </w:r>
      <w:r w:rsidR="00326E53">
        <w:rPr>
          <w:sz w:val="22"/>
          <w:szCs w:val="22"/>
          <w:lang w:val="en-GB"/>
        </w:rPr>
        <w:t xml:space="preserve">CBC </w:t>
      </w:r>
      <w:r w:rsidR="00A17C2D">
        <w:rPr>
          <w:sz w:val="22"/>
          <w:szCs w:val="22"/>
          <w:lang w:val="en-GB"/>
        </w:rPr>
        <w:t>projects when relevant</w:t>
      </w:r>
      <w:r w:rsidR="00E7772C">
        <w:rPr>
          <w:sz w:val="22"/>
          <w:szCs w:val="22"/>
          <w:lang w:val="en-GB"/>
        </w:rPr>
        <w:t xml:space="preserve"> but not constitute the main aim of </w:t>
      </w:r>
      <w:r w:rsidR="00326E53">
        <w:rPr>
          <w:sz w:val="22"/>
          <w:szCs w:val="22"/>
          <w:lang w:val="en-GB"/>
        </w:rPr>
        <w:t>the project</w:t>
      </w:r>
      <w:r w:rsidR="00A17C2D">
        <w:rPr>
          <w:sz w:val="22"/>
          <w:szCs w:val="22"/>
          <w:lang w:val="en-GB"/>
        </w:rPr>
        <w:t>.</w:t>
      </w:r>
      <w:r w:rsidR="00262D9F">
        <w:rPr>
          <w:sz w:val="22"/>
          <w:szCs w:val="22"/>
          <w:lang w:val="en-GB"/>
        </w:rPr>
        <w:t xml:space="preserve"> </w:t>
      </w:r>
    </w:p>
    <w:p w14:paraId="698C4EA2" w14:textId="77777777" w:rsidR="000A20CF" w:rsidRPr="00B3638B" w:rsidRDefault="00130E73" w:rsidP="00EE604A">
      <w:pPr>
        <w:spacing w:before="120" w:after="0" w:line="264" w:lineRule="auto"/>
        <w:jc w:val="both"/>
        <w:rPr>
          <w:sz w:val="22"/>
          <w:szCs w:val="22"/>
          <w:lang w:val="en-GB"/>
        </w:rPr>
      </w:pPr>
      <w:r>
        <w:rPr>
          <w:sz w:val="22"/>
          <w:szCs w:val="22"/>
          <w:lang w:val="en-GB"/>
        </w:rPr>
        <w:lastRenderedPageBreak/>
        <w:t>In regard to the</w:t>
      </w:r>
      <w:r w:rsidR="00AD3B65">
        <w:rPr>
          <w:sz w:val="22"/>
          <w:szCs w:val="22"/>
          <w:lang w:val="en-GB"/>
        </w:rPr>
        <w:t xml:space="preserve"> </w:t>
      </w:r>
      <w:r w:rsidR="00C53B35">
        <w:rPr>
          <w:sz w:val="22"/>
          <w:szCs w:val="22"/>
          <w:lang w:val="en-GB"/>
        </w:rPr>
        <w:t>development of</w:t>
      </w:r>
      <w:r w:rsidR="00E51AEF">
        <w:rPr>
          <w:sz w:val="22"/>
          <w:szCs w:val="22"/>
          <w:lang w:val="en-GB"/>
        </w:rPr>
        <w:t xml:space="preserve"> information and communication technologies</w:t>
      </w:r>
      <w:r w:rsidR="00C53B35">
        <w:rPr>
          <w:sz w:val="22"/>
          <w:szCs w:val="22"/>
          <w:lang w:val="en-GB"/>
        </w:rPr>
        <w:t xml:space="preserve"> </w:t>
      </w:r>
      <w:r w:rsidR="00E51AEF">
        <w:rPr>
          <w:sz w:val="22"/>
          <w:szCs w:val="22"/>
          <w:lang w:val="en-GB"/>
        </w:rPr>
        <w:t>(</w:t>
      </w:r>
      <w:r w:rsidR="00C53B35">
        <w:rPr>
          <w:sz w:val="22"/>
          <w:szCs w:val="22"/>
          <w:lang w:val="en-GB"/>
        </w:rPr>
        <w:t>ICT</w:t>
      </w:r>
      <w:r w:rsidR="00E51AEF">
        <w:rPr>
          <w:sz w:val="22"/>
          <w:szCs w:val="22"/>
          <w:lang w:val="en-GB"/>
        </w:rPr>
        <w:t xml:space="preserve">), </w:t>
      </w:r>
      <w:r>
        <w:rPr>
          <w:sz w:val="22"/>
          <w:szCs w:val="22"/>
          <w:lang w:val="en-GB"/>
        </w:rPr>
        <w:t xml:space="preserve">these </w:t>
      </w:r>
      <w:r w:rsidR="00E51AEF">
        <w:rPr>
          <w:sz w:val="22"/>
          <w:szCs w:val="22"/>
          <w:lang w:val="en-GB"/>
        </w:rPr>
        <w:t>are</w:t>
      </w:r>
      <w:r w:rsidR="003C6137">
        <w:rPr>
          <w:sz w:val="22"/>
          <w:szCs w:val="22"/>
          <w:lang w:val="en-GB"/>
        </w:rPr>
        <w:t xml:space="preserve"> </w:t>
      </w:r>
      <w:r w:rsidR="0039151A">
        <w:rPr>
          <w:sz w:val="22"/>
          <w:szCs w:val="22"/>
          <w:lang w:val="en-GB"/>
        </w:rPr>
        <w:t xml:space="preserve">most </w:t>
      </w:r>
      <w:r w:rsidR="00AE063F">
        <w:rPr>
          <w:sz w:val="22"/>
          <w:szCs w:val="22"/>
          <w:lang w:val="en-GB"/>
        </w:rPr>
        <w:t>notably supporte</w:t>
      </w:r>
      <w:r w:rsidR="00C53B35">
        <w:rPr>
          <w:sz w:val="22"/>
          <w:szCs w:val="22"/>
          <w:lang w:val="en-GB"/>
        </w:rPr>
        <w:t>d</w:t>
      </w:r>
      <w:r w:rsidR="00AE063F">
        <w:rPr>
          <w:sz w:val="22"/>
          <w:szCs w:val="22"/>
          <w:lang w:val="en-GB"/>
        </w:rPr>
        <w:t xml:space="preserve"> under </w:t>
      </w:r>
      <w:r w:rsidR="00AE063F" w:rsidRPr="00C53B35">
        <w:rPr>
          <w:i/>
          <w:sz w:val="22"/>
          <w:szCs w:val="22"/>
          <w:lang w:val="en-GB"/>
        </w:rPr>
        <w:t>Horizon 2020</w:t>
      </w:r>
      <w:r w:rsidR="00C53B35">
        <w:rPr>
          <w:sz w:val="22"/>
          <w:szCs w:val="22"/>
          <w:lang w:val="en-GB"/>
        </w:rPr>
        <w:t>. Cons</w:t>
      </w:r>
      <w:r w:rsidR="0019511C">
        <w:rPr>
          <w:sz w:val="22"/>
          <w:szCs w:val="22"/>
          <w:lang w:val="en-GB"/>
        </w:rPr>
        <w:t>idering</w:t>
      </w:r>
      <w:r w:rsidR="00255E5A">
        <w:rPr>
          <w:sz w:val="22"/>
          <w:szCs w:val="22"/>
          <w:lang w:val="en-GB"/>
        </w:rPr>
        <w:t xml:space="preserve"> that ICT </w:t>
      </w:r>
      <w:r>
        <w:rPr>
          <w:sz w:val="22"/>
          <w:szCs w:val="22"/>
          <w:lang w:val="en-GB"/>
        </w:rPr>
        <w:t xml:space="preserve">is </w:t>
      </w:r>
      <w:r w:rsidR="00255E5A">
        <w:rPr>
          <w:sz w:val="22"/>
          <w:szCs w:val="22"/>
          <w:lang w:val="en-GB"/>
        </w:rPr>
        <w:t xml:space="preserve">also a </w:t>
      </w:r>
      <w:r w:rsidR="004A4081">
        <w:rPr>
          <w:sz w:val="22"/>
          <w:szCs w:val="22"/>
          <w:lang w:val="en-GB"/>
        </w:rPr>
        <w:t xml:space="preserve">transversal </w:t>
      </w:r>
      <w:r w:rsidR="00255E5A">
        <w:rPr>
          <w:sz w:val="22"/>
          <w:szCs w:val="22"/>
          <w:lang w:val="en-GB"/>
        </w:rPr>
        <w:t xml:space="preserve">tool </w:t>
      </w:r>
      <w:r w:rsidR="00BE66C4">
        <w:rPr>
          <w:sz w:val="22"/>
          <w:szCs w:val="22"/>
          <w:lang w:val="en-GB"/>
        </w:rPr>
        <w:t xml:space="preserve">that </w:t>
      </w:r>
      <w:r w:rsidR="00BE66C4" w:rsidRPr="00BE66C4">
        <w:rPr>
          <w:sz w:val="22"/>
          <w:szCs w:val="22"/>
          <w:lang w:val="en-GB"/>
        </w:rPr>
        <w:t>underpins innovation and competitiveness across a broad range of sector</w:t>
      </w:r>
      <w:r w:rsidR="008476AB">
        <w:rPr>
          <w:sz w:val="22"/>
          <w:szCs w:val="22"/>
          <w:lang w:val="en-GB"/>
        </w:rPr>
        <w:t>s</w:t>
      </w:r>
      <w:r w:rsidR="0019511C">
        <w:rPr>
          <w:sz w:val="22"/>
          <w:szCs w:val="22"/>
          <w:lang w:val="en-GB"/>
        </w:rPr>
        <w:t xml:space="preserve">, </w:t>
      </w:r>
      <w:r w:rsidR="009A2995">
        <w:rPr>
          <w:sz w:val="22"/>
          <w:szCs w:val="22"/>
          <w:lang w:val="en-GB"/>
        </w:rPr>
        <w:t>the</w:t>
      </w:r>
      <w:r w:rsidR="00BE66C4">
        <w:rPr>
          <w:sz w:val="22"/>
          <w:szCs w:val="22"/>
          <w:lang w:val="en-GB"/>
        </w:rPr>
        <w:t xml:space="preserve"> inclusion of </w:t>
      </w:r>
      <w:r w:rsidR="00EE1BA7">
        <w:rPr>
          <w:sz w:val="22"/>
          <w:szCs w:val="22"/>
          <w:lang w:val="en-GB"/>
        </w:rPr>
        <w:t>ICT components may</w:t>
      </w:r>
      <w:r w:rsidR="009A2995">
        <w:rPr>
          <w:sz w:val="22"/>
          <w:szCs w:val="22"/>
          <w:lang w:val="en-GB"/>
        </w:rPr>
        <w:t xml:space="preserve"> </w:t>
      </w:r>
      <w:r w:rsidR="00CF228D">
        <w:rPr>
          <w:sz w:val="22"/>
          <w:szCs w:val="22"/>
          <w:lang w:val="en-GB"/>
        </w:rPr>
        <w:t xml:space="preserve">still </w:t>
      </w:r>
      <w:r w:rsidR="009A2995">
        <w:rPr>
          <w:sz w:val="22"/>
          <w:szCs w:val="22"/>
          <w:lang w:val="en-GB"/>
        </w:rPr>
        <w:t>be considered</w:t>
      </w:r>
      <w:r w:rsidR="000D2834">
        <w:rPr>
          <w:sz w:val="22"/>
          <w:szCs w:val="22"/>
          <w:lang w:val="en-GB"/>
        </w:rPr>
        <w:t xml:space="preserve"> in CBC project</w:t>
      </w:r>
      <w:r>
        <w:rPr>
          <w:sz w:val="22"/>
          <w:szCs w:val="22"/>
          <w:lang w:val="en-GB"/>
        </w:rPr>
        <w:t>s</w:t>
      </w:r>
      <w:r w:rsidR="000D2834">
        <w:rPr>
          <w:sz w:val="22"/>
          <w:szCs w:val="22"/>
          <w:lang w:val="en-GB"/>
        </w:rPr>
        <w:t xml:space="preserve"> under any priority</w:t>
      </w:r>
      <w:r w:rsidR="000D2B6F">
        <w:rPr>
          <w:sz w:val="22"/>
          <w:szCs w:val="22"/>
          <w:lang w:val="en-GB"/>
        </w:rPr>
        <w:t xml:space="preserve"> </w:t>
      </w:r>
      <w:r w:rsidR="000D2834">
        <w:rPr>
          <w:sz w:val="22"/>
          <w:szCs w:val="22"/>
          <w:lang w:val="en-GB"/>
        </w:rPr>
        <w:t>whenever relevant</w:t>
      </w:r>
      <w:r w:rsidR="009A2995">
        <w:rPr>
          <w:sz w:val="22"/>
          <w:szCs w:val="22"/>
          <w:lang w:val="en-GB"/>
        </w:rPr>
        <w:t xml:space="preserve"> </w:t>
      </w:r>
      <w:r w:rsidR="003A390F">
        <w:rPr>
          <w:sz w:val="22"/>
          <w:szCs w:val="22"/>
          <w:lang w:val="en-GB"/>
        </w:rPr>
        <w:t>to enhance CBC project effectiveness</w:t>
      </w:r>
      <w:r w:rsidR="00C53B35">
        <w:rPr>
          <w:sz w:val="22"/>
          <w:szCs w:val="22"/>
          <w:lang w:val="en-GB"/>
        </w:rPr>
        <w:t xml:space="preserve">. </w:t>
      </w:r>
    </w:p>
    <w:p w14:paraId="46B19350" w14:textId="77777777" w:rsidR="00A56970" w:rsidRPr="0025034F" w:rsidRDefault="00CF423C" w:rsidP="00A56970">
      <w:pPr>
        <w:pStyle w:val="Heading3"/>
        <w:spacing w:before="200" w:after="120" w:line="264" w:lineRule="auto"/>
        <w:rPr>
          <w:b/>
          <w:sz w:val="28"/>
          <w:szCs w:val="28"/>
          <w:lang w:val="en-GB"/>
        </w:rPr>
      </w:pPr>
      <w:bookmarkStart w:id="57" w:name="_Toc423436284"/>
      <w:r>
        <w:rPr>
          <w:b/>
          <w:sz w:val="28"/>
          <w:szCs w:val="28"/>
          <w:lang w:val="en-GB"/>
        </w:rPr>
        <w:t xml:space="preserve">4.4 </w:t>
      </w:r>
      <w:r w:rsidR="007B1126" w:rsidRPr="0025034F">
        <w:rPr>
          <w:b/>
          <w:sz w:val="28"/>
          <w:szCs w:val="28"/>
          <w:lang w:val="en-GB"/>
        </w:rPr>
        <w:t>Summary of strategy identification</w:t>
      </w:r>
      <w:bookmarkEnd w:id="57"/>
    </w:p>
    <w:p w14:paraId="256D4492" w14:textId="77777777" w:rsidR="00F14422" w:rsidRPr="00F14422" w:rsidRDefault="007B1126" w:rsidP="00F14422">
      <w:r w:rsidRPr="007B1126">
        <w:rPr>
          <w:noProof/>
          <w:lang w:val="en-GB" w:eastAsia="en-GB"/>
        </w:rPr>
        <w:drawing>
          <wp:inline distT="0" distB="0" distL="0" distR="0" wp14:anchorId="135D6EDE" wp14:editId="0272E3DD">
            <wp:extent cx="5972810" cy="3924935"/>
            <wp:effectExtent l="0" t="0" r="889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6BEC6D14" w14:textId="77777777" w:rsidR="005C4840" w:rsidRDefault="005C4840" w:rsidP="005C4840">
      <w:pPr>
        <w:rPr>
          <w:rFonts w:eastAsia="Times New Roman" w:cs="Times New Roman"/>
          <w:i/>
          <w:color w:val="000000"/>
          <w:sz w:val="22"/>
          <w:szCs w:val="22"/>
          <w:lang w:val="en-GB"/>
        </w:rPr>
      </w:pPr>
      <w:proofErr w:type="gramStart"/>
      <w:r>
        <w:rPr>
          <w:rFonts w:eastAsia="Times New Roman" w:cs="Times New Roman"/>
          <w:i/>
          <w:color w:val="000000"/>
          <w:sz w:val="22"/>
          <w:szCs w:val="22"/>
          <w:lang w:val="en-GB"/>
        </w:rPr>
        <w:t>Table 4</w:t>
      </w:r>
      <w:r w:rsidRPr="004B58D3">
        <w:rPr>
          <w:rFonts w:eastAsia="Times New Roman" w:cs="Times New Roman"/>
          <w:i/>
          <w:color w:val="000000"/>
          <w:sz w:val="22"/>
          <w:szCs w:val="22"/>
          <w:lang w:val="en-GB"/>
        </w:rPr>
        <w:t>.</w:t>
      </w:r>
      <w:proofErr w:type="gramEnd"/>
      <w:r w:rsidRPr="004B58D3">
        <w:rPr>
          <w:rFonts w:eastAsia="Times New Roman" w:cs="Times New Roman"/>
          <w:i/>
          <w:color w:val="000000"/>
          <w:sz w:val="22"/>
          <w:szCs w:val="22"/>
          <w:lang w:val="en-GB"/>
        </w:rPr>
        <w:t xml:space="preserve"> </w:t>
      </w:r>
      <w:proofErr w:type="gramStart"/>
      <w:r w:rsidR="004539A8">
        <w:rPr>
          <w:rFonts w:eastAsia="Times New Roman" w:cs="Times New Roman"/>
          <w:i/>
          <w:color w:val="000000"/>
          <w:sz w:val="22"/>
          <w:szCs w:val="22"/>
          <w:lang w:val="en-GB"/>
        </w:rPr>
        <w:t>Summary of strategy development</w:t>
      </w:r>
      <w:r>
        <w:rPr>
          <w:rFonts w:eastAsia="Times New Roman" w:cs="Times New Roman"/>
          <w:i/>
          <w:color w:val="000000"/>
          <w:sz w:val="22"/>
          <w:szCs w:val="22"/>
          <w:lang w:val="en-GB"/>
        </w:rPr>
        <w:t>.</w:t>
      </w:r>
      <w:proofErr w:type="gramEnd"/>
      <w:r>
        <w:rPr>
          <w:rFonts w:eastAsia="Times New Roman" w:cs="Times New Roman"/>
          <w:i/>
          <w:color w:val="000000"/>
          <w:sz w:val="22"/>
          <w:szCs w:val="22"/>
          <w:lang w:val="en-GB"/>
        </w:rPr>
        <w:t xml:space="preserve"> At each step</w:t>
      </w:r>
      <w:r w:rsidR="00937C34">
        <w:rPr>
          <w:rFonts w:eastAsia="Times New Roman" w:cs="Times New Roman"/>
          <w:i/>
          <w:color w:val="000000"/>
          <w:sz w:val="22"/>
          <w:szCs w:val="22"/>
          <w:lang w:val="en-GB"/>
        </w:rPr>
        <w:t>,</w:t>
      </w:r>
      <w:r>
        <w:rPr>
          <w:rFonts w:eastAsia="Times New Roman" w:cs="Times New Roman"/>
          <w:i/>
          <w:color w:val="000000"/>
          <w:sz w:val="22"/>
          <w:szCs w:val="22"/>
          <w:lang w:val="en-GB"/>
        </w:rPr>
        <w:t xml:space="preserve"> TOs strongly </w:t>
      </w:r>
      <w:r w:rsidR="004539A8">
        <w:rPr>
          <w:rFonts w:eastAsia="Times New Roman" w:cs="Times New Roman"/>
          <w:i/>
          <w:color w:val="000000"/>
          <w:sz w:val="22"/>
          <w:szCs w:val="22"/>
          <w:lang w:val="en-GB"/>
        </w:rPr>
        <w:t xml:space="preserve">supported </w:t>
      </w:r>
      <w:r w:rsidR="0039151A">
        <w:rPr>
          <w:rFonts w:eastAsia="Times New Roman" w:cs="Times New Roman"/>
          <w:i/>
          <w:color w:val="000000"/>
          <w:sz w:val="22"/>
          <w:szCs w:val="22"/>
          <w:lang w:val="en-GB"/>
        </w:rPr>
        <w:t>are shown</w:t>
      </w:r>
      <w:r w:rsidR="009879F2">
        <w:rPr>
          <w:rFonts w:eastAsia="Times New Roman" w:cs="Times New Roman"/>
          <w:i/>
          <w:color w:val="000000"/>
          <w:sz w:val="22"/>
          <w:szCs w:val="22"/>
          <w:lang w:val="en-GB"/>
        </w:rPr>
        <w:t xml:space="preserve"> in</w:t>
      </w:r>
      <w:r w:rsidR="004539A8">
        <w:rPr>
          <w:rFonts w:eastAsia="Times New Roman" w:cs="Times New Roman"/>
          <w:i/>
          <w:color w:val="000000"/>
          <w:sz w:val="22"/>
          <w:szCs w:val="22"/>
          <w:lang w:val="en-GB"/>
        </w:rPr>
        <w:t xml:space="preserve"> bold, TOs </w:t>
      </w:r>
      <w:r w:rsidR="0039151A">
        <w:rPr>
          <w:rFonts w:eastAsia="Times New Roman" w:cs="Times New Roman"/>
          <w:i/>
          <w:color w:val="000000"/>
          <w:sz w:val="22"/>
          <w:szCs w:val="22"/>
          <w:lang w:val="en-GB"/>
        </w:rPr>
        <w:t xml:space="preserve">with less </w:t>
      </w:r>
      <w:proofErr w:type="spellStart"/>
      <w:r w:rsidR="0039151A">
        <w:rPr>
          <w:rFonts w:eastAsia="Times New Roman" w:cs="Times New Roman"/>
          <w:i/>
          <w:color w:val="000000"/>
          <w:sz w:val="22"/>
          <w:szCs w:val="22"/>
          <w:lang w:val="en-GB"/>
        </w:rPr>
        <w:t>supprt</w:t>
      </w:r>
      <w:proofErr w:type="spellEnd"/>
      <w:r w:rsidR="005A78C2">
        <w:rPr>
          <w:rFonts w:eastAsia="Times New Roman" w:cs="Times New Roman"/>
          <w:i/>
          <w:color w:val="000000"/>
          <w:sz w:val="22"/>
          <w:szCs w:val="22"/>
          <w:lang w:val="en-GB"/>
        </w:rPr>
        <w:t xml:space="preserve"> </w:t>
      </w:r>
      <w:r w:rsidR="0039151A">
        <w:rPr>
          <w:rFonts w:eastAsia="Times New Roman" w:cs="Times New Roman"/>
          <w:i/>
          <w:color w:val="000000"/>
          <w:sz w:val="22"/>
          <w:szCs w:val="22"/>
          <w:lang w:val="en-GB"/>
        </w:rPr>
        <w:t xml:space="preserve">are shown in </w:t>
      </w:r>
      <w:r w:rsidR="005A78C2">
        <w:rPr>
          <w:rFonts w:eastAsia="Times New Roman" w:cs="Times New Roman"/>
          <w:i/>
          <w:color w:val="000000"/>
          <w:sz w:val="22"/>
          <w:szCs w:val="22"/>
          <w:lang w:val="en-GB"/>
        </w:rPr>
        <w:t>normal</w:t>
      </w:r>
      <w:r w:rsidR="0039151A">
        <w:rPr>
          <w:rFonts w:eastAsia="Times New Roman" w:cs="Times New Roman"/>
          <w:i/>
          <w:color w:val="000000"/>
          <w:sz w:val="22"/>
          <w:szCs w:val="22"/>
          <w:lang w:val="en-GB"/>
        </w:rPr>
        <w:t xml:space="preserve"> font</w:t>
      </w:r>
      <w:r w:rsidR="005A78C2">
        <w:rPr>
          <w:rFonts w:eastAsia="Times New Roman" w:cs="Times New Roman"/>
          <w:i/>
          <w:color w:val="000000"/>
          <w:sz w:val="22"/>
          <w:szCs w:val="22"/>
          <w:lang w:val="en-GB"/>
        </w:rPr>
        <w:t xml:space="preserve">, </w:t>
      </w:r>
      <w:proofErr w:type="gramStart"/>
      <w:r w:rsidR="005A78C2">
        <w:rPr>
          <w:rFonts w:eastAsia="Times New Roman" w:cs="Times New Roman"/>
          <w:i/>
          <w:color w:val="000000"/>
          <w:sz w:val="22"/>
          <w:szCs w:val="22"/>
          <w:lang w:val="en-GB"/>
        </w:rPr>
        <w:t>TOs</w:t>
      </w:r>
      <w:proofErr w:type="gramEnd"/>
      <w:r w:rsidR="005A78C2">
        <w:rPr>
          <w:rFonts w:eastAsia="Times New Roman" w:cs="Times New Roman"/>
          <w:i/>
          <w:color w:val="000000"/>
          <w:sz w:val="22"/>
          <w:szCs w:val="22"/>
          <w:lang w:val="en-GB"/>
        </w:rPr>
        <w:t xml:space="preserve"> with low support</w:t>
      </w:r>
      <w:r w:rsidR="004539A8">
        <w:rPr>
          <w:rFonts w:eastAsia="Times New Roman" w:cs="Times New Roman"/>
          <w:i/>
          <w:color w:val="000000"/>
          <w:sz w:val="22"/>
          <w:szCs w:val="22"/>
          <w:lang w:val="en-GB"/>
        </w:rPr>
        <w:t xml:space="preserve"> </w:t>
      </w:r>
      <w:r w:rsidR="0039151A">
        <w:rPr>
          <w:rFonts w:eastAsia="Times New Roman" w:cs="Times New Roman"/>
          <w:i/>
          <w:color w:val="000000"/>
          <w:sz w:val="22"/>
          <w:szCs w:val="22"/>
          <w:lang w:val="en-GB"/>
        </w:rPr>
        <w:t>are not shown</w:t>
      </w:r>
      <w:r w:rsidR="004539A8">
        <w:rPr>
          <w:rFonts w:eastAsia="Times New Roman" w:cs="Times New Roman"/>
          <w:i/>
          <w:color w:val="000000"/>
          <w:sz w:val="22"/>
          <w:szCs w:val="22"/>
          <w:lang w:val="en-GB"/>
        </w:rPr>
        <w:t>.</w:t>
      </w:r>
      <w:r>
        <w:rPr>
          <w:rFonts w:eastAsia="Times New Roman" w:cs="Times New Roman"/>
          <w:i/>
          <w:color w:val="000000"/>
          <w:sz w:val="22"/>
          <w:szCs w:val="22"/>
          <w:lang w:val="en-GB"/>
        </w:rPr>
        <w:t xml:space="preserve">   </w:t>
      </w:r>
    </w:p>
    <w:p w14:paraId="68218283" w14:textId="77777777" w:rsidR="00E46F2A" w:rsidRPr="001B519D" w:rsidRDefault="00E46F2A" w:rsidP="00E46F2A">
      <w:pPr>
        <w:spacing w:before="120" w:after="0" w:line="264" w:lineRule="auto"/>
        <w:jc w:val="both"/>
        <w:rPr>
          <w:sz w:val="22"/>
          <w:szCs w:val="22"/>
          <w:lang w:val="en-GB"/>
        </w:rPr>
      </w:pPr>
      <w:r w:rsidRPr="00393004">
        <w:rPr>
          <w:sz w:val="22"/>
          <w:szCs w:val="22"/>
          <w:lang w:val="en-GB"/>
        </w:rPr>
        <w:t>Considering the need</w:t>
      </w:r>
      <w:r w:rsidR="00FD66D6" w:rsidRPr="00393004">
        <w:rPr>
          <w:sz w:val="22"/>
          <w:szCs w:val="22"/>
          <w:lang w:val="en-GB"/>
        </w:rPr>
        <w:t xml:space="preserve"> for </w:t>
      </w:r>
      <w:r w:rsidR="00780625" w:rsidRPr="00393004">
        <w:rPr>
          <w:sz w:val="22"/>
          <w:szCs w:val="22"/>
          <w:lang w:val="en-GB"/>
        </w:rPr>
        <w:t xml:space="preserve">the </w:t>
      </w:r>
      <w:r w:rsidR="00FD66D6" w:rsidRPr="00393004">
        <w:rPr>
          <w:sz w:val="22"/>
          <w:szCs w:val="22"/>
          <w:lang w:val="en-GB"/>
        </w:rPr>
        <w:t xml:space="preserve">Black Sea Basin strategy to concentrate on a limited number of themes in which concrete results can be obtained, and the stronger relevance of </w:t>
      </w:r>
      <w:r w:rsidR="00AF2D2A" w:rsidRPr="00393004">
        <w:rPr>
          <w:sz w:val="22"/>
          <w:szCs w:val="22"/>
          <w:lang w:val="en-GB"/>
        </w:rPr>
        <w:t xml:space="preserve">some priorities under </w:t>
      </w:r>
      <w:r w:rsidR="00FD66D6" w:rsidRPr="00393004">
        <w:rPr>
          <w:sz w:val="22"/>
          <w:szCs w:val="22"/>
          <w:lang w:val="en-GB"/>
        </w:rPr>
        <w:t xml:space="preserve">TO1 and TO6 </w:t>
      </w:r>
      <w:r w:rsidR="0039151A">
        <w:rPr>
          <w:sz w:val="22"/>
          <w:szCs w:val="22"/>
          <w:lang w:val="en-GB"/>
        </w:rPr>
        <w:t xml:space="preserve">indicated </w:t>
      </w:r>
      <w:r w:rsidR="00FD66D6" w:rsidRPr="00393004">
        <w:rPr>
          <w:sz w:val="22"/>
          <w:szCs w:val="22"/>
          <w:lang w:val="en-GB"/>
        </w:rPr>
        <w:t>throughout the analytical and consultation process</w:t>
      </w:r>
      <w:r w:rsidR="001232B2" w:rsidRPr="00393004">
        <w:rPr>
          <w:sz w:val="22"/>
          <w:szCs w:val="22"/>
          <w:lang w:val="en-GB"/>
        </w:rPr>
        <w:t>, these two</w:t>
      </w:r>
      <w:r w:rsidRPr="00393004">
        <w:rPr>
          <w:sz w:val="22"/>
          <w:szCs w:val="22"/>
          <w:lang w:val="en-GB"/>
        </w:rPr>
        <w:t xml:space="preserve"> objectives </w:t>
      </w:r>
      <w:r w:rsidR="0039151A">
        <w:rPr>
          <w:sz w:val="22"/>
          <w:szCs w:val="22"/>
          <w:lang w:val="en-GB"/>
        </w:rPr>
        <w:t>have been</w:t>
      </w:r>
      <w:r w:rsidRPr="00393004">
        <w:rPr>
          <w:sz w:val="22"/>
          <w:szCs w:val="22"/>
          <w:lang w:val="en-GB"/>
        </w:rPr>
        <w:t xml:space="preserve"> </w:t>
      </w:r>
      <w:r w:rsidR="00FD66D6" w:rsidRPr="00393004">
        <w:rPr>
          <w:sz w:val="22"/>
          <w:szCs w:val="22"/>
          <w:lang w:val="en-GB"/>
        </w:rPr>
        <w:t>selected for the strategy</w:t>
      </w:r>
      <w:r w:rsidR="001232B2" w:rsidRPr="00393004">
        <w:rPr>
          <w:sz w:val="22"/>
          <w:szCs w:val="22"/>
          <w:lang w:val="en-GB"/>
        </w:rPr>
        <w:t xml:space="preserve"> definition</w:t>
      </w:r>
      <w:r w:rsidR="00FD66D6" w:rsidRPr="002E7BCB">
        <w:rPr>
          <w:sz w:val="22"/>
          <w:szCs w:val="22"/>
          <w:lang w:val="en-GB"/>
        </w:rPr>
        <w:t>.</w:t>
      </w:r>
      <w:r w:rsidRPr="001B519D">
        <w:rPr>
          <w:sz w:val="22"/>
          <w:szCs w:val="22"/>
          <w:lang w:val="en-GB"/>
        </w:rPr>
        <w:t xml:space="preserve"> </w:t>
      </w:r>
    </w:p>
    <w:p w14:paraId="6898CB4E" w14:textId="77777777" w:rsidR="00E46F2A" w:rsidRDefault="00E46F2A" w:rsidP="005C4840">
      <w:pPr>
        <w:rPr>
          <w:rFonts w:eastAsia="Times New Roman" w:cs="Times New Roman"/>
          <w:i/>
          <w:color w:val="000000"/>
          <w:sz w:val="22"/>
          <w:szCs w:val="22"/>
          <w:lang w:val="en-GB"/>
        </w:rPr>
      </w:pPr>
    </w:p>
    <w:p w14:paraId="48BC68DF" w14:textId="77777777" w:rsidR="00E712CC" w:rsidRPr="00E52149" w:rsidRDefault="0094456D" w:rsidP="00E52149">
      <w:pPr>
        <w:pStyle w:val="Heading2"/>
        <w:spacing w:before="0" w:after="0" w:line="264" w:lineRule="auto"/>
        <w:jc w:val="left"/>
        <w:rPr>
          <w:sz w:val="2"/>
          <w:szCs w:val="2"/>
          <w:lang w:val="en-GB"/>
        </w:rPr>
      </w:pPr>
      <w:r>
        <w:rPr>
          <w:lang w:val="en-GB"/>
        </w:rPr>
        <w:br w:type="column"/>
      </w:r>
    </w:p>
    <w:p w14:paraId="7F0FFE50" w14:textId="77777777" w:rsidR="000F5D2B" w:rsidRPr="00E52149" w:rsidRDefault="000F5D2B" w:rsidP="00EE604A">
      <w:pPr>
        <w:spacing w:line="264" w:lineRule="auto"/>
        <w:rPr>
          <w:rFonts w:asciiTheme="majorHAnsi" w:eastAsiaTheme="majorEastAsia" w:hAnsiTheme="majorHAnsi" w:cstheme="majorBidi"/>
          <w:bCs/>
          <w:color w:val="983620" w:themeColor="accent2"/>
          <w:sz w:val="8"/>
          <w:szCs w:val="8"/>
          <w:lang w:val="en-GB"/>
        </w:rPr>
      </w:pPr>
    </w:p>
    <w:p w14:paraId="239C31F5" w14:textId="77777777" w:rsidR="000F5D2B" w:rsidRPr="000F458E" w:rsidRDefault="00654D55" w:rsidP="00654D55">
      <w:pPr>
        <w:pStyle w:val="Heading1"/>
        <w:spacing w:before="120" w:after="0" w:line="264" w:lineRule="auto"/>
        <w:ind w:left="1080"/>
        <w:jc w:val="left"/>
        <w:rPr>
          <w:sz w:val="40"/>
          <w:szCs w:val="40"/>
          <w:lang w:val="en-GB"/>
        </w:rPr>
      </w:pPr>
      <w:bookmarkStart w:id="58" w:name="_Toc423436285"/>
      <w:r w:rsidRPr="00654D55">
        <w:rPr>
          <w:bCs w:val="0"/>
          <w:sz w:val="40"/>
          <w:szCs w:val="40"/>
          <w:lang w:val="en-GB"/>
        </w:rPr>
        <w:t>5.</w:t>
      </w:r>
      <w:r>
        <w:rPr>
          <w:sz w:val="40"/>
          <w:szCs w:val="40"/>
          <w:lang w:val="en-GB"/>
        </w:rPr>
        <w:t xml:space="preserve">     </w:t>
      </w:r>
      <w:r w:rsidR="000F5D2B">
        <w:rPr>
          <w:sz w:val="40"/>
          <w:szCs w:val="40"/>
          <w:lang w:val="en-GB"/>
        </w:rPr>
        <w:t xml:space="preserve">Black Sea Basin </w:t>
      </w:r>
      <w:r w:rsidR="00B8000F">
        <w:rPr>
          <w:sz w:val="40"/>
          <w:szCs w:val="40"/>
          <w:lang w:val="en-GB"/>
        </w:rPr>
        <w:t xml:space="preserve">ENI CBC </w:t>
      </w:r>
      <w:r w:rsidR="00623541">
        <w:rPr>
          <w:sz w:val="40"/>
          <w:szCs w:val="40"/>
          <w:lang w:val="en-GB"/>
        </w:rPr>
        <w:t xml:space="preserve">programme </w:t>
      </w:r>
      <w:r w:rsidR="000F5D2B">
        <w:rPr>
          <w:sz w:val="40"/>
          <w:szCs w:val="40"/>
          <w:lang w:val="en-GB"/>
        </w:rPr>
        <w:t>strategy</w:t>
      </w:r>
      <w:bookmarkEnd w:id="58"/>
    </w:p>
    <w:p w14:paraId="3A355740" w14:textId="77777777" w:rsidR="000F5D2B" w:rsidRDefault="000F5D2B" w:rsidP="00EE604A">
      <w:pPr>
        <w:spacing w:before="120" w:after="0" w:line="264" w:lineRule="auto"/>
        <w:rPr>
          <w:lang w:val="en-GB"/>
        </w:rPr>
      </w:pPr>
    </w:p>
    <w:p w14:paraId="2B610486" w14:textId="77777777" w:rsidR="00F16F0A" w:rsidRPr="0025034F" w:rsidRDefault="00654D55" w:rsidP="00F16F0A">
      <w:pPr>
        <w:pStyle w:val="Heading3"/>
        <w:spacing w:before="200" w:after="120" w:line="264" w:lineRule="auto"/>
        <w:rPr>
          <w:b/>
          <w:sz w:val="28"/>
          <w:szCs w:val="28"/>
          <w:lang w:val="en-US"/>
        </w:rPr>
      </w:pPr>
      <w:bookmarkStart w:id="59" w:name="_Toc276156670"/>
      <w:bookmarkStart w:id="60" w:name="_Toc423436286"/>
      <w:r>
        <w:rPr>
          <w:b/>
          <w:sz w:val="28"/>
          <w:szCs w:val="28"/>
          <w:lang w:val="en-US"/>
        </w:rPr>
        <w:t xml:space="preserve">5.1 </w:t>
      </w:r>
      <w:r w:rsidR="00F16F0A" w:rsidRPr="0025034F">
        <w:rPr>
          <w:b/>
          <w:sz w:val="28"/>
          <w:szCs w:val="28"/>
          <w:lang w:val="en-US"/>
        </w:rPr>
        <w:t>Wider objective</w:t>
      </w:r>
      <w:bookmarkEnd w:id="59"/>
      <w:bookmarkEnd w:id="60"/>
    </w:p>
    <w:p w14:paraId="43F74D17" w14:textId="77777777" w:rsidR="00F16F0A" w:rsidRDefault="00F16F0A" w:rsidP="00F16F0A">
      <w:pPr>
        <w:autoSpaceDE w:val="0"/>
        <w:autoSpaceDN w:val="0"/>
        <w:adjustRightInd w:val="0"/>
        <w:spacing w:after="120" w:line="264" w:lineRule="auto"/>
        <w:jc w:val="both"/>
        <w:rPr>
          <w:sz w:val="22"/>
          <w:szCs w:val="22"/>
          <w:lang w:val="en-GB"/>
        </w:rPr>
      </w:pPr>
      <w:r>
        <w:rPr>
          <w:sz w:val="22"/>
          <w:szCs w:val="22"/>
          <w:lang w:val="en-GB"/>
        </w:rPr>
        <w:t xml:space="preserve">The Black Sea Basin </w:t>
      </w:r>
      <w:r w:rsidR="006860AD">
        <w:rPr>
          <w:sz w:val="22"/>
          <w:szCs w:val="22"/>
          <w:lang w:val="en-GB"/>
        </w:rPr>
        <w:t xml:space="preserve">ENI CBC </w:t>
      </w:r>
      <w:r>
        <w:rPr>
          <w:sz w:val="22"/>
          <w:szCs w:val="22"/>
          <w:lang w:val="en-GB"/>
        </w:rPr>
        <w:t xml:space="preserve">programme will contribute </w:t>
      </w:r>
      <w:r w:rsidRPr="006F2F26">
        <w:rPr>
          <w:sz w:val="22"/>
          <w:szCs w:val="22"/>
          <w:lang w:val="en-GB"/>
        </w:rPr>
        <w:t>to</w:t>
      </w:r>
      <w:r>
        <w:rPr>
          <w:sz w:val="22"/>
          <w:szCs w:val="22"/>
          <w:lang w:val="en-GB"/>
        </w:rPr>
        <w:t xml:space="preserve"> the ENI CBC overall aim to “</w:t>
      </w:r>
      <w:r w:rsidRPr="004369F3">
        <w:rPr>
          <w:i/>
          <w:sz w:val="22"/>
          <w:szCs w:val="22"/>
          <w:lang w:val="en-GB"/>
        </w:rPr>
        <w:t>promote co-operation across the borders between EU Member States and the countries on the European Neighbourhood and Russian Federation</w:t>
      </w:r>
      <w:r>
        <w:rPr>
          <w:sz w:val="22"/>
          <w:szCs w:val="22"/>
          <w:lang w:val="en-GB"/>
        </w:rPr>
        <w:t xml:space="preserve">”. </w:t>
      </w:r>
    </w:p>
    <w:p w14:paraId="01553EFB" w14:textId="77777777" w:rsidR="00F16F0A" w:rsidRPr="006F2F26" w:rsidRDefault="00F16F0A" w:rsidP="00F16F0A">
      <w:pPr>
        <w:autoSpaceDE w:val="0"/>
        <w:autoSpaceDN w:val="0"/>
        <w:adjustRightInd w:val="0"/>
        <w:spacing w:after="120" w:line="264" w:lineRule="auto"/>
        <w:jc w:val="both"/>
        <w:rPr>
          <w:sz w:val="22"/>
          <w:szCs w:val="22"/>
          <w:lang w:val="en-GB"/>
        </w:rPr>
      </w:pPr>
      <w:r>
        <w:rPr>
          <w:sz w:val="22"/>
          <w:szCs w:val="22"/>
          <w:lang w:val="en-GB"/>
        </w:rPr>
        <w:t xml:space="preserve">More specifically, the programme will contribute to two of the ENI CBC </w:t>
      </w:r>
      <w:r w:rsidRPr="006F2F26">
        <w:rPr>
          <w:sz w:val="22"/>
          <w:szCs w:val="22"/>
          <w:lang w:val="en-GB"/>
        </w:rPr>
        <w:t>overarching strategic objectives:</w:t>
      </w:r>
    </w:p>
    <w:p w14:paraId="3E5DCB92" w14:textId="77777777" w:rsidR="00F16F0A" w:rsidRPr="000F5D2B" w:rsidRDefault="00F16F0A" w:rsidP="00F16F0A">
      <w:pPr>
        <w:pStyle w:val="ListParagraph"/>
        <w:numPr>
          <w:ilvl w:val="0"/>
          <w:numId w:val="7"/>
        </w:numPr>
        <w:autoSpaceDE w:val="0"/>
        <w:autoSpaceDN w:val="0"/>
        <w:adjustRightInd w:val="0"/>
        <w:spacing w:after="120" w:line="264" w:lineRule="auto"/>
        <w:ind w:left="714" w:hanging="357"/>
        <w:rPr>
          <w:sz w:val="22"/>
          <w:szCs w:val="22"/>
          <w:lang w:val="en-GB"/>
        </w:rPr>
      </w:pPr>
      <w:r w:rsidRPr="000F5D2B">
        <w:rPr>
          <w:sz w:val="22"/>
          <w:szCs w:val="22"/>
          <w:lang w:val="en-GB"/>
        </w:rPr>
        <w:t>Promote economic and social development in regions on both sides of common borders</w:t>
      </w:r>
    </w:p>
    <w:p w14:paraId="2F577636" w14:textId="77777777" w:rsidR="00F16F0A" w:rsidRPr="000F5D2B" w:rsidRDefault="00F16F0A" w:rsidP="00F16F0A">
      <w:pPr>
        <w:pStyle w:val="ListParagraph"/>
        <w:numPr>
          <w:ilvl w:val="0"/>
          <w:numId w:val="7"/>
        </w:numPr>
        <w:autoSpaceDE w:val="0"/>
        <w:autoSpaceDN w:val="0"/>
        <w:adjustRightInd w:val="0"/>
        <w:spacing w:after="120" w:line="264" w:lineRule="auto"/>
        <w:ind w:left="714" w:hanging="357"/>
        <w:rPr>
          <w:sz w:val="22"/>
          <w:szCs w:val="22"/>
          <w:lang w:val="en-GB"/>
        </w:rPr>
      </w:pPr>
      <w:r w:rsidRPr="000F5D2B">
        <w:rPr>
          <w:sz w:val="22"/>
          <w:szCs w:val="22"/>
          <w:lang w:val="en-GB"/>
        </w:rPr>
        <w:t>Address common challenges in environment, public health, safety and security</w:t>
      </w:r>
    </w:p>
    <w:p w14:paraId="495EB036" w14:textId="77777777" w:rsidR="00F16F0A" w:rsidRDefault="00F16F0A" w:rsidP="00F16F0A">
      <w:pPr>
        <w:spacing w:before="240" w:after="60" w:line="264" w:lineRule="auto"/>
        <w:rPr>
          <w:sz w:val="22"/>
          <w:szCs w:val="22"/>
          <w:lang w:val="en-GB"/>
        </w:rPr>
      </w:pPr>
      <w:r>
        <w:rPr>
          <w:sz w:val="22"/>
          <w:szCs w:val="22"/>
          <w:lang w:val="en-GB"/>
        </w:rPr>
        <w:t xml:space="preserve">The wider Black Sea Basin ENI CBC programme objective can be defined as: </w:t>
      </w:r>
    </w:p>
    <w:p w14:paraId="509AE31B" w14:textId="77777777" w:rsidR="00F16F0A" w:rsidRPr="005E7D92" w:rsidRDefault="00F16F0A" w:rsidP="00F16F0A">
      <w:pPr>
        <w:pBdr>
          <w:top w:val="single" w:sz="4" w:space="1" w:color="auto" w:shadow="1"/>
          <w:left w:val="single" w:sz="4" w:space="4" w:color="auto" w:shadow="1"/>
          <w:bottom w:val="single" w:sz="4" w:space="1" w:color="auto" w:shadow="1"/>
          <w:right w:val="single" w:sz="4" w:space="4" w:color="auto" w:shadow="1"/>
        </w:pBdr>
        <w:spacing w:after="60" w:line="264" w:lineRule="auto"/>
        <w:jc w:val="both"/>
        <w:rPr>
          <w:b/>
          <w:lang w:val="en-GB"/>
        </w:rPr>
      </w:pPr>
      <w:r w:rsidRPr="005E7D92">
        <w:rPr>
          <w:b/>
          <w:lang w:val="en-GB"/>
        </w:rPr>
        <w:t>Improve the welfare of the people in the Black Sea Basin regions through sustainable growth and</w:t>
      </w:r>
      <w:r>
        <w:rPr>
          <w:b/>
          <w:lang w:val="en-GB"/>
        </w:rPr>
        <w:t xml:space="preserve"> joint environmental protection</w:t>
      </w:r>
    </w:p>
    <w:p w14:paraId="61075454" w14:textId="77777777" w:rsidR="00F16F0A" w:rsidRPr="0025034F" w:rsidRDefault="00654D55" w:rsidP="00793EB8">
      <w:pPr>
        <w:pStyle w:val="Heading3"/>
        <w:spacing w:before="360" w:after="240" w:line="264" w:lineRule="auto"/>
        <w:rPr>
          <w:b/>
          <w:sz w:val="28"/>
          <w:szCs w:val="28"/>
          <w:lang w:val="en-US"/>
        </w:rPr>
      </w:pPr>
      <w:bookmarkStart w:id="61" w:name="_Toc276156671"/>
      <w:bookmarkStart w:id="62" w:name="_Toc423436287"/>
      <w:r>
        <w:rPr>
          <w:b/>
          <w:sz w:val="28"/>
          <w:szCs w:val="28"/>
          <w:lang w:val="en-US"/>
        </w:rPr>
        <w:t xml:space="preserve">5.2 </w:t>
      </w:r>
      <w:r w:rsidR="00F16F0A" w:rsidRPr="0025034F">
        <w:rPr>
          <w:b/>
          <w:sz w:val="28"/>
          <w:szCs w:val="28"/>
          <w:lang w:val="en-US"/>
        </w:rPr>
        <w:t>Horizontal issues and modalities</w:t>
      </w:r>
      <w:bookmarkEnd w:id="61"/>
      <w:bookmarkEnd w:id="62"/>
    </w:p>
    <w:p w14:paraId="713B0C54" w14:textId="77777777" w:rsidR="00F16F0A" w:rsidRDefault="00F16F0A" w:rsidP="00F16F0A">
      <w:pPr>
        <w:autoSpaceDE w:val="0"/>
        <w:autoSpaceDN w:val="0"/>
        <w:adjustRightInd w:val="0"/>
        <w:spacing w:after="120" w:line="264" w:lineRule="auto"/>
        <w:jc w:val="both"/>
        <w:rPr>
          <w:sz w:val="22"/>
          <w:szCs w:val="22"/>
          <w:lang w:val="en-GB"/>
        </w:rPr>
      </w:pPr>
      <w:r>
        <w:rPr>
          <w:sz w:val="22"/>
          <w:szCs w:val="22"/>
          <w:lang w:val="en-GB"/>
        </w:rPr>
        <w:t>A number of important elements for successful, sustained and inclusive cross-border cooperation will be supported as horizontal issues or modalities to be deployed across any of the priorities selected, rather than as separate thematic priorities. They include:</w:t>
      </w:r>
    </w:p>
    <w:p w14:paraId="0154EF5A" w14:textId="77777777" w:rsidR="00F16F0A" w:rsidRDefault="00F16F0A" w:rsidP="005C5180">
      <w:pPr>
        <w:pStyle w:val="ListParagraph"/>
        <w:numPr>
          <w:ilvl w:val="1"/>
          <w:numId w:val="15"/>
        </w:numPr>
        <w:autoSpaceDE w:val="0"/>
        <w:autoSpaceDN w:val="0"/>
        <w:adjustRightInd w:val="0"/>
        <w:spacing w:after="120" w:line="264" w:lineRule="auto"/>
        <w:ind w:left="714" w:hanging="357"/>
        <w:contextualSpacing w:val="0"/>
        <w:jc w:val="both"/>
        <w:rPr>
          <w:sz w:val="22"/>
          <w:szCs w:val="22"/>
          <w:lang w:val="en-GB"/>
        </w:rPr>
      </w:pPr>
      <w:r w:rsidRPr="00284D16">
        <w:rPr>
          <w:sz w:val="22"/>
          <w:szCs w:val="22"/>
          <w:lang w:val="en-GB"/>
        </w:rPr>
        <w:t>So-called ‘</w:t>
      </w:r>
      <w:r>
        <w:rPr>
          <w:sz w:val="22"/>
          <w:szCs w:val="22"/>
          <w:lang w:val="en-GB"/>
        </w:rPr>
        <w:t>p</w:t>
      </w:r>
      <w:r w:rsidRPr="00284D16">
        <w:rPr>
          <w:sz w:val="22"/>
          <w:szCs w:val="22"/>
          <w:lang w:val="en-GB"/>
        </w:rPr>
        <w:t xml:space="preserve">eople-to-people’ actions </w:t>
      </w:r>
      <w:r>
        <w:rPr>
          <w:sz w:val="22"/>
          <w:szCs w:val="22"/>
          <w:lang w:val="en-GB"/>
        </w:rPr>
        <w:t xml:space="preserve">i.e. </w:t>
      </w:r>
      <w:r w:rsidRPr="00284D16">
        <w:rPr>
          <w:sz w:val="22"/>
          <w:szCs w:val="22"/>
          <w:lang w:val="en-GB"/>
        </w:rPr>
        <w:t>enhanced cooperation among local and regional autho</w:t>
      </w:r>
      <w:r>
        <w:rPr>
          <w:sz w:val="22"/>
          <w:szCs w:val="22"/>
          <w:lang w:val="en-GB"/>
        </w:rPr>
        <w:t>rities, NGOs and other civil society groups, universities and schools, chambers of commerce etc.</w:t>
      </w:r>
    </w:p>
    <w:p w14:paraId="326EF47C" w14:textId="77777777" w:rsidR="00F16F0A" w:rsidRDefault="00F16F0A" w:rsidP="005C5180">
      <w:pPr>
        <w:pStyle w:val="ListParagraph"/>
        <w:numPr>
          <w:ilvl w:val="1"/>
          <w:numId w:val="15"/>
        </w:numPr>
        <w:autoSpaceDE w:val="0"/>
        <w:autoSpaceDN w:val="0"/>
        <w:adjustRightInd w:val="0"/>
        <w:spacing w:after="120" w:line="264" w:lineRule="auto"/>
        <w:ind w:left="714" w:hanging="357"/>
        <w:contextualSpacing w:val="0"/>
        <w:jc w:val="both"/>
        <w:rPr>
          <w:sz w:val="22"/>
          <w:szCs w:val="22"/>
          <w:lang w:val="en-GB"/>
        </w:rPr>
      </w:pPr>
      <w:r>
        <w:rPr>
          <w:sz w:val="22"/>
          <w:szCs w:val="22"/>
          <w:lang w:val="en-GB"/>
        </w:rPr>
        <w:t>Promotion of local and regional good governance, capacity-building components for local/regional authorities and agencies and NGOs.</w:t>
      </w:r>
    </w:p>
    <w:p w14:paraId="65A61A01" w14:textId="77777777" w:rsidR="00F16F0A" w:rsidRDefault="00F16F0A" w:rsidP="005C5180">
      <w:pPr>
        <w:pStyle w:val="ListParagraph"/>
        <w:numPr>
          <w:ilvl w:val="1"/>
          <w:numId w:val="15"/>
        </w:numPr>
        <w:autoSpaceDE w:val="0"/>
        <w:autoSpaceDN w:val="0"/>
        <w:adjustRightInd w:val="0"/>
        <w:spacing w:after="120" w:line="264" w:lineRule="auto"/>
        <w:ind w:left="714" w:hanging="357"/>
        <w:contextualSpacing w:val="0"/>
        <w:jc w:val="both"/>
        <w:rPr>
          <w:sz w:val="22"/>
          <w:szCs w:val="22"/>
          <w:lang w:val="en-GB"/>
        </w:rPr>
      </w:pPr>
      <w:r>
        <w:rPr>
          <w:sz w:val="22"/>
          <w:szCs w:val="22"/>
          <w:lang w:val="en-GB"/>
        </w:rPr>
        <w:t>Promotion of regional integration/coordination through regional platforms and long-lasting partnerships at organisation levels (among institutes, u</w:t>
      </w:r>
      <w:r w:rsidRPr="00F600C1">
        <w:rPr>
          <w:sz w:val="22"/>
          <w:szCs w:val="22"/>
          <w:lang w:val="en-GB"/>
        </w:rPr>
        <w:t>niversities, scientific commun</w:t>
      </w:r>
      <w:r>
        <w:rPr>
          <w:sz w:val="22"/>
          <w:szCs w:val="22"/>
          <w:lang w:val="en-GB"/>
        </w:rPr>
        <w:t xml:space="preserve">ity, public institutions, local/regional </w:t>
      </w:r>
      <w:r w:rsidRPr="00F600C1">
        <w:rPr>
          <w:sz w:val="22"/>
          <w:szCs w:val="22"/>
          <w:lang w:val="en-GB"/>
        </w:rPr>
        <w:t>administrations</w:t>
      </w:r>
      <w:r>
        <w:rPr>
          <w:sz w:val="22"/>
          <w:szCs w:val="22"/>
          <w:lang w:val="en-GB"/>
        </w:rPr>
        <w:t xml:space="preserve"> and agencies</w:t>
      </w:r>
      <w:r w:rsidRPr="00F600C1">
        <w:rPr>
          <w:sz w:val="22"/>
          <w:szCs w:val="22"/>
          <w:lang w:val="en-GB"/>
        </w:rPr>
        <w:t>, NGOs</w:t>
      </w:r>
      <w:r>
        <w:rPr>
          <w:sz w:val="22"/>
          <w:szCs w:val="22"/>
          <w:lang w:val="en-GB"/>
        </w:rPr>
        <w:t>,</w:t>
      </w:r>
      <w:r w:rsidRPr="00F600C1">
        <w:rPr>
          <w:sz w:val="22"/>
          <w:szCs w:val="22"/>
          <w:lang w:val="en-GB"/>
        </w:rPr>
        <w:t xml:space="preserve"> etc.)</w:t>
      </w:r>
      <w:r>
        <w:rPr>
          <w:sz w:val="22"/>
          <w:szCs w:val="22"/>
          <w:lang w:val="en-GB"/>
        </w:rPr>
        <w:t>.</w:t>
      </w:r>
    </w:p>
    <w:p w14:paraId="30407F5A" w14:textId="77777777" w:rsidR="00F16F0A" w:rsidRDefault="00F16F0A" w:rsidP="005C5180">
      <w:pPr>
        <w:pStyle w:val="ListParagraph"/>
        <w:numPr>
          <w:ilvl w:val="1"/>
          <w:numId w:val="15"/>
        </w:numPr>
        <w:autoSpaceDE w:val="0"/>
        <w:autoSpaceDN w:val="0"/>
        <w:adjustRightInd w:val="0"/>
        <w:spacing w:after="120" w:line="264" w:lineRule="auto"/>
        <w:ind w:left="714" w:hanging="357"/>
        <w:contextualSpacing w:val="0"/>
        <w:jc w:val="both"/>
        <w:rPr>
          <w:sz w:val="22"/>
          <w:szCs w:val="22"/>
          <w:lang w:val="en-GB"/>
        </w:rPr>
      </w:pPr>
      <w:r>
        <w:rPr>
          <w:sz w:val="22"/>
          <w:szCs w:val="22"/>
          <w:lang w:val="en-GB"/>
        </w:rPr>
        <w:t>The use and development of relevant information and communication technologies to enhance project effectiveness, regional integration/coordination and synergies on results.</w:t>
      </w:r>
    </w:p>
    <w:p w14:paraId="35627FE7" w14:textId="77777777" w:rsidR="00F16F0A" w:rsidRDefault="00F16F0A" w:rsidP="005C5180">
      <w:pPr>
        <w:pStyle w:val="ListParagraph"/>
        <w:numPr>
          <w:ilvl w:val="1"/>
          <w:numId w:val="15"/>
        </w:numPr>
        <w:autoSpaceDE w:val="0"/>
        <w:autoSpaceDN w:val="0"/>
        <w:adjustRightInd w:val="0"/>
        <w:spacing w:after="120" w:line="264" w:lineRule="auto"/>
        <w:ind w:left="714" w:hanging="357"/>
        <w:contextualSpacing w:val="0"/>
        <w:jc w:val="both"/>
        <w:rPr>
          <w:sz w:val="22"/>
          <w:szCs w:val="22"/>
          <w:lang w:val="en-GB"/>
        </w:rPr>
      </w:pPr>
      <w:r>
        <w:rPr>
          <w:sz w:val="22"/>
          <w:szCs w:val="22"/>
          <w:lang w:val="en-GB"/>
        </w:rPr>
        <w:t>Promotion of gender equality, and opportunities for youth</w:t>
      </w:r>
      <w:r w:rsidR="00424BAB">
        <w:rPr>
          <w:sz w:val="22"/>
          <w:szCs w:val="22"/>
          <w:lang w:val="en-GB"/>
        </w:rPr>
        <w:t xml:space="preserve"> (</w:t>
      </w:r>
      <w:r w:rsidR="00424BAB" w:rsidRPr="004B670C">
        <w:rPr>
          <w:sz w:val="22"/>
          <w:szCs w:val="22"/>
          <w:lang w:val="en-GB"/>
        </w:rPr>
        <w:t>including the promotion of transnational youth mobility)</w:t>
      </w:r>
      <w:r>
        <w:rPr>
          <w:sz w:val="22"/>
          <w:szCs w:val="22"/>
          <w:lang w:val="en-GB"/>
        </w:rPr>
        <w:t xml:space="preserve">. </w:t>
      </w:r>
    </w:p>
    <w:p w14:paraId="1ED1A373" w14:textId="77777777" w:rsidR="00F16F0A" w:rsidRPr="0025034F" w:rsidRDefault="00654D55" w:rsidP="00793EB8">
      <w:pPr>
        <w:pStyle w:val="Heading3"/>
        <w:spacing w:before="360" w:after="240" w:line="264" w:lineRule="auto"/>
        <w:rPr>
          <w:b/>
          <w:sz w:val="28"/>
          <w:szCs w:val="28"/>
          <w:lang w:val="en-GB"/>
        </w:rPr>
      </w:pPr>
      <w:bookmarkStart w:id="63" w:name="_Toc276156672"/>
      <w:bookmarkStart w:id="64" w:name="_Toc423436288"/>
      <w:bookmarkStart w:id="65" w:name="_GoBack"/>
      <w:bookmarkEnd w:id="65"/>
      <w:r>
        <w:rPr>
          <w:b/>
          <w:sz w:val="28"/>
          <w:szCs w:val="28"/>
          <w:lang w:val="en-GB"/>
        </w:rPr>
        <w:t xml:space="preserve">5.3 </w:t>
      </w:r>
      <w:r w:rsidR="00F16F0A" w:rsidRPr="0025034F">
        <w:rPr>
          <w:b/>
          <w:sz w:val="28"/>
          <w:szCs w:val="28"/>
          <w:lang w:val="en-GB"/>
        </w:rPr>
        <w:t>Thematic objectives and priorities</w:t>
      </w:r>
      <w:bookmarkEnd w:id="63"/>
      <w:bookmarkEnd w:id="64"/>
      <w:r w:rsidR="00F16F0A" w:rsidRPr="0025034F">
        <w:rPr>
          <w:b/>
          <w:sz w:val="28"/>
          <w:szCs w:val="28"/>
          <w:lang w:val="en-GB"/>
        </w:rPr>
        <w:t xml:space="preserve"> </w:t>
      </w:r>
    </w:p>
    <w:p w14:paraId="6B784725" w14:textId="77777777" w:rsidR="00F16F0A" w:rsidRDefault="00F16F0A" w:rsidP="00F16F0A">
      <w:pPr>
        <w:spacing w:before="120" w:after="0" w:line="264" w:lineRule="auto"/>
        <w:jc w:val="both"/>
        <w:rPr>
          <w:sz w:val="22"/>
          <w:szCs w:val="22"/>
          <w:lang w:val="en-GB"/>
        </w:rPr>
      </w:pPr>
      <w:r>
        <w:rPr>
          <w:sz w:val="22"/>
          <w:szCs w:val="22"/>
          <w:lang w:val="en-GB"/>
        </w:rPr>
        <w:t>The completed analytical and consultation process for the Black Sea Basin strongly supports the selection of specific priorities under two thematic objectives among those proposed in the ENI CBC strategy document:</w:t>
      </w:r>
    </w:p>
    <w:p w14:paraId="004E4484" w14:textId="77777777" w:rsidR="00F16F0A" w:rsidRDefault="00F16F0A" w:rsidP="00EE745F">
      <w:pPr>
        <w:pStyle w:val="ListParagraph"/>
        <w:numPr>
          <w:ilvl w:val="0"/>
          <w:numId w:val="12"/>
        </w:numPr>
        <w:spacing w:before="120" w:after="0" w:line="264" w:lineRule="auto"/>
        <w:jc w:val="both"/>
        <w:rPr>
          <w:sz w:val="22"/>
          <w:szCs w:val="22"/>
          <w:lang w:val="en-GB"/>
        </w:rPr>
      </w:pPr>
      <w:r>
        <w:rPr>
          <w:sz w:val="22"/>
          <w:szCs w:val="22"/>
          <w:lang w:val="en-GB"/>
        </w:rPr>
        <w:t>Thematic Objective 1. Business and SME development</w:t>
      </w:r>
    </w:p>
    <w:p w14:paraId="55A728FC" w14:textId="77777777" w:rsidR="00F16F0A" w:rsidRPr="00D269DD" w:rsidRDefault="00F16F0A" w:rsidP="00EE745F">
      <w:pPr>
        <w:pStyle w:val="ListParagraph"/>
        <w:numPr>
          <w:ilvl w:val="0"/>
          <w:numId w:val="12"/>
        </w:numPr>
        <w:spacing w:before="120" w:after="0" w:line="264" w:lineRule="auto"/>
        <w:jc w:val="both"/>
        <w:rPr>
          <w:sz w:val="22"/>
          <w:szCs w:val="22"/>
          <w:lang w:val="en-GB"/>
        </w:rPr>
      </w:pPr>
      <w:r>
        <w:rPr>
          <w:sz w:val="22"/>
          <w:szCs w:val="22"/>
          <w:lang w:val="en-GB"/>
        </w:rPr>
        <w:t xml:space="preserve">Thematic Objective 6. </w:t>
      </w:r>
      <w:r w:rsidR="007E7479" w:rsidRPr="00F06BD2">
        <w:rPr>
          <w:rFonts w:eastAsia="Calibri"/>
          <w:sz w:val="22"/>
          <w:szCs w:val="22"/>
          <w:lang w:val="en-GB"/>
        </w:rPr>
        <w:t>Environmental protection, and climate change mitigation and adaptation</w:t>
      </w:r>
    </w:p>
    <w:p w14:paraId="08DC2BC3" w14:textId="77777777" w:rsidR="00F16F0A" w:rsidRDefault="00F16F0A" w:rsidP="00F16F0A">
      <w:pPr>
        <w:spacing w:before="120" w:after="0" w:line="264" w:lineRule="auto"/>
        <w:jc w:val="both"/>
        <w:rPr>
          <w:sz w:val="22"/>
          <w:szCs w:val="22"/>
          <w:lang w:val="en-GB"/>
        </w:rPr>
      </w:pPr>
    </w:p>
    <w:p w14:paraId="01877C09" w14:textId="77777777" w:rsidR="00F16F0A" w:rsidRPr="00EE3C52" w:rsidRDefault="00F16F0A" w:rsidP="00F16F0A">
      <w:pPr>
        <w:pStyle w:val="ListBullet"/>
        <w:spacing w:after="0"/>
        <w:ind w:left="357" w:hanging="357"/>
        <w:jc w:val="both"/>
        <w:rPr>
          <w:sz w:val="22"/>
          <w:szCs w:val="22"/>
          <w:lang w:val="en-GB"/>
        </w:rPr>
      </w:pPr>
      <w:r w:rsidRPr="00EE3C52">
        <w:rPr>
          <w:sz w:val="22"/>
          <w:szCs w:val="22"/>
          <w:lang w:val="en-GB"/>
        </w:rPr>
        <w:t xml:space="preserve">The Black Sea Basin programme will </w:t>
      </w:r>
      <w:r>
        <w:rPr>
          <w:sz w:val="22"/>
          <w:szCs w:val="22"/>
          <w:lang w:val="en-GB"/>
        </w:rPr>
        <w:t xml:space="preserve">contribute to the achievement of </w:t>
      </w:r>
      <w:r w:rsidRPr="00EE3C52">
        <w:rPr>
          <w:sz w:val="22"/>
          <w:szCs w:val="22"/>
          <w:lang w:val="en-GB"/>
        </w:rPr>
        <w:t>ENI CBC T</w:t>
      </w:r>
      <w:r>
        <w:rPr>
          <w:sz w:val="22"/>
          <w:szCs w:val="22"/>
          <w:lang w:val="en-GB"/>
        </w:rPr>
        <w:t>hematic Objective 1. ‘</w:t>
      </w:r>
      <w:r w:rsidRPr="00EE3C52">
        <w:rPr>
          <w:sz w:val="22"/>
          <w:szCs w:val="22"/>
          <w:lang w:val="en-GB"/>
        </w:rPr>
        <w:t>Business and SME development</w:t>
      </w:r>
      <w:r>
        <w:rPr>
          <w:sz w:val="22"/>
          <w:szCs w:val="22"/>
          <w:lang w:val="en-GB"/>
        </w:rPr>
        <w:t xml:space="preserve">’ </w:t>
      </w:r>
      <w:r w:rsidRPr="00EE3C52">
        <w:rPr>
          <w:sz w:val="22"/>
          <w:szCs w:val="22"/>
          <w:lang w:val="en-GB"/>
        </w:rPr>
        <w:t xml:space="preserve">via </w:t>
      </w:r>
      <w:r>
        <w:rPr>
          <w:sz w:val="22"/>
          <w:szCs w:val="22"/>
          <w:lang w:val="en-GB"/>
        </w:rPr>
        <w:t xml:space="preserve">the </w:t>
      </w:r>
      <w:r w:rsidRPr="00EE3C52">
        <w:rPr>
          <w:sz w:val="22"/>
          <w:szCs w:val="22"/>
          <w:lang w:val="en-GB"/>
        </w:rPr>
        <w:t>programm</w:t>
      </w:r>
      <w:r>
        <w:rPr>
          <w:sz w:val="22"/>
          <w:szCs w:val="22"/>
          <w:lang w:val="en-GB"/>
        </w:rPr>
        <w:t xml:space="preserve">e </w:t>
      </w:r>
      <w:r w:rsidRPr="00EE3C52">
        <w:rPr>
          <w:sz w:val="22"/>
          <w:szCs w:val="22"/>
          <w:lang w:val="en-GB"/>
        </w:rPr>
        <w:t xml:space="preserve">objective: </w:t>
      </w:r>
    </w:p>
    <w:p w14:paraId="45AE0E7B" w14:textId="77777777" w:rsidR="00F16F0A" w:rsidRPr="00393004"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120" w:line="264" w:lineRule="auto"/>
        <w:jc w:val="both"/>
        <w:rPr>
          <w:b/>
          <w:lang w:val="en-GB"/>
        </w:rPr>
      </w:pPr>
      <w:proofErr w:type="gramStart"/>
      <w:r w:rsidRPr="00393004">
        <w:rPr>
          <w:b/>
          <w:lang w:val="en-GB"/>
        </w:rPr>
        <w:t>Objective 1.</w:t>
      </w:r>
      <w:proofErr w:type="gramEnd"/>
      <w:r w:rsidRPr="00393004">
        <w:rPr>
          <w:b/>
          <w:lang w:val="en-GB"/>
        </w:rPr>
        <w:t xml:space="preserve"> Promote business and entrepreneurship within the Black Sea Basin</w:t>
      </w:r>
    </w:p>
    <w:p w14:paraId="416E5AC7" w14:textId="77777777" w:rsidR="00F16F0A" w:rsidRPr="00B2799E" w:rsidRDefault="00F16F0A" w:rsidP="00F16F0A">
      <w:pPr>
        <w:pStyle w:val="ListBullet"/>
        <w:numPr>
          <w:ilvl w:val="0"/>
          <w:numId w:val="0"/>
        </w:numPr>
        <w:spacing w:before="120"/>
        <w:ind w:left="357"/>
        <w:jc w:val="both"/>
        <w:rPr>
          <w:lang w:val="en-GB"/>
        </w:rPr>
      </w:pPr>
      <w:r w:rsidRPr="008B58B6">
        <w:rPr>
          <w:b/>
          <w:sz w:val="22"/>
          <w:szCs w:val="22"/>
          <w:highlight w:val="yellow"/>
          <w:lang w:val="en-GB"/>
        </w:rPr>
        <w:t xml:space="preserve"> </w:t>
      </w:r>
      <w:r w:rsidRPr="00080FEC">
        <w:rPr>
          <w:noProof/>
          <w:sz w:val="22"/>
          <w:szCs w:val="22"/>
          <w:lang w:val="en-GB" w:eastAsia="en-GB"/>
        </w:rPr>
        <w:drawing>
          <wp:inline distT="0" distB="0" distL="0" distR="0" wp14:anchorId="0C9C4505" wp14:editId="621078FB">
            <wp:extent cx="6705600" cy="1765621"/>
            <wp:effectExtent l="19050" t="19050" r="19050" b="4445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19D5E48" w14:textId="77777777" w:rsidR="00F16F0A" w:rsidRPr="00393004" w:rsidRDefault="00F16F0A" w:rsidP="00F16F0A">
      <w:pPr>
        <w:spacing w:before="120" w:after="0" w:line="264" w:lineRule="auto"/>
        <w:jc w:val="both"/>
        <w:rPr>
          <w:sz w:val="22"/>
          <w:szCs w:val="22"/>
          <w:lang w:val="en-GB"/>
        </w:rPr>
      </w:pPr>
      <w:r w:rsidRPr="00393004">
        <w:rPr>
          <w:sz w:val="22"/>
          <w:szCs w:val="22"/>
          <w:lang w:val="en-GB"/>
        </w:rPr>
        <w:t>The programme objective will be addressed through two priorities, 1.1 and 1.2 defined for the Black Sea Basin and described below.</w:t>
      </w:r>
    </w:p>
    <w:p w14:paraId="4D36CFC4" w14:textId="77777777" w:rsidR="00F16F0A" w:rsidRPr="00764320"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120" w:line="264" w:lineRule="auto"/>
        <w:jc w:val="both"/>
        <w:rPr>
          <w:b/>
          <w:lang w:val="en-GB"/>
        </w:rPr>
      </w:pPr>
      <w:r w:rsidRPr="00393004">
        <w:rPr>
          <w:b/>
          <w:lang w:val="en-GB"/>
        </w:rPr>
        <w:t>Priority 1.1 – Jointly promote business and entrepreneurship in the tourism and cultural sectors</w:t>
      </w:r>
      <w:r w:rsidRPr="00764320">
        <w:rPr>
          <w:b/>
          <w:lang w:val="en-GB"/>
        </w:rPr>
        <w:t xml:space="preserve"> </w:t>
      </w:r>
    </w:p>
    <w:p w14:paraId="4ACD635A" w14:textId="77777777" w:rsidR="00F16F0A" w:rsidRPr="00B52A32" w:rsidRDefault="00F16F0A" w:rsidP="00F16F0A">
      <w:pPr>
        <w:spacing w:before="120" w:after="120" w:line="264" w:lineRule="auto"/>
        <w:rPr>
          <w:i/>
          <w:sz w:val="22"/>
          <w:szCs w:val="22"/>
          <w:lang w:val="en-GB"/>
        </w:rPr>
      </w:pPr>
      <w:r w:rsidRPr="00B52A32">
        <w:rPr>
          <w:i/>
          <w:sz w:val="22"/>
          <w:szCs w:val="22"/>
          <w:lang w:val="en-GB"/>
        </w:rPr>
        <w:t xml:space="preserve">Justification </w:t>
      </w:r>
      <w:r>
        <w:rPr>
          <w:i/>
          <w:sz w:val="22"/>
          <w:szCs w:val="22"/>
          <w:lang w:val="en-GB"/>
        </w:rPr>
        <w:t>for the definition of Priority 1.1</w:t>
      </w:r>
      <w:r w:rsidRPr="00B52A32">
        <w:rPr>
          <w:i/>
          <w:sz w:val="22"/>
          <w:szCs w:val="22"/>
          <w:lang w:val="en-GB"/>
        </w:rPr>
        <w:t>:</w:t>
      </w:r>
    </w:p>
    <w:p w14:paraId="446942AB" w14:textId="77777777" w:rsidR="00F16F0A" w:rsidRPr="00393004" w:rsidRDefault="00F16F0A" w:rsidP="00EE745F">
      <w:pPr>
        <w:pStyle w:val="ListParagraph"/>
        <w:numPr>
          <w:ilvl w:val="0"/>
          <w:numId w:val="14"/>
        </w:numPr>
        <w:spacing w:before="120" w:after="120" w:line="264" w:lineRule="auto"/>
        <w:ind w:left="714" w:hanging="357"/>
        <w:jc w:val="both"/>
        <w:rPr>
          <w:sz w:val="22"/>
          <w:szCs w:val="22"/>
          <w:lang w:val="en-GB"/>
        </w:rPr>
      </w:pPr>
      <w:r w:rsidRPr="001B343A">
        <w:rPr>
          <w:sz w:val="22"/>
          <w:szCs w:val="22"/>
          <w:lang w:val="en-GB"/>
        </w:rPr>
        <w:t xml:space="preserve">Tourism sector </w:t>
      </w:r>
      <w:r>
        <w:rPr>
          <w:sz w:val="22"/>
          <w:szCs w:val="22"/>
          <w:lang w:val="en-GB"/>
        </w:rPr>
        <w:t>development i</w:t>
      </w:r>
      <w:r w:rsidRPr="001B343A">
        <w:rPr>
          <w:sz w:val="22"/>
          <w:szCs w:val="22"/>
          <w:lang w:val="en-GB"/>
        </w:rPr>
        <w:t>s strongly supported by the socio-economic and the SWOT analyses</w:t>
      </w:r>
      <w:r>
        <w:rPr>
          <w:sz w:val="22"/>
          <w:szCs w:val="22"/>
          <w:lang w:val="en-GB"/>
        </w:rPr>
        <w:t xml:space="preserve">. It has a </w:t>
      </w:r>
      <w:r w:rsidRPr="001B343A">
        <w:rPr>
          <w:sz w:val="22"/>
          <w:szCs w:val="22"/>
          <w:lang w:val="en-GB"/>
        </w:rPr>
        <w:t xml:space="preserve">very positive impact on employment and </w:t>
      </w:r>
      <w:proofErr w:type="gramStart"/>
      <w:r w:rsidRPr="001B343A">
        <w:rPr>
          <w:sz w:val="22"/>
          <w:szCs w:val="22"/>
          <w:lang w:val="en-GB"/>
        </w:rPr>
        <w:t>income,</w:t>
      </w:r>
      <w:proofErr w:type="gramEnd"/>
      <w:r w:rsidRPr="001B343A">
        <w:rPr>
          <w:sz w:val="22"/>
          <w:szCs w:val="22"/>
          <w:lang w:val="en-GB"/>
        </w:rPr>
        <w:t xml:space="preserve"> </w:t>
      </w:r>
      <w:r>
        <w:rPr>
          <w:sz w:val="22"/>
          <w:szCs w:val="22"/>
          <w:lang w:val="en-GB"/>
        </w:rPr>
        <w:t xml:space="preserve">it is one of the fastest-growing sectors and still has </w:t>
      </w:r>
      <w:r w:rsidRPr="001B343A">
        <w:rPr>
          <w:sz w:val="22"/>
          <w:szCs w:val="22"/>
          <w:lang w:val="en-GB"/>
        </w:rPr>
        <w:t xml:space="preserve">strong </w:t>
      </w:r>
      <w:r w:rsidRPr="00393004">
        <w:rPr>
          <w:sz w:val="22"/>
          <w:szCs w:val="22"/>
          <w:lang w:val="en-GB"/>
        </w:rPr>
        <w:t xml:space="preserve">growth prospects. The Black Sea Basin also has a rich cultural heritage and </w:t>
      </w:r>
      <w:r>
        <w:rPr>
          <w:sz w:val="22"/>
          <w:szCs w:val="22"/>
          <w:lang w:val="en-GB"/>
        </w:rPr>
        <w:t>valuable</w:t>
      </w:r>
      <w:r w:rsidRPr="00393004">
        <w:rPr>
          <w:sz w:val="22"/>
          <w:szCs w:val="22"/>
          <w:lang w:val="en-GB"/>
        </w:rPr>
        <w:t xml:space="preserve"> cultural assets. </w:t>
      </w:r>
    </w:p>
    <w:p w14:paraId="152F8532" w14:textId="77777777" w:rsidR="00F16F0A" w:rsidRPr="00393004" w:rsidRDefault="00F16F0A" w:rsidP="00EE745F">
      <w:pPr>
        <w:pStyle w:val="ListParagraph"/>
        <w:numPr>
          <w:ilvl w:val="0"/>
          <w:numId w:val="14"/>
        </w:numPr>
        <w:spacing w:before="120" w:after="120" w:line="264" w:lineRule="auto"/>
        <w:ind w:left="714" w:hanging="357"/>
        <w:jc w:val="both"/>
        <w:rPr>
          <w:sz w:val="22"/>
          <w:szCs w:val="22"/>
          <w:lang w:val="et-EE"/>
        </w:rPr>
      </w:pPr>
      <w:r w:rsidRPr="00393004">
        <w:rPr>
          <w:sz w:val="22"/>
          <w:szCs w:val="22"/>
          <w:lang w:val="en-GB"/>
        </w:rPr>
        <w:t>Both the questionnaire and</w:t>
      </w:r>
      <w:r w:rsidRPr="00393004">
        <w:rPr>
          <w:sz w:val="22"/>
          <w:szCs w:val="22"/>
          <w:lang w:val="et-EE"/>
        </w:rPr>
        <w:t xml:space="preserve"> the results of the calls analyses show there is a clear interest in tourism projects. Previous calls also show an interest in cultural projects, often linked to tourism development.</w:t>
      </w:r>
    </w:p>
    <w:p w14:paraId="5B15984B" w14:textId="77777777" w:rsidR="00F16F0A" w:rsidRPr="00393004" w:rsidRDefault="00F16F0A" w:rsidP="00EE745F">
      <w:pPr>
        <w:pStyle w:val="ListParagraph"/>
        <w:numPr>
          <w:ilvl w:val="0"/>
          <w:numId w:val="14"/>
        </w:numPr>
        <w:spacing w:before="120" w:after="120" w:line="264" w:lineRule="auto"/>
        <w:ind w:left="714" w:hanging="357"/>
        <w:jc w:val="both"/>
        <w:rPr>
          <w:sz w:val="22"/>
          <w:szCs w:val="22"/>
          <w:lang w:val="en-GB"/>
        </w:rPr>
      </w:pPr>
      <w:r w:rsidRPr="00393004">
        <w:rPr>
          <w:sz w:val="22"/>
          <w:szCs w:val="22"/>
          <w:lang w:val="en-GB"/>
        </w:rPr>
        <w:t>Tourism relevance to CBC was clearly confirmed during the consultation process</w:t>
      </w:r>
      <w:r>
        <w:rPr>
          <w:sz w:val="22"/>
          <w:szCs w:val="22"/>
          <w:lang w:val="en-GB"/>
        </w:rPr>
        <w:t xml:space="preserve"> while</w:t>
      </w:r>
      <w:r w:rsidRPr="00393004">
        <w:rPr>
          <w:sz w:val="22"/>
          <w:szCs w:val="22"/>
          <w:lang w:val="en-GB"/>
        </w:rPr>
        <w:t xml:space="preserve"> several countries underlined the importance of the cultural sector. </w:t>
      </w:r>
    </w:p>
    <w:p w14:paraId="668059DF" w14:textId="77777777" w:rsidR="00F16F0A" w:rsidRDefault="00F16F0A" w:rsidP="00F16F0A">
      <w:pPr>
        <w:spacing w:before="60" w:after="0" w:line="264" w:lineRule="auto"/>
        <w:jc w:val="both"/>
        <w:rPr>
          <w:i/>
          <w:sz w:val="22"/>
          <w:szCs w:val="22"/>
          <w:lang w:val="en-GB"/>
        </w:rPr>
      </w:pPr>
      <w:r>
        <w:rPr>
          <w:i/>
          <w:sz w:val="22"/>
          <w:szCs w:val="22"/>
          <w:lang w:val="en-GB"/>
        </w:rPr>
        <w:t>Expected result under Priority 1.1:</w:t>
      </w:r>
    </w:p>
    <w:p w14:paraId="6504BE0A" w14:textId="77777777" w:rsidR="00F16F0A" w:rsidRPr="00BC2054" w:rsidRDefault="00F16F0A" w:rsidP="00F16F0A">
      <w:pPr>
        <w:spacing w:before="60" w:after="0" w:line="264" w:lineRule="auto"/>
        <w:ind w:firstLine="720"/>
        <w:jc w:val="both"/>
        <w:rPr>
          <w:sz w:val="22"/>
          <w:szCs w:val="22"/>
          <w:lang w:val="en-GB"/>
        </w:rPr>
      </w:pPr>
      <w:r w:rsidRPr="0035573F">
        <w:rPr>
          <w:sz w:val="22"/>
          <w:szCs w:val="22"/>
          <w:lang w:val="en-GB"/>
        </w:rPr>
        <w:t>Stronger cross-border business opportunities in the tourism and cultural sectors in the Black Sea Basin</w:t>
      </w:r>
    </w:p>
    <w:p w14:paraId="01FB7368" w14:textId="77777777" w:rsidR="00F16F0A" w:rsidRPr="00B52A32" w:rsidRDefault="00F16F0A" w:rsidP="00F16F0A">
      <w:pPr>
        <w:spacing w:before="120" w:after="120" w:line="264" w:lineRule="auto"/>
        <w:jc w:val="both"/>
        <w:rPr>
          <w:i/>
          <w:sz w:val="22"/>
          <w:szCs w:val="22"/>
          <w:lang w:val="en-GB"/>
        </w:rPr>
      </w:pPr>
      <w:r w:rsidRPr="00B52A32">
        <w:rPr>
          <w:i/>
          <w:sz w:val="22"/>
          <w:szCs w:val="22"/>
          <w:lang w:val="en-GB"/>
        </w:rPr>
        <w:t>Indicative activiti</w:t>
      </w:r>
      <w:r>
        <w:rPr>
          <w:i/>
          <w:sz w:val="22"/>
          <w:szCs w:val="22"/>
          <w:lang w:val="en-GB"/>
        </w:rPr>
        <w:t>es/orientations under Priority 1.1:</w:t>
      </w:r>
    </w:p>
    <w:p w14:paraId="2687143B" w14:textId="77777777" w:rsidR="00F16F0A" w:rsidRDefault="00F16F0A" w:rsidP="00EE745F">
      <w:pPr>
        <w:pStyle w:val="ListParagraph"/>
        <w:numPr>
          <w:ilvl w:val="0"/>
          <w:numId w:val="16"/>
        </w:numPr>
        <w:spacing w:after="60" w:line="264" w:lineRule="auto"/>
        <w:ind w:left="714" w:hanging="357"/>
        <w:jc w:val="both"/>
        <w:rPr>
          <w:sz w:val="22"/>
          <w:szCs w:val="22"/>
          <w:lang w:val="en-GB"/>
        </w:rPr>
      </w:pPr>
      <w:r>
        <w:rPr>
          <w:sz w:val="22"/>
          <w:szCs w:val="22"/>
          <w:lang w:val="en-GB"/>
        </w:rPr>
        <w:t>Promote the development and joint marketing of cross-border tourism products and</w:t>
      </w:r>
      <w:r w:rsidRPr="00B72C76">
        <w:rPr>
          <w:sz w:val="22"/>
          <w:szCs w:val="22"/>
          <w:lang w:val="en-GB"/>
        </w:rPr>
        <w:t xml:space="preserve"> transnat</w:t>
      </w:r>
      <w:r>
        <w:rPr>
          <w:sz w:val="22"/>
          <w:szCs w:val="22"/>
          <w:lang w:val="en-GB"/>
        </w:rPr>
        <w:t>ional thematic itineraries (e.g. cultural, religious, ancient trade routes, agricultural); promote</w:t>
      </w:r>
      <w:r w:rsidRPr="00B72C76">
        <w:rPr>
          <w:sz w:val="22"/>
          <w:szCs w:val="22"/>
          <w:lang w:val="en-GB"/>
        </w:rPr>
        <w:t xml:space="preserve"> diversification and integration of coastal and inland tourism</w:t>
      </w:r>
      <w:r>
        <w:rPr>
          <w:sz w:val="22"/>
          <w:szCs w:val="22"/>
          <w:lang w:val="en-GB"/>
        </w:rPr>
        <w:t>.</w:t>
      </w:r>
    </w:p>
    <w:p w14:paraId="271FDECC" w14:textId="77777777" w:rsidR="00F16F0A" w:rsidRPr="002002EA" w:rsidRDefault="00F16F0A" w:rsidP="00EE745F">
      <w:pPr>
        <w:pStyle w:val="ListParagraph"/>
        <w:numPr>
          <w:ilvl w:val="0"/>
          <w:numId w:val="16"/>
        </w:numPr>
        <w:spacing w:after="60" w:line="264" w:lineRule="auto"/>
        <w:ind w:left="714" w:hanging="357"/>
        <w:jc w:val="both"/>
        <w:rPr>
          <w:sz w:val="22"/>
          <w:szCs w:val="22"/>
          <w:lang w:val="en-GB"/>
        </w:rPr>
      </w:pPr>
      <w:r w:rsidRPr="002002EA">
        <w:rPr>
          <w:sz w:val="22"/>
          <w:szCs w:val="22"/>
          <w:lang w:val="en-GB"/>
        </w:rPr>
        <w:t xml:space="preserve">Promote historical heritage and support its preservation through sustainable tourism development (e.g. small-scale investments, marketing). </w:t>
      </w:r>
    </w:p>
    <w:p w14:paraId="0CB30DE8" w14:textId="77777777" w:rsidR="00F16F0A" w:rsidRPr="00393004" w:rsidRDefault="00F16F0A" w:rsidP="00EE745F">
      <w:pPr>
        <w:pStyle w:val="ListParagraph"/>
        <w:numPr>
          <w:ilvl w:val="0"/>
          <w:numId w:val="16"/>
        </w:numPr>
        <w:spacing w:after="60" w:line="264" w:lineRule="auto"/>
        <w:ind w:left="714" w:hanging="357"/>
        <w:jc w:val="both"/>
        <w:rPr>
          <w:rFonts w:cs="Times New Roman"/>
          <w:sz w:val="22"/>
          <w:szCs w:val="22"/>
          <w:lang w:val="en-GB"/>
        </w:rPr>
      </w:pPr>
      <w:r w:rsidRPr="00393004">
        <w:rPr>
          <w:rFonts w:cs="Times New Roman"/>
          <w:sz w:val="22"/>
          <w:szCs w:val="22"/>
          <w:lang w:val="en-GB"/>
        </w:rPr>
        <w:t>Encourage syn</w:t>
      </w:r>
      <w:r>
        <w:rPr>
          <w:rFonts w:cs="Times New Roman"/>
          <w:sz w:val="22"/>
          <w:szCs w:val="22"/>
          <w:lang w:val="en-GB"/>
        </w:rPr>
        <w:t xml:space="preserve">ergies, networking and </w:t>
      </w:r>
      <w:r w:rsidRPr="00393004">
        <w:rPr>
          <w:rFonts w:cs="Times New Roman"/>
          <w:sz w:val="22"/>
          <w:szCs w:val="22"/>
          <w:lang w:val="en-GB"/>
        </w:rPr>
        <w:t xml:space="preserve">connectivity among tourism </w:t>
      </w:r>
      <w:r>
        <w:rPr>
          <w:rFonts w:cs="Times New Roman"/>
          <w:sz w:val="22"/>
          <w:szCs w:val="22"/>
          <w:lang w:val="en-GB"/>
        </w:rPr>
        <w:t xml:space="preserve">and culture </w:t>
      </w:r>
      <w:r w:rsidRPr="00393004">
        <w:rPr>
          <w:rFonts w:cs="Times New Roman"/>
          <w:sz w:val="22"/>
          <w:szCs w:val="22"/>
          <w:lang w:val="en-GB"/>
        </w:rPr>
        <w:t xml:space="preserve">stakeholders and tour operators within the Black Sea Basin (e.g. specific network for maritime tourism, etc.); promote electronic marketing tools and cross-border logistics information on e.g. cultural events. </w:t>
      </w:r>
    </w:p>
    <w:p w14:paraId="4C292FEF" w14:textId="77777777" w:rsidR="00F16F0A" w:rsidRPr="002C30C5" w:rsidRDefault="00F16F0A" w:rsidP="00EE745F">
      <w:pPr>
        <w:pStyle w:val="ListParagraph"/>
        <w:widowControl w:val="0"/>
        <w:numPr>
          <w:ilvl w:val="0"/>
          <w:numId w:val="16"/>
        </w:numPr>
        <w:autoSpaceDE w:val="0"/>
        <w:autoSpaceDN w:val="0"/>
        <w:adjustRightInd w:val="0"/>
        <w:spacing w:after="60" w:line="264" w:lineRule="auto"/>
        <w:ind w:left="714" w:hanging="357"/>
        <w:jc w:val="both"/>
        <w:rPr>
          <w:rFonts w:cs="Times New Roman"/>
          <w:sz w:val="22"/>
          <w:szCs w:val="22"/>
          <w:lang w:val="en-GB"/>
        </w:rPr>
      </w:pPr>
      <w:r w:rsidRPr="00393004">
        <w:rPr>
          <w:sz w:val="22"/>
          <w:szCs w:val="22"/>
          <w:lang w:val="en-GB"/>
        </w:rPr>
        <w:t>Share experience and/or develop jointly targeted tourism packages for specific markets (e.g. the elderly); s</w:t>
      </w:r>
      <w:r w:rsidRPr="00393004">
        <w:rPr>
          <w:rFonts w:cs="Times New Roman"/>
          <w:sz w:val="22"/>
          <w:szCs w:val="22"/>
          <w:lang w:val="en-GB"/>
        </w:rPr>
        <w:t xml:space="preserve">hare experience to promote higher quality, and more innovative, tourism products (e.g. </w:t>
      </w:r>
      <w:r w:rsidRPr="00393004">
        <w:rPr>
          <w:rFonts w:cs="Times New Roman"/>
          <w:sz w:val="22"/>
          <w:szCs w:val="22"/>
          <w:lang w:val="en-GB"/>
        </w:rPr>
        <w:lastRenderedPageBreak/>
        <w:t xml:space="preserve">underwater </w:t>
      </w:r>
      <w:r w:rsidRPr="002C30C5">
        <w:rPr>
          <w:rFonts w:cs="Times New Roman"/>
          <w:sz w:val="22"/>
          <w:szCs w:val="22"/>
          <w:lang w:val="en-GB"/>
        </w:rPr>
        <w:t>archaeological parks, eco-tourism, cultural tourism</w:t>
      </w:r>
      <w:r w:rsidR="004D5D96" w:rsidRPr="002C30C5">
        <w:rPr>
          <w:rFonts w:cs="Times New Roman"/>
          <w:sz w:val="22"/>
          <w:szCs w:val="22"/>
          <w:lang w:val="en-GB"/>
        </w:rPr>
        <w:t>, medical tourism</w:t>
      </w:r>
      <w:r w:rsidRPr="002C30C5">
        <w:rPr>
          <w:rFonts w:cs="Times New Roman"/>
          <w:sz w:val="22"/>
          <w:szCs w:val="22"/>
          <w:lang w:val="en-GB"/>
        </w:rPr>
        <w:t>).</w:t>
      </w:r>
    </w:p>
    <w:p w14:paraId="6320B592" w14:textId="49897665" w:rsidR="00F16F0A" w:rsidRPr="00393004" w:rsidRDefault="00F16F0A" w:rsidP="00EE745F">
      <w:pPr>
        <w:pStyle w:val="ListParagraph"/>
        <w:widowControl w:val="0"/>
        <w:numPr>
          <w:ilvl w:val="0"/>
          <w:numId w:val="16"/>
        </w:numPr>
        <w:autoSpaceDE w:val="0"/>
        <w:autoSpaceDN w:val="0"/>
        <w:adjustRightInd w:val="0"/>
        <w:spacing w:after="60" w:line="264" w:lineRule="auto"/>
        <w:ind w:left="714" w:hanging="357"/>
        <w:jc w:val="both"/>
        <w:rPr>
          <w:rFonts w:cs="Times New Roman"/>
          <w:sz w:val="22"/>
          <w:szCs w:val="22"/>
          <w:lang w:val="en-GB"/>
        </w:rPr>
      </w:pPr>
      <w:r w:rsidRPr="00393004">
        <w:rPr>
          <w:rFonts w:cs="Times New Roman"/>
          <w:sz w:val="22"/>
          <w:szCs w:val="22"/>
          <w:lang w:val="en-GB"/>
        </w:rPr>
        <w:t>Jointly promote cultural products (handicrafts, artworks, etc</w:t>
      </w:r>
      <w:r w:rsidR="00B448B9">
        <w:rPr>
          <w:rFonts w:cs="Times New Roman"/>
          <w:sz w:val="22"/>
          <w:szCs w:val="22"/>
          <w:lang w:val="en-GB"/>
        </w:rPr>
        <w:t>.</w:t>
      </w:r>
      <w:r w:rsidRPr="00393004">
        <w:rPr>
          <w:rFonts w:cs="Times New Roman"/>
          <w:sz w:val="22"/>
          <w:szCs w:val="22"/>
          <w:lang w:val="en-GB"/>
        </w:rPr>
        <w:t>) and events (festivals, fairs).</w:t>
      </w:r>
    </w:p>
    <w:p w14:paraId="78E28265" w14:textId="77777777" w:rsidR="00F16F0A" w:rsidRPr="00393004" w:rsidRDefault="00F16F0A" w:rsidP="00EE745F">
      <w:pPr>
        <w:pStyle w:val="ListParagraph"/>
        <w:widowControl w:val="0"/>
        <w:numPr>
          <w:ilvl w:val="0"/>
          <w:numId w:val="16"/>
        </w:numPr>
        <w:autoSpaceDE w:val="0"/>
        <w:autoSpaceDN w:val="0"/>
        <w:adjustRightInd w:val="0"/>
        <w:spacing w:after="60" w:line="264" w:lineRule="auto"/>
        <w:ind w:left="714" w:hanging="357"/>
        <w:jc w:val="both"/>
        <w:rPr>
          <w:rFonts w:cs="Times New Roman"/>
          <w:sz w:val="22"/>
          <w:szCs w:val="22"/>
          <w:lang w:val="en-GB"/>
        </w:rPr>
      </w:pPr>
      <w:r w:rsidRPr="00393004">
        <w:rPr>
          <w:rFonts w:cs="Times New Roman"/>
          <w:sz w:val="22"/>
          <w:szCs w:val="22"/>
          <w:lang w:val="en-GB"/>
        </w:rPr>
        <w:t>Jointly enhance the openness of the Black Sea Region to international and non-European tourism (e.g. joint marketing, communication and promotion campaigns, development of Black Sea Basin brand</w:t>
      </w:r>
      <w:r>
        <w:rPr>
          <w:rFonts w:cs="Times New Roman"/>
          <w:sz w:val="22"/>
          <w:szCs w:val="22"/>
          <w:lang w:val="en-GB"/>
        </w:rPr>
        <w:t>s</w:t>
      </w:r>
      <w:r w:rsidRPr="00393004">
        <w:rPr>
          <w:rFonts w:cs="Times New Roman"/>
          <w:sz w:val="22"/>
          <w:szCs w:val="22"/>
          <w:lang w:val="en-GB"/>
        </w:rPr>
        <w:t>).</w:t>
      </w:r>
    </w:p>
    <w:p w14:paraId="24B14D29" w14:textId="38A26856" w:rsidR="00F16F0A" w:rsidRPr="00393004" w:rsidRDefault="00F16F0A" w:rsidP="00EE745F">
      <w:pPr>
        <w:pStyle w:val="ListParagraph"/>
        <w:numPr>
          <w:ilvl w:val="0"/>
          <w:numId w:val="16"/>
        </w:numPr>
        <w:spacing w:after="60" w:line="264" w:lineRule="auto"/>
        <w:ind w:left="714" w:hanging="357"/>
        <w:jc w:val="both"/>
        <w:rPr>
          <w:sz w:val="22"/>
          <w:szCs w:val="22"/>
          <w:lang w:val="en-GB"/>
        </w:rPr>
      </w:pPr>
      <w:r w:rsidRPr="00393004">
        <w:rPr>
          <w:rFonts w:cs="Times New Roman"/>
          <w:sz w:val="22"/>
          <w:szCs w:val="22"/>
          <w:lang w:val="en-GB"/>
        </w:rPr>
        <w:t xml:space="preserve">Encourage networking, share good experience in </w:t>
      </w:r>
      <w:r w:rsidR="00B448B9" w:rsidRPr="00B448B9">
        <w:rPr>
          <w:rFonts w:cs="Times New Roman"/>
          <w:sz w:val="22"/>
          <w:szCs w:val="22"/>
          <w:lang w:val="en-GB"/>
        </w:rPr>
        <w:t>strengthening</w:t>
      </w:r>
      <w:r w:rsidRPr="00393004">
        <w:rPr>
          <w:rFonts w:cs="Times New Roman"/>
          <w:sz w:val="22"/>
          <w:szCs w:val="22"/>
          <w:lang w:val="en-GB"/>
        </w:rPr>
        <w:t xml:space="preserve"> cultural and creative industries (music, multimedia, etc.).</w:t>
      </w:r>
    </w:p>
    <w:p w14:paraId="40E9EA19" w14:textId="77777777" w:rsidR="00F16F0A" w:rsidRPr="00632707" w:rsidRDefault="00F16F0A" w:rsidP="00EE745F">
      <w:pPr>
        <w:pStyle w:val="ListParagraph"/>
        <w:numPr>
          <w:ilvl w:val="0"/>
          <w:numId w:val="16"/>
        </w:numPr>
        <w:spacing w:after="60" w:line="264" w:lineRule="auto"/>
        <w:ind w:left="714" w:hanging="357"/>
        <w:jc w:val="both"/>
        <w:rPr>
          <w:sz w:val="22"/>
          <w:szCs w:val="22"/>
          <w:lang w:val="en-GB"/>
        </w:rPr>
      </w:pPr>
      <w:r w:rsidRPr="00393004">
        <w:rPr>
          <w:rFonts w:cs="Times New Roman"/>
          <w:sz w:val="22"/>
          <w:szCs w:val="22"/>
          <w:lang w:val="en-GB"/>
        </w:rPr>
        <w:t>Exchange best practices on the development of</w:t>
      </w:r>
      <w:r w:rsidRPr="00393004">
        <w:rPr>
          <w:sz w:val="22"/>
          <w:szCs w:val="22"/>
          <w:lang w:val="en-GB"/>
        </w:rPr>
        <w:t xml:space="preserve"> environmentally friendly tourism strategies (e.g. improve</w:t>
      </w:r>
      <w:r>
        <w:rPr>
          <w:sz w:val="22"/>
          <w:szCs w:val="22"/>
          <w:lang w:val="en-GB"/>
        </w:rPr>
        <w:t xml:space="preserve"> resource efficiency, </w:t>
      </w:r>
      <w:r w:rsidRPr="00EA3BF2">
        <w:rPr>
          <w:sz w:val="22"/>
          <w:szCs w:val="22"/>
          <w:lang w:val="en-GB"/>
        </w:rPr>
        <w:t>waste and pollution prevention/management in tourist areas, guidelines on minimising impacts on biodiversity and enhancing benefits of tourism in protected areas).</w:t>
      </w:r>
    </w:p>
    <w:p w14:paraId="68C69081" w14:textId="77777777" w:rsidR="00F16F0A" w:rsidRPr="00636D37" w:rsidRDefault="00F16F0A" w:rsidP="00EE745F">
      <w:pPr>
        <w:pStyle w:val="ListParagraph"/>
        <w:numPr>
          <w:ilvl w:val="0"/>
          <w:numId w:val="16"/>
        </w:numPr>
        <w:spacing w:after="60" w:line="264" w:lineRule="auto"/>
        <w:ind w:left="714" w:hanging="357"/>
        <w:jc w:val="both"/>
        <w:rPr>
          <w:rFonts w:cs="Times New Roman"/>
          <w:sz w:val="22"/>
          <w:szCs w:val="22"/>
          <w:lang w:val="en-GB"/>
        </w:rPr>
      </w:pPr>
      <w:r>
        <w:rPr>
          <w:sz w:val="22"/>
          <w:szCs w:val="22"/>
          <w:lang w:val="en-GB"/>
        </w:rPr>
        <w:t>Improve tourism services and promote the upgrade of skills e.g.</w:t>
      </w:r>
      <w:r w:rsidRPr="00636D37">
        <w:rPr>
          <w:rFonts w:cs="Times New Roman"/>
          <w:sz w:val="22"/>
          <w:szCs w:val="22"/>
          <w:lang w:val="en-GB"/>
        </w:rPr>
        <w:t xml:space="preserve"> </w:t>
      </w:r>
      <w:r>
        <w:rPr>
          <w:rFonts w:cs="Times New Roman"/>
          <w:sz w:val="22"/>
          <w:szCs w:val="22"/>
          <w:lang w:val="en-GB"/>
        </w:rPr>
        <w:t>through exchange programmes between educational institutions (e.g. for young professionals), or</w:t>
      </w:r>
      <w:r w:rsidRPr="00636D37">
        <w:rPr>
          <w:sz w:val="22"/>
          <w:szCs w:val="22"/>
          <w:lang w:val="en-GB"/>
        </w:rPr>
        <w:t xml:space="preserve"> through the joint creation of </w:t>
      </w:r>
      <w:r w:rsidRPr="00636D37">
        <w:rPr>
          <w:rFonts w:cs="Times New Roman"/>
          <w:sz w:val="22"/>
          <w:szCs w:val="22"/>
          <w:lang w:val="en-GB"/>
        </w:rPr>
        <w:t>open online courses based on best experience</w:t>
      </w:r>
      <w:r>
        <w:rPr>
          <w:rFonts w:cs="Times New Roman"/>
          <w:sz w:val="22"/>
          <w:szCs w:val="22"/>
          <w:lang w:val="en-GB"/>
        </w:rPr>
        <w:t>.</w:t>
      </w:r>
      <w:r w:rsidRPr="00636D37">
        <w:rPr>
          <w:rFonts w:cs="Times New Roman"/>
          <w:sz w:val="22"/>
          <w:szCs w:val="22"/>
          <w:lang w:val="en-GB"/>
        </w:rPr>
        <w:t xml:space="preserve"> </w:t>
      </w:r>
    </w:p>
    <w:p w14:paraId="24A29362" w14:textId="77777777" w:rsidR="00F16F0A" w:rsidRPr="00B52A32" w:rsidRDefault="00F16F0A" w:rsidP="00F16F0A">
      <w:pPr>
        <w:spacing w:before="120" w:after="120" w:line="264" w:lineRule="auto"/>
        <w:jc w:val="both"/>
        <w:rPr>
          <w:rFonts w:cs="Times New Roman"/>
          <w:i/>
          <w:sz w:val="22"/>
          <w:szCs w:val="22"/>
          <w:lang w:val="en-GB"/>
        </w:rPr>
      </w:pPr>
      <w:r w:rsidRPr="00B52A32">
        <w:rPr>
          <w:rFonts w:cs="Times New Roman"/>
          <w:i/>
          <w:sz w:val="22"/>
          <w:szCs w:val="22"/>
          <w:lang w:val="en-GB"/>
        </w:rPr>
        <w:t>Target groups</w:t>
      </w:r>
      <w:r>
        <w:rPr>
          <w:rFonts w:cs="Times New Roman"/>
          <w:i/>
          <w:sz w:val="22"/>
          <w:szCs w:val="22"/>
          <w:lang w:val="en-GB"/>
        </w:rPr>
        <w:t xml:space="preserve"> for Priority 1.1</w:t>
      </w:r>
      <w:r w:rsidRPr="00B52A32">
        <w:rPr>
          <w:rFonts w:cs="Times New Roman"/>
          <w:i/>
          <w:sz w:val="22"/>
          <w:szCs w:val="22"/>
          <w:lang w:val="en-GB"/>
        </w:rPr>
        <w:t>:</w:t>
      </w:r>
    </w:p>
    <w:p w14:paraId="0BFCED5F" w14:textId="2372E8F5" w:rsidR="00F16F0A" w:rsidRPr="00F13025" w:rsidRDefault="00F16F0A" w:rsidP="00F16F0A">
      <w:pPr>
        <w:spacing w:before="120" w:after="0" w:line="252" w:lineRule="auto"/>
        <w:jc w:val="both"/>
        <w:rPr>
          <w:sz w:val="22"/>
          <w:szCs w:val="22"/>
          <w:lang w:val="en-GB"/>
        </w:rPr>
      </w:pPr>
      <w:r w:rsidRPr="00F13025">
        <w:rPr>
          <w:sz w:val="22"/>
          <w:szCs w:val="22"/>
          <w:lang w:val="en-GB"/>
        </w:rPr>
        <w:t xml:space="preserve">Tourism and regional development agencies, tourism industry associations, cultural </w:t>
      </w:r>
      <w:r>
        <w:rPr>
          <w:sz w:val="22"/>
          <w:szCs w:val="22"/>
          <w:lang w:val="en-GB"/>
        </w:rPr>
        <w:t>and arch</w:t>
      </w:r>
      <w:r w:rsidR="00B448B9">
        <w:rPr>
          <w:sz w:val="22"/>
          <w:szCs w:val="22"/>
          <w:lang w:val="en-GB"/>
        </w:rPr>
        <w:t>a</w:t>
      </w:r>
      <w:r>
        <w:rPr>
          <w:sz w:val="22"/>
          <w:szCs w:val="22"/>
          <w:lang w:val="en-GB"/>
        </w:rPr>
        <w:t xml:space="preserve">eological </w:t>
      </w:r>
      <w:r w:rsidRPr="00F13025">
        <w:rPr>
          <w:sz w:val="22"/>
          <w:szCs w:val="22"/>
          <w:lang w:val="en-GB"/>
        </w:rPr>
        <w:t>associations</w:t>
      </w:r>
      <w:r>
        <w:rPr>
          <w:sz w:val="22"/>
          <w:szCs w:val="22"/>
          <w:lang w:val="en-GB"/>
        </w:rPr>
        <w:t xml:space="preserve">/institutions, </w:t>
      </w:r>
      <w:r w:rsidRPr="00F13025">
        <w:rPr>
          <w:sz w:val="22"/>
          <w:szCs w:val="22"/>
          <w:lang w:val="en-GB"/>
        </w:rPr>
        <w:t xml:space="preserve">local/regional authorities, </w:t>
      </w:r>
      <w:r>
        <w:rPr>
          <w:sz w:val="22"/>
          <w:szCs w:val="22"/>
          <w:lang w:val="en-GB"/>
        </w:rPr>
        <w:t xml:space="preserve">universities and educational institutions, </w:t>
      </w:r>
      <w:r w:rsidRPr="00F13025">
        <w:rPr>
          <w:sz w:val="22"/>
          <w:szCs w:val="22"/>
          <w:lang w:val="en-GB"/>
        </w:rPr>
        <w:t>nature parks and protected areas</w:t>
      </w:r>
      <w:r>
        <w:rPr>
          <w:sz w:val="22"/>
          <w:szCs w:val="22"/>
          <w:lang w:val="en-GB"/>
        </w:rPr>
        <w:t xml:space="preserve"> management bodies, </w:t>
      </w:r>
      <w:r w:rsidRPr="00ED3C6E">
        <w:rPr>
          <w:sz w:val="22"/>
          <w:szCs w:val="22"/>
          <w:lang w:val="en-GB"/>
        </w:rPr>
        <w:t>local business associations, farmer associations</w:t>
      </w:r>
      <w:r>
        <w:rPr>
          <w:sz w:val="22"/>
          <w:szCs w:val="22"/>
          <w:lang w:val="en-GB"/>
        </w:rPr>
        <w:t xml:space="preserve"> and NGOs</w:t>
      </w:r>
      <w:r w:rsidRPr="00F13025">
        <w:rPr>
          <w:sz w:val="22"/>
          <w:szCs w:val="22"/>
          <w:lang w:val="en-GB"/>
        </w:rPr>
        <w:t>.</w:t>
      </w:r>
      <w:r>
        <w:rPr>
          <w:sz w:val="22"/>
          <w:szCs w:val="22"/>
          <w:lang w:val="en-GB"/>
        </w:rPr>
        <w:t xml:space="preserve"> </w:t>
      </w:r>
    </w:p>
    <w:p w14:paraId="012B1607" w14:textId="77777777" w:rsidR="00F16F0A" w:rsidRDefault="00F16F0A" w:rsidP="00F16F0A">
      <w:pPr>
        <w:spacing w:before="120" w:after="0" w:line="264" w:lineRule="auto"/>
        <w:jc w:val="both"/>
        <w:rPr>
          <w:b/>
          <w:sz w:val="22"/>
          <w:szCs w:val="22"/>
          <w:lang w:val="en-GB"/>
        </w:rPr>
      </w:pPr>
    </w:p>
    <w:p w14:paraId="6CF8CD14" w14:textId="77777777" w:rsidR="00F16F0A" w:rsidRPr="00393004"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0" w:line="264" w:lineRule="auto"/>
        <w:jc w:val="both"/>
        <w:rPr>
          <w:b/>
          <w:lang w:val="en-GB"/>
        </w:rPr>
      </w:pPr>
      <w:r w:rsidRPr="00393004">
        <w:rPr>
          <w:b/>
          <w:lang w:val="en-GB"/>
        </w:rPr>
        <w:t xml:space="preserve">Priority 1.2 – </w:t>
      </w:r>
      <w:r>
        <w:rPr>
          <w:b/>
          <w:lang w:val="en-GB"/>
        </w:rPr>
        <w:t>Increase</w:t>
      </w:r>
      <w:r w:rsidRPr="00393004">
        <w:rPr>
          <w:b/>
          <w:lang w:val="en-GB"/>
        </w:rPr>
        <w:t xml:space="preserve"> cross-border trade opportunities and modernisation </w:t>
      </w:r>
      <w:r>
        <w:rPr>
          <w:b/>
          <w:lang w:val="en-GB"/>
        </w:rPr>
        <w:t>in</w:t>
      </w:r>
      <w:r w:rsidRPr="00393004">
        <w:rPr>
          <w:b/>
          <w:lang w:val="en-GB"/>
        </w:rPr>
        <w:t xml:space="preserve"> the agricultural and connected sectors</w:t>
      </w:r>
      <w:r w:rsidRPr="00393004">
        <w:rPr>
          <w:rStyle w:val="FootnoteReference"/>
          <w:b/>
          <w:lang w:val="en-GB"/>
        </w:rPr>
        <w:footnoteReference w:id="57"/>
      </w:r>
      <w:r w:rsidRPr="00393004">
        <w:rPr>
          <w:b/>
          <w:lang w:val="en-GB"/>
        </w:rPr>
        <w:t xml:space="preserve"> </w:t>
      </w:r>
    </w:p>
    <w:p w14:paraId="1FE05D7F" w14:textId="77777777" w:rsidR="00F16F0A" w:rsidRPr="00393004" w:rsidRDefault="00F16F0A" w:rsidP="00F16F0A">
      <w:pPr>
        <w:spacing w:before="120" w:after="120" w:line="264" w:lineRule="auto"/>
        <w:rPr>
          <w:i/>
          <w:sz w:val="22"/>
          <w:szCs w:val="22"/>
          <w:lang w:val="en-GB"/>
        </w:rPr>
      </w:pPr>
      <w:r w:rsidRPr="00393004">
        <w:rPr>
          <w:i/>
          <w:sz w:val="22"/>
          <w:szCs w:val="22"/>
          <w:lang w:val="en-GB"/>
        </w:rPr>
        <w:t>Justification for the definition of priority 1.2:</w:t>
      </w:r>
    </w:p>
    <w:p w14:paraId="7D6F9F6F" w14:textId="77777777" w:rsidR="00F16F0A" w:rsidRPr="00393004" w:rsidRDefault="00F16F0A" w:rsidP="00EE745F">
      <w:pPr>
        <w:pStyle w:val="ListParagraph"/>
        <w:numPr>
          <w:ilvl w:val="0"/>
          <w:numId w:val="14"/>
        </w:numPr>
        <w:spacing w:before="120" w:after="120" w:line="264" w:lineRule="auto"/>
        <w:ind w:left="714" w:hanging="357"/>
        <w:jc w:val="both"/>
        <w:rPr>
          <w:sz w:val="22"/>
          <w:szCs w:val="22"/>
          <w:lang w:val="en-GB"/>
        </w:rPr>
      </w:pPr>
      <w:r w:rsidRPr="00393004">
        <w:rPr>
          <w:sz w:val="22"/>
          <w:szCs w:val="22"/>
          <w:lang w:val="en-GB"/>
        </w:rPr>
        <w:t xml:space="preserve">Support to the development and modernisation of businesses in specific sectors was strongly supported during the consultation process. </w:t>
      </w:r>
    </w:p>
    <w:p w14:paraId="3E445E69" w14:textId="77777777" w:rsidR="00F16F0A" w:rsidRPr="00685F65"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Modernisation of the a</w:t>
      </w:r>
      <w:r w:rsidRPr="00685F65">
        <w:rPr>
          <w:sz w:val="22"/>
          <w:szCs w:val="22"/>
          <w:lang w:val="en-GB"/>
        </w:rPr>
        <w:t xml:space="preserve">gricultural sector </w:t>
      </w:r>
      <w:r>
        <w:rPr>
          <w:sz w:val="22"/>
          <w:szCs w:val="22"/>
          <w:lang w:val="en-GB"/>
        </w:rPr>
        <w:t xml:space="preserve">and food industry </w:t>
      </w:r>
      <w:r w:rsidRPr="00685F65">
        <w:rPr>
          <w:sz w:val="22"/>
          <w:szCs w:val="22"/>
          <w:lang w:val="en-GB"/>
        </w:rPr>
        <w:t xml:space="preserve">is strongly supported </w:t>
      </w:r>
      <w:r>
        <w:rPr>
          <w:sz w:val="22"/>
          <w:szCs w:val="22"/>
          <w:lang w:val="en-GB"/>
        </w:rPr>
        <w:t>by</w:t>
      </w:r>
      <w:r w:rsidRPr="00685F65">
        <w:rPr>
          <w:sz w:val="22"/>
          <w:szCs w:val="22"/>
          <w:lang w:val="en-GB"/>
        </w:rPr>
        <w:t xml:space="preserve"> the socio-economic and SWOT analyses</w:t>
      </w:r>
      <w:r>
        <w:rPr>
          <w:sz w:val="22"/>
          <w:szCs w:val="22"/>
          <w:lang w:val="en-GB"/>
        </w:rPr>
        <w:t>.</w:t>
      </w:r>
      <w:r w:rsidRPr="00685F65">
        <w:rPr>
          <w:sz w:val="22"/>
          <w:szCs w:val="22"/>
          <w:lang w:val="en-GB"/>
        </w:rPr>
        <w:t xml:space="preserve"> </w:t>
      </w:r>
      <w:r>
        <w:rPr>
          <w:sz w:val="22"/>
          <w:szCs w:val="22"/>
          <w:lang w:val="en-GB"/>
        </w:rPr>
        <w:t>Agriculture</w:t>
      </w:r>
      <w:r w:rsidRPr="00685F65">
        <w:rPr>
          <w:sz w:val="22"/>
          <w:szCs w:val="22"/>
          <w:lang w:val="en-GB"/>
        </w:rPr>
        <w:t xml:space="preserve"> is still a substantial or major component of </w:t>
      </w:r>
      <w:r>
        <w:rPr>
          <w:sz w:val="22"/>
          <w:szCs w:val="22"/>
          <w:lang w:val="en-GB"/>
        </w:rPr>
        <w:t xml:space="preserve">the </w:t>
      </w:r>
      <w:r w:rsidRPr="00685F65">
        <w:rPr>
          <w:sz w:val="22"/>
          <w:szCs w:val="22"/>
          <w:lang w:val="en-GB"/>
        </w:rPr>
        <w:t xml:space="preserve">Black Sea </w:t>
      </w:r>
      <w:r>
        <w:rPr>
          <w:sz w:val="22"/>
          <w:szCs w:val="22"/>
          <w:lang w:val="en-GB"/>
        </w:rPr>
        <w:t xml:space="preserve">Basin national </w:t>
      </w:r>
      <w:r w:rsidRPr="00685F65">
        <w:rPr>
          <w:sz w:val="22"/>
          <w:szCs w:val="22"/>
          <w:lang w:val="en-GB"/>
        </w:rPr>
        <w:t>economies, in particular in terms of employment or in terms of exports. Agricultural products are among the main goods traded between countries within the Black Sea Basin area suggesting potential complementarities. Organic farming presents potential</w:t>
      </w:r>
      <w:r>
        <w:rPr>
          <w:sz w:val="22"/>
          <w:szCs w:val="22"/>
          <w:lang w:val="en-GB"/>
        </w:rPr>
        <w:t xml:space="preserve"> opportunities</w:t>
      </w:r>
      <w:r w:rsidRPr="00685F65">
        <w:rPr>
          <w:sz w:val="22"/>
          <w:szCs w:val="22"/>
          <w:lang w:val="en-GB"/>
        </w:rPr>
        <w:t xml:space="preserve"> as well as the development of sustainable aquaculture.</w:t>
      </w:r>
      <w:r>
        <w:rPr>
          <w:sz w:val="22"/>
          <w:szCs w:val="22"/>
          <w:lang w:val="en-GB"/>
        </w:rPr>
        <w:t xml:space="preserve"> </w:t>
      </w:r>
    </w:p>
    <w:p w14:paraId="5FE6AA00" w14:textId="4002EC18" w:rsidR="00F16F0A"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 xml:space="preserve">It is beyond the scope of this programme in itself to modernise specific sectors, but the Black Sea Basin programme can provide good cross-border added value to the support provided by </w:t>
      </w:r>
      <w:r w:rsidR="003C6E85">
        <w:rPr>
          <w:sz w:val="22"/>
          <w:szCs w:val="22"/>
          <w:lang w:val="en-GB"/>
        </w:rPr>
        <w:t>EU programmes such as ENPARD</w:t>
      </w:r>
      <w:r w:rsidR="0022333B">
        <w:rPr>
          <w:rStyle w:val="FootnoteReference"/>
          <w:sz w:val="22"/>
          <w:szCs w:val="22"/>
          <w:lang w:val="en-GB"/>
        </w:rPr>
        <w:footnoteReference w:id="58"/>
      </w:r>
      <w:r w:rsidR="003C6E85">
        <w:rPr>
          <w:sz w:val="22"/>
          <w:szCs w:val="22"/>
          <w:lang w:val="en-GB"/>
        </w:rPr>
        <w:t xml:space="preserve">, </w:t>
      </w:r>
      <w:r>
        <w:rPr>
          <w:sz w:val="22"/>
          <w:szCs w:val="22"/>
          <w:lang w:val="en-GB"/>
        </w:rPr>
        <w:t>country-specific programmes</w:t>
      </w:r>
      <w:r w:rsidR="003C6E85">
        <w:rPr>
          <w:sz w:val="22"/>
          <w:szCs w:val="22"/>
          <w:lang w:val="en-GB"/>
        </w:rPr>
        <w:t xml:space="preserve"> </w:t>
      </w:r>
      <w:r>
        <w:rPr>
          <w:sz w:val="22"/>
          <w:szCs w:val="22"/>
          <w:lang w:val="en-GB"/>
        </w:rPr>
        <w:t xml:space="preserve">and national authorities (through the exchange of experience, promotion of trade links, networking, etc.). </w:t>
      </w:r>
    </w:p>
    <w:p w14:paraId="2F14A342" w14:textId="77777777" w:rsidR="00F16F0A" w:rsidRPr="00A303CB" w:rsidRDefault="00F16F0A" w:rsidP="00F16F0A">
      <w:pPr>
        <w:spacing w:before="60" w:after="0" w:line="264" w:lineRule="auto"/>
        <w:jc w:val="both"/>
        <w:rPr>
          <w:i/>
          <w:sz w:val="22"/>
          <w:szCs w:val="22"/>
          <w:lang w:val="en-GB"/>
        </w:rPr>
      </w:pPr>
      <w:r w:rsidRPr="00A303CB">
        <w:rPr>
          <w:i/>
          <w:sz w:val="22"/>
          <w:szCs w:val="22"/>
          <w:lang w:val="en-GB"/>
        </w:rPr>
        <w:t>Ex</w:t>
      </w:r>
      <w:r>
        <w:rPr>
          <w:i/>
          <w:sz w:val="22"/>
          <w:szCs w:val="22"/>
          <w:lang w:val="en-GB"/>
        </w:rPr>
        <w:t>pected result under Priority 1.2</w:t>
      </w:r>
      <w:r w:rsidRPr="00A303CB">
        <w:rPr>
          <w:i/>
          <w:sz w:val="22"/>
          <w:szCs w:val="22"/>
          <w:lang w:val="en-GB"/>
        </w:rPr>
        <w:t>:</w:t>
      </w:r>
    </w:p>
    <w:p w14:paraId="45C7EBF9" w14:textId="77777777" w:rsidR="00F16F0A" w:rsidRPr="0016012A" w:rsidRDefault="00F16F0A" w:rsidP="00F16F0A">
      <w:pPr>
        <w:spacing w:before="120" w:after="120" w:line="264" w:lineRule="auto"/>
        <w:ind w:left="720"/>
        <w:jc w:val="both"/>
        <w:rPr>
          <w:sz w:val="22"/>
          <w:szCs w:val="22"/>
          <w:lang w:val="en-GB"/>
        </w:rPr>
      </w:pPr>
      <w:r w:rsidRPr="0016012A">
        <w:rPr>
          <w:sz w:val="22"/>
          <w:szCs w:val="22"/>
          <w:lang w:val="en-GB"/>
        </w:rPr>
        <w:t>Increased cross-border links for trade and modernisation in the agricultural and connected sectors in the Black Sea Basin</w:t>
      </w:r>
    </w:p>
    <w:p w14:paraId="21B496DC" w14:textId="77777777" w:rsidR="00F16F0A" w:rsidRPr="0016012A" w:rsidRDefault="00F16F0A" w:rsidP="00F16F0A">
      <w:pPr>
        <w:spacing w:before="120" w:after="120" w:line="264" w:lineRule="auto"/>
        <w:jc w:val="both"/>
        <w:rPr>
          <w:i/>
          <w:sz w:val="22"/>
          <w:szCs w:val="22"/>
          <w:lang w:val="en-GB"/>
        </w:rPr>
      </w:pPr>
      <w:r w:rsidRPr="0016012A">
        <w:rPr>
          <w:i/>
          <w:sz w:val="22"/>
          <w:szCs w:val="22"/>
          <w:lang w:val="en-GB"/>
        </w:rPr>
        <w:t>Indicative activities/orientations under Priority 1.2:</w:t>
      </w:r>
    </w:p>
    <w:p w14:paraId="280C42E0" w14:textId="77777777" w:rsidR="00F16F0A" w:rsidRPr="0016012A" w:rsidRDefault="00F16F0A" w:rsidP="00EE745F">
      <w:pPr>
        <w:pStyle w:val="ListParagraph"/>
        <w:numPr>
          <w:ilvl w:val="0"/>
          <w:numId w:val="16"/>
        </w:numPr>
        <w:spacing w:after="60" w:line="264" w:lineRule="auto"/>
        <w:ind w:left="714" w:hanging="357"/>
        <w:jc w:val="both"/>
        <w:rPr>
          <w:sz w:val="22"/>
          <w:szCs w:val="22"/>
          <w:lang w:val="en-GB"/>
        </w:rPr>
      </w:pPr>
      <w:r w:rsidRPr="0016012A">
        <w:rPr>
          <w:sz w:val="22"/>
          <w:szCs w:val="22"/>
          <w:lang w:val="en-GB"/>
        </w:rPr>
        <w:lastRenderedPageBreak/>
        <w:t>Promotion of international trade links, sectoral and cross-sectoral networks and partnerships (e.g. business forums) within the Black Sea Basin and support to internationalisation of exchanges (e.g. capacity building).</w:t>
      </w:r>
    </w:p>
    <w:p w14:paraId="796E53C1" w14:textId="77777777" w:rsidR="00F16F0A" w:rsidRPr="0016012A" w:rsidRDefault="00F16F0A" w:rsidP="00EE745F">
      <w:pPr>
        <w:pStyle w:val="ListParagraph"/>
        <w:numPr>
          <w:ilvl w:val="0"/>
          <w:numId w:val="16"/>
        </w:numPr>
        <w:spacing w:before="120" w:line="264" w:lineRule="auto"/>
        <w:jc w:val="both"/>
        <w:rPr>
          <w:sz w:val="22"/>
          <w:szCs w:val="22"/>
          <w:lang w:val="en-GB"/>
        </w:rPr>
      </w:pPr>
      <w:r w:rsidRPr="0016012A">
        <w:rPr>
          <w:sz w:val="22"/>
          <w:szCs w:val="22"/>
          <w:lang w:val="en-GB"/>
        </w:rPr>
        <w:t xml:space="preserve">Strengthen internet connectivity, cross-border business information exchange systems, </w:t>
      </w:r>
      <w:proofErr w:type="gramStart"/>
      <w:r w:rsidRPr="0016012A">
        <w:rPr>
          <w:sz w:val="22"/>
          <w:szCs w:val="22"/>
          <w:lang w:val="en-GB"/>
        </w:rPr>
        <w:t>market</w:t>
      </w:r>
      <w:proofErr w:type="gramEnd"/>
      <w:r w:rsidRPr="0016012A">
        <w:rPr>
          <w:sz w:val="22"/>
          <w:szCs w:val="22"/>
          <w:lang w:val="en-GB"/>
        </w:rPr>
        <w:t xml:space="preserve"> and logistics information with greater use of information and communication technologies (ICT).</w:t>
      </w:r>
    </w:p>
    <w:p w14:paraId="188FFECA" w14:textId="77777777" w:rsidR="00F16F0A" w:rsidRPr="0016012A" w:rsidRDefault="00F16F0A" w:rsidP="00EE745F">
      <w:pPr>
        <w:pStyle w:val="ListParagraph"/>
        <w:numPr>
          <w:ilvl w:val="0"/>
          <w:numId w:val="16"/>
        </w:numPr>
        <w:spacing w:before="120" w:line="264" w:lineRule="auto"/>
        <w:jc w:val="both"/>
        <w:rPr>
          <w:sz w:val="22"/>
          <w:szCs w:val="22"/>
          <w:lang w:val="en-GB"/>
        </w:rPr>
      </w:pPr>
      <w:r w:rsidRPr="0016012A">
        <w:rPr>
          <w:sz w:val="22"/>
          <w:szCs w:val="22"/>
          <w:lang w:val="en-GB"/>
        </w:rPr>
        <w:t>Exchange good practice in modern and innovative marketing and trade strategies, electronic marketing tools and develop joint marketing strategies (e.g. regional branding).</w:t>
      </w:r>
    </w:p>
    <w:p w14:paraId="672E3F9B" w14:textId="77777777" w:rsidR="00F16F0A" w:rsidRPr="0016012A" w:rsidRDefault="00F16F0A" w:rsidP="00EE745F">
      <w:pPr>
        <w:pStyle w:val="ListParagraph"/>
        <w:numPr>
          <w:ilvl w:val="0"/>
          <w:numId w:val="16"/>
        </w:numPr>
        <w:spacing w:after="60" w:line="264" w:lineRule="auto"/>
        <w:ind w:left="714" w:hanging="357"/>
        <w:jc w:val="both"/>
        <w:rPr>
          <w:sz w:val="22"/>
          <w:szCs w:val="22"/>
          <w:lang w:val="en-GB"/>
        </w:rPr>
      </w:pPr>
      <w:r w:rsidRPr="0016012A">
        <w:rPr>
          <w:sz w:val="22"/>
          <w:szCs w:val="22"/>
          <w:lang w:val="en-GB"/>
        </w:rPr>
        <w:t xml:space="preserve">Support innovation, research and cooperation, including for the development of logistics, in the agricultural industry, jointly developing and implementing best practices in producing quality agricultural products. </w:t>
      </w:r>
    </w:p>
    <w:p w14:paraId="744B0E4C" w14:textId="77777777" w:rsidR="00F16F0A" w:rsidRDefault="00F16F0A" w:rsidP="00EE745F">
      <w:pPr>
        <w:pStyle w:val="ListParagraph"/>
        <w:numPr>
          <w:ilvl w:val="0"/>
          <w:numId w:val="16"/>
        </w:numPr>
        <w:spacing w:after="60" w:line="264" w:lineRule="auto"/>
        <w:ind w:left="714" w:hanging="357"/>
        <w:jc w:val="both"/>
        <w:rPr>
          <w:sz w:val="22"/>
          <w:szCs w:val="22"/>
          <w:lang w:val="en-GB"/>
        </w:rPr>
      </w:pPr>
      <w:r w:rsidRPr="0016012A">
        <w:rPr>
          <w:sz w:val="22"/>
          <w:szCs w:val="22"/>
          <w:lang w:val="en-GB"/>
        </w:rPr>
        <w:t>Introduction of innovative technologies</w:t>
      </w:r>
      <w:r>
        <w:rPr>
          <w:sz w:val="22"/>
          <w:szCs w:val="22"/>
          <w:lang w:val="en-GB"/>
        </w:rPr>
        <w:t xml:space="preserve"> for sectoral development (organic/bio </w:t>
      </w:r>
      <w:r w:rsidRPr="00393004">
        <w:rPr>
          <w:sz w:val="22"/>
          <w:szCs w:val="22"/>
          <w:lang w:val="en-GB"/>
        </w:rPr>
        <w:t xml:space="preserve">products, sustainable aquaculture), including </w:t>
      </w:r>
      <w:r>
        <w:rPr>
          <w:sz w:val="22"/>
          <w:szCs w:val="22"/>
          <w:lang w:val="en-GB"/>
        </w:rPr>
        <w:t xml:space="preserve">exchange of experience and </w:t>
      </w:r>
      <w:r w:rsidRPr="00393004">
        <w:rPr>
          <w:sz w:val="22"/>
          <w:szCs w:val="22"/>
          <w:lang w:val="en-GB"/>
        </w:rPr>
        <w:t>small-scale inves</w:t>
      </w:r>
      <w:r>
        <w:rPr>
          <w:sz w:val="22"/>
          <w:szCs w:val="22"/>
          <w:lang w:val="en-GB"/>
        </w:rPr>
        <w:t>t</w:t>
      </w:r>
      <w:r w:rsidRPr="00393004">
        <w:rPr>
          <w:sz w:val="22"/>
          <w:szCs w:val="22"/>
          <w:lang w:val="en-GB"/>
        </w:rPr>
        <w:t>ments in pilot projects.</w:t>
      </w:r>
    </w:p>
    <w:p w14:paraId="7E707683" w14:textId="77777777" w:rsidR="00F16F0A" w:rsidRPr="00393004" w:rsidRDefault="00F16F0A" w:rsidP="00EE745F">
      <w:pPr>
        <w:pStyle w:val="ListParagraph"/>
        <w:numPr>
          <w:ilvl w:val="0"/>
          <w:numId w:val="16"/>
        </w:numPr>
        <w:spacing w:after="60" w:line="264" w:lineRule="auto"/>
        <w:ind w:left="714" w:hanging="357"/>
        <w:jc w:val="both"/>
        <w:rPr>
          <w:sz w:val="22"/>
          <w:szCs w:val="22"/>
          <w:lang w:val="en-GB"/>
        </w:rPr>
      </w:pPr>
      <w:r w:rsidRPr="002172C1">
        <w:rPr>
          <w:sz w:val="22"/>
          <w:szCs w:val="22"/>
          <w:lang w:val="en-GB"/>
        </w:rPr>
        <w:t>Support entrepreneurial culture through</w:t>
      </w:r>
      <w:r>
        <w:rPr>
          <w:sz w:val="22"/>
          <w:szCs w:val="22"/>
          <w:lang w:val="en-GB"/>
        </w:rPr>
        <w:t xml:space="preserve"> teaching and</w:t>
      </w:r>
      <w:r w:rsidRPr="002172C1">
        <w:rPr>
          <w:sz w:val="22"/>
          <w:szCs w:val="22"/>
          <w:lang w:val="en-GB"/>
        </w:rPr>
        <w:t xml:space="preserve"> traini</w:t>
      </w:r>
      <w:r>
        <w:rPr>
          <w:sz w:val="22"/>
          <w:szCs w:val="22"/>
          <w:lang w:val="en-GB"/>
        </w:rPr>
        <w:t xml:space="preserve">ng for young people working in </w:t>
      </w:r>
      <w:r w:rsidRPr="002172C1">
        <w:rPr>
          <w:sz w:val="22"/>
          <w:szCs w:val="22"/>
          <w:lang w:val="en-GB"/>
        </w:rPr>
        <w:t>agricultural and connected sectors</w:t>
      </w:r>
      <w:r>
        <w:rPr>
          <w:sz w:val="22"/>
          <w:szCs w:val="22"/>
          <w:lang w:val="en-GB"/>
        </w:rPr>
        <w:t>; share good practices in this field.</w:t>
      </w:r>
    </w:p>
    <w:p w14:paraId="3B7F7800" w14:textId="77777777" w:rsidR="00F16F0A" w:rsidRPr="00393004" w:rsidRDefault="00F16F0A" w:rsidP="00EE745F">
      <w:pPr>
        <w:pStyle w:val="ListParagraph"/>
        <w:numPr>
          <w:ilvl w:val="0"/>
          <w:numId w:val="16"/>
        </w:numPr>
        <w:spacing w:after="60" w:line="264" w:lineRule="auto"/>
        <w:ind w:left="714" w:hanging="357"/>
        <w:jc w:val="both"/>
        <w:rPr>
          <w:sz w:val="22"/>
          <w:szCs w:val="22"/>
          <w:lang w:val="en-GB"/>
        </w:rPr>
      </w:pPr>
      <w:r w:rsidRPr="00393004">
        <w:rPr>
          <w:sz w:val="22"/>
          <w:szCs w:val="22"/>
          <w:lang w:val="en-GB"/>
        </w:rPr>
        <w:t>Exchange of best practice experience on the practical introduction of standards (e.g. food safety).</w:t>
      </w:r>
    </w:p>
    <w:p w14:paraId="242B6DF2" w14:textId="77777777" w:rsidR="00F16F0A" w:rsidRPr="00393004" w:rsidRDefault="00F16F0A" w:rsidP="00EE745F">
      <w:pPr>
        <w:pStyle w:val="ListParagraph"/>
        <w:numPr>
          <w:ilvl w:val="0"/>
          <w:numId w:val="16"/>
        </w:numPr>
        <w:spacing w:after="60" w:line="264" w:lineRule="auto"/>
        <w:ind w:left="714" w:hanging="357"/>
        <w:jc w:val="both"/>
        <w:rPr>
          <w:sz w:val="22"/>
          <w:szCs w:val="22"/>
          <w:lang w:val="en-GB"/>
        </w:rPr>
      </w:pPr>
      <w:r w:rsidRPr="00393004">
        <w:rPr>
          <w:sz w:val="22"/>
          <w:szCs w:val="22"/>
          <w:lang w:val="en-GB"/>
        </w:rPr>
        <w:t xml:space="preserve">Joint actions to support productive use of migrant remittances in </w:t>
      </w:r>
      <w:r>
        <w:rPr>
          <w:sz w:val="22"/>
          <w:szCs w:val="22"/>
          <w:lang w:val="en-GB"/>
        </w:rPr>
        <w:t xml:space="preserve">the modernisation of the </w:t>
      </w:r>
      <w:r w:rsidRPr="00393004">
        <w:rPr>
          <w:sz w:val="22"/>
          <w:szCs w:val="22"/>
          <w:lang w:val="en-GB"/>
        </w:rPr>
        <w:t>agriculture/aquaculture/food industry.</w:t>
      </w:r>
    </w:p>
    <w:p w14:paraId="31259D81" w14:textId="77777777" w:rsidR="00F16F0A" w:rsidRPr="001A1D98" w:rsidRDefault="00F16F0A" w:rsidP="00F16F0A">
      <w:pPr>
        <w:spacing w:before="120" w:after="120" w:line="264" w:lineRule="auto"/>
        <w:jc w:val="both"/>
        <w:rPr>
          <w:rFonts w:cs="Times New Roman"/>
          <w:i/>
          <w:sz w:val="22"/>
          <w:szCs w:val="22"/>
          <w:lang w:val="en-GB"/>
        </w:rPr>
      </w:pPr>
      <w:r>
        <w:rPr>
          <w:rFonts w:cs="Times New Roman"/>
          <w:i/>
          <w:sz w:val="22"/>
          <w:szCs w:val="22"/>
          <w:lang w:val="en-GB"/>
        </w:rPr>
        <w:t>Target groups for Priority 1.2:</w:t>
      </w:r>
    </w:p>
    <w:p w14:paraId="0B18275F" w14:textId="77777777" w:rsidR="00F16F0A" w:rsidRPr="004369F3" w:rsidRDefault="00F16F0A" w:rsidP="00F16F0A">
      <w:pPr>
        <w:widowControl w:val="0"/>
        <w:autoSpaceDE w:val="0"/>
        <w:autoSpaceDN w:val="0"/>
        <w:adjustRightInd w:val="0"/>
        <w:spacing w:after="0" w:line="240" w:lineRule="auto"/>
        <w:jc w:val="both"/>
        <w:rPr>
          <w:rFonts w:cs="Times New Roman"/>
          <w:sz w:val="22"/>
          <w:szCs w:val="22"/>
          <w:lang w:val="en-GB"/>
        </w:rPr>
      </w:pPr>
      <w:proofErr w:type="gramStart"/>
      <w:r w:rsidRPr="004369F3">
        <w:rPr>
          <w:rFonts w:eastAsia="Times New Roman" w:cs="Times New Roman"/>
          <w:color w:val="000000"/>
          <w:sz w:val="22"/>
          <w:szCs w:val="22"/>
          <w:lang w:val="en-GB"/>
        </w:rPr>
        <w:t>Ch</w:t>
      </w:r>
      <w:r w:rsidRPr="004369F3">
        <w:rPr>
          <w:rFonts w:cs="Times New Roman"/>
          <w:sz w:val="22"/>
          <w:szCs w:val="22"/>
          <w:lang w:val="en-GB"/>
        </w:rPr>
        <w:t xml:space="preserve">ambers of commerce, business support and regional development agencies, farmer </w:t>
      </w:r>
      <w:r>
        <w:rPr>
          <w:rFonts w:cs="Times New Roman"/>
          <w:sz w:val="22"/>
          <w:szCs w:val="22"/>
          <w:lang w:val="en-GB"/>
        </w:rPr>
        <w:t xml:space="preserve">associations </w:t>
      </w:r>
      <w:r w:rsidRPr="004369F3">
        <w:rPr>
          <w:rFonts w:cs="Times New Roman"/>
          <w:sz w:val="22"/>
          <w:szCs w:val="22"/>
          <w:lang w:val="en-GB"/>
        </w:rPr>
        <w:t xml:space="preserve">and agro-industry associations, SME associations, </w:t>
      </w:r>
      <w:r>
        <w:rPr>
          <w:rFonts w:cs="Times New Roman"/>
          <w:sz w:val="22"/>
          <w:szCs w:val="22"/>
          <w:lang w:val="en-GB"/>
        </w:rPr>
        <w:t>business associations</w:t>
      </w:r>
      <w:r w:rsidRPr="004369F3">
        <w:rPr>
          <w:rFonts w:cs="Times New Roman"/>
          <w:sz w:val="22"/>
          <w:szCs w:val="22"/>
          <w:lang w:val="en-GB"/>
        </w:rPr>
        <w:t>, aquaculture and fisheries associations, migrant</w:t>
      </w:r>
      <w:r>
        <w:rPr>
          <w:rFonts w:cs="Times New Roman"/>
          <w:sz w:val="22"/>
          <w:szCs w:val="22"/>
          <w:lang w:val="en-GB"/>
        </w:rPr>
        <w:t xml:space="preserve"> association</w:t>
      </w:r>
      <w:r w:rsidRPr="004369F3">
        <w:rPr>
          <w:rFonts w:cs="Times New Roman"/>
          <w:sz w:val="22"/>
          <w:szCs w:val="22"/>
          <w:lang w:val="en-GB"/>
        </w:rPr>
        <w:t>s</w:t>
      </w:r>
      <w:r>
        <w:rPr>
          <w:rFonts w:cs="Times New Roman"/>
          <w:sz w:val="22"/>
          <w:szCs w:val="22"/>
          <w:lang w:val="en-GB"/>
        </w:rPr>
        <w:t xml:space="preserve">, </w:t>
      </w:r>
      <w:r w:rsidRPr="004369F3">
        <w:rPr>
          <w:rFonts w:cs="Times New Roman"/>
          <w:sz w:val="22"/>
          <w:szCs w:val="22"/>
          <w:lang w:val="en-GB"/>
        </w:rPr>
        <w:t>regional/local authorities and agencies</w:t>
      </w:r>
      <w:r>
        <w:rPr>
          <w:rFonts w:cs="Times New Roman"/>
          <w:sz w:val="22"/>
          <w:szCs w:val="22"/>
          <w:lang w:val="en-GB"/>
        </w:rPr>
        <w:t xml:space="preserve"> and research institutes</w:t>
      </w:r>
      <w:r w:rsidRPr="004369F3">
        <w:rPr>
          <w:rFonts w:cs="Times New Roman"/>
          <w:sz w:val="22"/>
          <w:szCs w:val="22"/>
          <w:lang w:val="en-GB"/>
        </w:rPr>
        <w:t>.</w:t>
      </w:r>
      <w:proofErr w:type="gramEnd"/>
    </w:p>
    <w:p w14:paraId="38AB2242" w14:textId="77777777" w:rsidR="00F16F0A" w:rsidRDefault="00F16F0A" w:rsidP="00F16F0A">
      <w:pPr>
        <w:spacing w:before="120" w:after="0" w:line="264" w:lineRule="auto"/>
        <w:jc w:val="both"/>
        <w:rPr>
          <w:b/>
          <w:sz w:val="22"/>
          <w:szCs w:val="22"/>
          <w:lang w:val="en-GB"/>
        </w:rPr>
      </w:pPr>
    </w:p>
    <w:p w14:paraId="184E010A" w14:textId="77777777" w:rsidR="00F16F0A" w:rsidRPr="00EE3C52" w:rsidRDefault="00F16F0A" w:rsidP="00F16F0A">
      <w:pPr>
        <w:pStyle w:val="ListBullet"/>
        <w:spacing w:before="120" w:after="0"/>
        <w:ind w:left="351" w:hanging="357"/>
        <w:jc w:val="both"/>
        <w:rPr>
          <w:sz w:val="22"/>
          <w:szCs w:val="22"/>
          <w:lang w:val="en-GB"/>
        </w:rPr>
      </w:pPr>
      <w:r w:rsidRPr="00EE3C52">
        <w:rPr>
          <w:sz w:val="22"/>
          <w:szCs w:val="22"/>
          <w:lang w:val="en-GB"/>
        </w:rPr>
        <w:t>The Bla</w:t>
      </w:r>
      <w:r>
        <w:rPr>
          <w:sz w:val="22"/>
          <w:szCs w:val="22"/>
          <w:lang w:val="en-GB"/>
        </w:rPr>
        <w:t xml:space="preserve">ck Sea Basin programme will contribute to the achievement of </w:t>
      </w:r>
      <w:r w:rsidRPr="00EE3C52">
        <w:rPr>
          <w:sz w:val="22"/>
          <w:szCs w:val="22"/>
          <w:lang w:val="en-GB"/>
        </w:rPr>
        <w:t xml:space="preserve">ENI CBC </w:t>
      </w:r>
      <w:r>
        <w:rPr>
          <w:sz w:val="22"/>
          <w:szCs w:val="22"/>
          <w:lang w:val="en-GB"/>
        </w:rPr>
        <w:t xml:space="preserve">Thematic </w:t>
      </w:r>
      <w:r w:rsidRPr="00EE3C52">
        <w:rPr>
          <w:sz w:val="22"/>
          <w:szCs w:val="22"/>
          <w:lang w:val="en-GB"/>
        </w:rPr>
        <w:t>Objective 6</w:t>
      </w:r>
      <w:r>
        <w:rPr>
          <w:sz w:val="22"/>
          <w:szCs w:val="22"/>
          <w:lang w:val="en-GB"/>
        </w:rPr>
        <w:t>. ‘</w:t>
      </w:r>
      <w:r w:rsidR="007E7479" w:rsidRPr="00C619D3">
        <w:rPr>
          <w:rFonts w:eastAsia="Calibri"/>
          <w:sz w:val="22"/>
          <w:szCs w:val="22"/>
          <w:lang w:val="en-GB"/>
        </w:rPr>
        <w:t xml:space="preserve">Environmental protection, and climate change mitigation and adaptation’ </w:t>
      </w:r>
      <w:r w:rsidRPr="00EE3C52">
        <w:rPr>
          <w:sz w:val="22"/>
          <w:szCs w:val="22"/>
          <w:lang w:val="en-GB"/>
        </w:rPr>
        <w:t xml:space="preserve">via </w:t>
      </w:r>
      <w:r>
        <w:rPr>
          <w:sz w:val="22"/>
          <w:szCs w:val="22"/>
          <w:lang w:val="en-GB"/>
        </w:rPr>
        <w:t>the programme</w:t>
      </w:r>
      <w:r w:rsidRPr="00EE3C52">
        <w:rPr>
          <w:sz w:val="22"/>
          <w:szCs w:val="22"/>
          <w:lang w:val="en-GB"/>
        </w:rPr>
        <w:t xml:space="preserve"> objective: </w:t>
      </w:r>
    </w:p>
    <w:p w14:paraId="038AA5EB" w14:textId="77777777" w:rsidR="00F16F0A" w:rsidRPr="00B2799E"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0" w:line="264" w:lineRule="auto"/>
        <w:jc w:val="both"/>
        <w:rPr>
          <w:b/>
          <w:lang w:val="en-GB"/>
        </w:rPr>
      </w:pPr>
      <w:proofErr w:type="gramStart"/>
      <w:r w:rsidRPr="00393004">
        <w:rPr>
          <w:b/>
          <w:lang w:val="en-GB"/>
        </w:rPr>
        <w:t>Objective 2.</w:t>
      </w:r>
      <w:proofErr w:type="gramEnd"/>
      <w:r w:rsidRPr="00393004">
        <w:rPr>
          <w:b/>
          <w:lang w:val="en-GB"/>
        </w:rPr>
        <w:t xml:space="preserve"> Promote coordination of environmental protection and joint reduction of marine litter</w:t>
      </w:r>
      <w:r w:rsidRPr="00393004">
        <w:rPr>
          <w:rStyle w:val="FootnoteReference"/>
          <w:b/>
          <w:sz w:val="22"/>
          <w:szCs w:val="22"/>
          <w:lang w:val="en-GB"/>
        </w:rPr>
        <w:footnoteReference w:id="59"/>
      </w:r>
      <w:r w:rsidRPr="00393004">
        <w:rPr>
          <w:b/>
          <w:lang w:val="en-GB"/>
        </w:rPr>
        <w:t xml:space="preserve"> in</w:t>
      </w:r>
      <w:r w:rsidRPr="00B2799E">
        <w:rPr>
          <w:b/>
          <w:lang w:val="en-GB"/>
        </w:rPr>
        <w:t xml:space="preserve"> the Black Sea Basin</w:t>
      </w:r>
    </w:p>
    <w:p w14:paraId="790BCE35" w14:textId="77777777" w:rsidR="00F16F0A" w:rsidRPr="007F002D" w:rsidRDefault="00F16F0A" w:rsidP="00F16F0A">
      <w:pPr>
        <w:pStyle w:val="ListBullet"/>
        <w:numPr>
          <w:ilvl w:val="0"/>
          <w:numId w:val="0"/>
        </w:numPr>
        <w:spacing w:before="120"/>
        <w:jc w:val="both"/>
        <w:rPr>
          <w:b/>
          <w:sz w:val="10"/>
          <w:szCs w:val="10"/>
          <w:lang w:val="en-GB"/>
        </w:rPr>
      </w:pPr>
    </w:p>
    <w:p w14:paraId="54F2BD0A" w14:textId="77777777" w:rsidR="00F16F0A" w:rsidRPr="00BB7AEB" w:rsidRDefault="00F16F0A" w:rsidP="00F16F0A">
      <w:pPr>
        <w:pStyle w:val="ListBullet"/>
        <w:numPr>
          <w:ilvl w:val="0"/>
          <w:numId w:val="0"/>
        </w:numPr>
        <w:spacing w:before="120"/>
        <w:ind w:left="357"/>
        <w:jc w:val="both"/>
        <w:rPr>
          <w:sz w:val="22"/>
          <w:szCs w:val="22"/>
          <w:lang w:val="en-GB"/>
        </w:rPr>
      </w:pPr>
      <w:r w:rsidRPr="00BB7AEB">
        <w:rPr>
          <w:noProof/>
          <w:sz w:val="22"/>
          <w:szCs w:val="22"/>
          <w:lang w:val="en-GB" w:eastAsia="en-GB"/>
        </w:rPr>
        <w:drawing>
          <wp:inline distT="0" distB="0" distL="0" distR="0" wp14:anchorId="2CFE0D71" wp14:editId="2956718F">
            <wp:extent cx="6635520" cy="1764030"/>
            <wp:effectExtent l="19050" t="19050" r="13335" b="4572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7F4B1726" w14:textId="77777777" w:rsidR="00F16F0A" w:rsidRPr="00393004" w:rsidRDefault="00F16F0A" w:rsidP="00F16F0A">
      <w:pPr>
        <w:spacing w:before="120" w:after="0" w:line="264" w:lineRule="auto"/>
        <w:jc w:val="both"/>
        <w:rPr>
          <w:sz w:val="22"/>
          <w:szCs w:val="22"/>
          <w:lang w:val="en-GB"/>
        </w:rPr>
      </w:pPr>
      <w:r w:rsidRPr="00393004">
        <w:rPr>
          <w:sz w:val="22"/>
          <w:szCs w:val="22"/>
          <w:lang w:val="en-GB"/>
        </w:rPr>
        <w:lastRenderedPageBreak/>
        <w:t>This programme objective will be addressed through two priorities, 2.1 and 2.2 defined for the Black Sea Basin and described below.</w:t>
      </w:r>
    </w:p>
    <w:p w14:paraId="7EC409EE" w14:textId="77777777" w:rsidR="00F16F0A" w:rsidRPr="00AC238F"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0" w:line="264" w:lineRule="auto"/>
        <w:jc w:val="both"/>
        <w:rPr>
          <w:b/>
          <w:lang w:val="en-GB"/>
        </w:rPr>
      </w:pPr>
      <w:r w:rsidRPr="00393004">
        <w:rPr>
          <w:b/>
          <w:lang w:val="en-GB"/>
        </w:rPr>
        <w:t>Priority 2.1 – Improve joint environmental monitoring</w:t>
      </w:r>
      <w:r w:rsidRPr="00AC238F">
        <w:rPr>
          <w:b/>
          <w:lang w:val="en-GB"/>
        </w:rPr>
        <w:t xml:space="preserve"> </w:t>
      </w:r>
    </w:p>
    <w:p w14:paraId="41BDFCDA" w14:textId="77777777" w:rsidR="00F16F0A" w:rsidRPr="005D0D8E" w:rsidRDefault="00F16F0A" w:rsidP="00F16F0A">
      <w:pPr>
        <w:spacing w:before="120" w:after="120" w:line="264" w:lineRule="auto"/>
        <w:rPr>
          <w:i/>
          <w:sz w:val="22"/>
          <w:szCs w:val="22"/>
          <w:lang w:val="en-GB"/>
        </w:rPr>
      </w:pPr>
      <w:r w:rsidRPr="005D0D8E">
        <w:rPr>
          <w:i/>
          <w:sz w:val="22"/>
          <w:szCs w:val="22"/>
          <w:lang w:val="en-GB"/>
        </w:rPr>
        <w:t xml:space="preserve">Justification </w:t>
      </w:r>
      <w:r>
        <w:rPr>
          <w:i/>
          <w:sz w:val="22"/>
          <w:szCs w:val="22"/>
          <w:lang w:val="en-GB"/>
        </w:rPr>
        <w:t>for the definition of Priority 2.1</w:t>
      </w:r>
      <w:r w:rsidRPr="005D0D8E">
        <w:rPr>
          <w:i/>
          <w:sz w:val="22"/>
          <w:szCs w:val="22"/>
          <w:lang w:val="en-GB"/>
        </w:rPr>
        <w:t>:</w:t>
      </w:r>
    </w:p>
    <w:p w14:paraId="309A07BF" w14:textId="3EF9D647" w:rsidR="00F16F0A"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Cooperation for solving common environmental issues</w:t>
      </w:r>
      <w:r w:rsidRPr="001B343A">
        <w:rPr>
          <w:sz w:val="22"/>
          <w:szCs w:val="22"/>
          <w:lang w:val="en-GB"/>
        </w:rPr>
        <w:t xml:space="preserve"> </w:t>
      </w:r>
      <w:r>
        <w:rPr>
          <w:sz w:val="22"/>
          <w:szCs w:val="22"/>
          <w:lang w:val="en-GB"/>
        </w:rPr>
        <w:t>is</w:t>
      </w:r>
      <w:r w:rsidRPr="001B343A">
        <w:rPr>
          <w:sz w:val="22"/>
          <w:szCs w:val="22"/>
          <w:lang w:val="en-GB"/>
        </w:rPr>
        <w:t xml:space="preserve"> strongly supported by the socio-economic and the SWOT analyses</w:t>
      </w:r>
      <w:r>
        <w:rPr>
          <w:sz w:val="22"/>
          <w:szCs w:val="22"/>
          <w:lang w:val="en-GB"/>
        </w:rPr>
        <w:t>. A sound and common knowledge base, regularly updated,</w:t>
      </w:r>
      <w:r w:rsidR="00841D78">
        <w:rPr>
          <w:sz w:val="22"/>
          <w:szCs w:val="22"/>
          <w:lang w:val="en-GB"/>
        </w:rPr>
        <w:t xml:space="preserve"> notably based on research and innovation activities,</w:t>
      </w:r>
      <w:r>
        <w:rPr>
          <w:sz w:val="22"/>
          <w:szCs w:val="22"/>
          <w:lang w:val="en-GB"/>
        </w:rPr>
        <w:t xml:space="preserve"> </w:t>
      </w:r>
      <w:proofErr w:type="gramStart"/>
      <w:r>
        <w:rPr>
          <w:sz w:val="22"/>
          <w:szCs w:val="22"/>
          <w:lang w:val="en-GB"/>
        </w:rPr>
        <w:t>is</w:t>
      </w:r>
      <w:proofErr w:type="gramEnd"/>
      <w:r>
        <w:rPr>
          <w:sz w:val="22"/>
          <w:szCs w:val="22"/>
          <w:lang w:val="en-GB"/>
        </w:rPr>
        <w:t xml:space="preserve"> necessary for consistent and coordinated actions by stakeholders around the Black Sea and to assess trends and quickly and effectively react to threats.</w:t>
      </w:r>
    </w:p>
    <w:p w14:paraId="2027E7FB" w14:textId="40B4987D" w:rsidR="00F16F0A"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Measure 2.1 (strengthen joint knowledge and information base to address common environmental challenges) was by far the most popular area of cooperation in the 2007-2014 programme, both in terms of number of projects and partners (1/4 of all projects awarded and &gt;1/4 of all project partners) and in terms of funds allocated (1/3 of funds). The new ENI CBC programme should build upon and extend, but not repeat, the joint work already carried out. Actions supported should be consistent with, but not duplicate, existing information systems and monitor</w:t>
      </w:r>
      <w:r w:rsidR="00BE44B9">
        <w:rPr>
          <w:sz w:val="22"/>
          <w:szCs w:val="22"/>
          <w:lang w:val="en-GB"/>
        </w:rPr>
        <w:t xml:space="preserve">ing activities carried out </w:t>
      </w:r>
      <w:r>
        <w:rPr>
          <w:sz w:val="22"/>
          <w:szCs w:val="22"/>
          <w:lang w:val="en-GB"/>
        </w:rPr>
        <w:t>notably by the Black Sea Commission</w:t>
      </w:r>
      <w:r w:rsidR="000D5526" w:rsidRPr="00EB5EBA">
        <w:rPr>
          <w:rStyle w:val="FootnoteReference"/>
          <w:sz w:val="22"/>
          <w:szCs w:val="22"/>
          <w:lang w:val="en-GB"/>
        </w:rPr>
        <w:footnoteReference w:id="60"/>
      </w:r>
      <w:r w:rsidR="00320C95">
        <w:rPr>
          <w:sz w:val="22"/>
          <w:szCs w:val="22"/>
          <w:lang w:val="en-GB"/>
        </w:rPr>
        <w:t>,</w:t>
      </w:r>
      <w:r w:rsidR="00317E98">
        <w:rPr>
          <w:sz w:val="22"/>
          <w:szCs w:val="22"/>
          <w:lang w:val="en-GB"/>
        </w:rPr>
        <w:t xml:space="preserve"> the European Maritime Safety Agency</w:t>
      </w:r>
      <w:r w:rsidR="000304D6">
        <w:rPr>
          <w:sz w:val="22"/>
          <w:szCs w:val="22"/>
          <w:lang w:val="en-GB"/>
        </w:rPr>
        <w:t xml:space="preserve"> (EMSA)</w:t>
      </w:r>
      <w:r w:rsidR="00320C95">
        <w:rPr>
          <w:sz w:val="22"/>
          <w:szCs w:val="22"/>
          <w:lang w:val="en-GB"/>
        </w:rPr>
        <w:t>, the European Environment Agency</w:t>
      </w:r>
      <w:r w:rsidR="00003C06">
        <w:rPr>
          <w:sz w:val="22"/>
          <w:szCs w:val="22"/>
          <w:lang w:val="en-GB"/>
        </w:rPr>
        <w:t xml:space="preserve"> within the </w:t>
      </w:r>
      <w:r w:rsidR="00320C95">
        <w:rPr>
          <w:sz w:val="22"/>
          <w:szCs w:val="22"/>
          <w:lang w:val="en-GB"/>
        </w:rPr>
        <w:t>Shared Environment</w:t>
      </w:r>
      <w:r w:rsidR="0091735F">
        <w:rPr>
          <w:sz w:val="22"/>
          <w:szCs w:val="22"/>
          <w:lang w:val="en-GB"/>
        </w:rPr>
        <w:t>al</w:t>
      </w:r>
      <w:r w:rsidR="00320C95">
        <w:rPr>
          <w:sz w:val="22"/>
          <w:szCs w:val="22"/>
          <w:lang w:val="en-GB"/>
        </w:rPr>
        <w:t xml:space="preserve"> Information System (SEIS)</w:t>
      </w:r>
      <w:r w:rsidR="00442799">
        <w:rPr>
          <w:sz w:val="22"/>
          <w:szCs w:val="22"/>
          <w:lang w:val="en-GB"/>
        </w:rPr>
        <w:t xml:space="preserve"> or</w:t>
      </w:r>
      <w:r w:rsidR="00AB4F53">
        <w:rPr>
          <w:sz w:val="22"/>
          <w:szCs w:val="22"/>
          <w:lang w:val="en-GB"/>
        </w:rPr>
        <w:t xml:space="preserve"> other</w:t>
      </w:r>
      <w:r w:rsidR="00442799">
        <w:rPr>
          <w:sz w:val="22"/>
          <w:szCs w:val="22"/>
          <w:lang w:val="en-GB"/>
        </w:rPr>
        <w:t xml:space="preserve"> </w:t>
      </w:r>
      <w:r w:rsidR="00AC3E5D">
        <w:rPr>
          <w:sz w:val="22"/>
          <w:szCs w:val="22"/>
          <w:lang w:val="en-GB"/>
        </w:rPr>
        <w:t>EU projects such as</w:t>
      </w:r>
      <w:r w:rsidR="008F7A75">
        <w:rPr>
          <w:sz w:val="22"/>
          <w:szCs w:val="22"/>
          <w:lang w:val="en-GB"/>
        </w:rPr>
        <w:t xml:space="preserve"> the</w:t>
      </w:r>
      <w:r w:rsidR="00442799">
        <w:rPr>
          <w:sz w:val="22"/>
          <w:szCs w:val="22"/>
          <w:lang w:val="en-GB"/>
        </w:rPr>
        <w:t xml:space="preserve"> </w:t>
      </w:r>
      <w:r w:rsidR="00442799" w:rsidRPr="00320C95">
        <w:rPr>
          <w:sz w:val="22"/>
          <w:szCs w:val="22"/>
          <w:lang w:val="en-GB"/>
        </w:rPr>
        <w:t>Prevention, Preparedness and Response to natural and man-made disasters in Eastern Partnership countries (PPRD East II)</w:t>
      </w:r>
      <w:r w:rsidRPr="00EB5EBA">
        <w:rPr>
          <w:sz w:val="22"/>
          <w:szCs w:val="22"/>
          <w:lang w:val="en-GB"/>
        </w:rPr>
        <w:t>.</w:t>
      </w:r>
    </w:p>
    <w:p w14:paraId="35FB4780" w14:textId="77777777" w:rsidR="00F16F0A" w:rsidRPr="001B343A" w:rsidRDefault="00F16F0A" w:rsidP="00EE745F">
      <w:pPr>
        <w:pStyle w:val="ListParagraph"/>
        <w:numPr>
          <w:ilvl w:val="0"/>
          <w:numId w:val="14"/>
        </w:numPr>
        <w:spacing w:before="120" w:after="120" w:line="264" w:lineRule="auto"/>
        <w:ind w:left="714" w:hanging="357"/>
        <w:jc w:val="both"/>
        <w:rPr>
          <w:sz w:val="22"/>
          <w:szCs w:val="22"/>
          <w:lang w:val="et-EE"/>
        </w:rPr>
      </w:pPr>
      <w:r w:rsidRPr="001B343A">
        <w:rPr>
          <w:sz w:val="22"/>
          <w:szCs w:val="22"/>
          <w:lang w:val="en-GB"/>
        </w:rPr>
        <w:t xml:space="preserve">Both the questionnaire </w:t>
      </w:r>
      <w:r>
        <w:rPr>
          <w:sz w:val="22"/>
          <w:szCs w:val="22"/>
          <w:lang w:val="en-GB"/>
        </w:rPr>
        <w:t xml:space="preserve">results </w:t>
      </w:r>
      <w:r w:rsidRPr="001B343A">
        <w:rPr>
          <w:sz w:val="22"/>
          <w:szCs w:val="22"/>
          <w:lang w:val="en-GB"/>
        </w:rPr>
        <w:t>and</w:t>
      </w:r>
      <w:r>
        <w:rPr>
          <w:sz w:val="22"/>
          <w:szCs w:val="22"/>
          <w:lang w:val="et-EE"/>
        </w:rPr>
        <w:t xml:space="preserve"> the consultations confirm </w:t>
      </w:r>
      <w:r w:rsidRPr="001B343A">
        <w:rPr>
          <w:sz w:val="22"/>
          <w:szCs w:val="22"/>
          <w:lang w:val="et-EE"/>
        </w:rPr>
        <w:t>ther</w:t>
      </w:r>
      <w:r>
        <w:rPr>
          <w:sz w:val="22"/>
          <w:szCs w:val="22"/>
          <w:lang w:val="et-EE"/>
        </w:rPr>
        <w:t>e is a clear interest in environmental</w:t>
      </w:r>
      <w:r w:rsidRPr="001B343A">
        <w:rPr>
          <w:sz w:val="22"/>
          <w:szCs w:val="22"/>
          <w:lang w:val="et-EE"/>
        </w:rPr>
        <w:t xml:space="preserve"> </w:t>
      </w:r>
      <w:r>
        <w:rPr>
          <w:sz w:val="22"/>
          <w:szCs w:val="22"/>
          <w:lang w:val="et-EE"/>
        </w:rPr>
        <w:t>issues, in particular in monitoring and risk assessment.</w:t>
      </w:r>
    </w:p>
    <w:p w14:paraId="03F2BFA3" w14:textId="77777777" w:rsidR="00F16F0A" w:rsidRPr="00A303CB" w:rsidRDefault="00F16F0A" w:rsidP="00F16F0A">
      <w:pPr>
        <w:spacing w:before="60" w:after="0" w:line="264" w:lineRule="auto"/>
        <w:jc w:val="both"/>
        <w:rPr>
          <w:i/>
          <w:sz w:val="22"/>
          <w:szCs w:val="22"/>
          <w:lang w:val="en-GB"/>
        </w:rPr>
      </w:pPr>
      <w:r>
        <w:rPr>
          <w:i/>
          <w:sz w:val="22"/>
          <w:szCs w:val="22"/>
          <w:lang w:val="en-GB"/>
        </w:rPr>
        <w:t>Expected result under Priority 2</w:t>
      </w:r>
      <w:r w:rsidRPr="00A303CB">
        <w:rPr>
          <w:i/>
          <w:sz w:val="22"/>
          <w:szCs w:val="22"/>
          <w:lang w:val="en-GB"/>
        </w:rPr>
        <w:t>.1:</w:t>
      </w:r>
    </w:p>
    <w:p w14:paraId="12AE844B" w14:textId="77777777" w:rsidR="00F16F0A" w:rsidRPr="006129DD" w:rsidRDefault="00F16F0A" w:rsidP="00F16F0A">
      <w:pPr>
        <w:pStyle w:val="ListParagraph"/>
        <w:spacing w:after="60" w:line="264" w:lineRule="auto"/>
        <w:ind w:left="714"/>
        <w:jc w:val="both"/>
        <w:rPr>
          <w:sz w:val="22"/>
          <w:szCs w:val="22"/>
          <w:lang w:val="en-GB"/>
        </w:rPr>
      </w:pPr>
      <w:r w:rsidRPr="0016012A">
        <w:rPr>
          <w:sz w:val="22"/>
          <w:szCs w:val="22"/>
          <w:lang w:val="en-GB"/>
        </w:rPr>
        <w:t>Improved availability of cross-border compatible environmental monitoring data and information within the Black Sea Basin</w:t>
      </w:r>
    </w:p>
    <w:p w14:paraId="4C15EDF0" w14:textId="77777777" w:rsidR="00F16F0A" w:rsidRPr="001A1D98" w:rsidRDefault="00F16F0A" w:rsidP="00F16F0A">
      <w:pPr>
        <w:spacing w:before="120" w:after="120" w:line="264" w:lineRule="auto"/>
        <w:jc w:val="both"/>
        <w:rPr>
          <w:i/>
          <w:sz w:val="22"/>
          <w:szCs w:val="22"/>
          <w:lang w:val="en-GB"/>
        </w:rPr>
      </w:pPr>
      <w:r w:rsidRPr="001A1D98">
        <w:rPr>
          <w:i/>
          <w:sz w:val="22"/>
          <w:szCs w:val="22"/>
          <w:lang w:val="en-GB"/>
        </w:rPr>
        <w:t>Indicative activiti</w:t>
      </w:r>
      <w:r>
        <w:rPr>
          <w:i/>
          <w:sz w:val="22"/>
          <w:szCs w:val="22"/>
          <w:lang w:val="en-GB"/>
        </w:rPr>
        <w:t>es/orientations under Priority 2.1</w:t>
      </w:r>
      <w:r w:rsidRPr="001A1D98">
        <w:rPr>
          <w:i/>
          <w:sz w:val="22"/>
          <w:szCs w:val="22"/>
          <w:lang w:val="en-GB"/>
        </w:rPr>
        <w:t>:</w:t>
      </w:r>
    </w:p>
    <w:p w14:paraId="0055EEFA" w14:textId="004CA89A" w:rsidR="00F16F0A" w:rsidRPr="002002EA" w:rsidRDefault="00F16F0A" w:rsidP="00EE745F">
      <w:pPr>
        <w:pStyle w:val="ListParagraph"/>
        <w:numPr>
          <w:ilvl w:val="0"/>
          <w:numId w:val="16"/>
        </w:numPr>
        <w:spacing w:before="120" w:after="0" w:line="264" w:lineRule="auto"/>
        <w:jc w:val="both"/>
        <w:rPr>
          <w:rFonts w:eastAsia="Times New Roman" w:cs="Times New Roman"/>
          <w:sz w:val="22"/>
          <w:szCs w:val="22"/>
          <w:lang w:val="en-GB"/>
        </w:rPr>
      </w:pPr>
      <w:r w:rsidRPr="002002EA">
        <w:rPr>
          <w:rFonts w:eastAsia="Times New Roman" w:cs="Times New Roman"/>
          <w:sz w:val="22"/>
          <w:szCs w:val="22"/>
          <w:lang w:val="en-GB"/>
        </w:rPr>
        <w:t>Reinforce joint and compatible cross-border monitoring, evaluation and information systems, tools and capacity to prevent and control transboundary pollution (including through small-scale investments</w:t>
      </w:r>
      <w:r w:rsidR="0070574B">
        <w:rPr>
          <w:rFonts w:eastAsia="Times New Roman" w:cs="Times New Roman"/>
          <w:sz w:val="22"/>
          <w:szCs w:val="22"/>
          <w:lang w:val="en-GB"/>
        </w:rPr>
        <w:t>,</w:t>
      </w:r>
      <w:r w:rsidR="004817C6">
        <w:rPr>
          <w:rFonts w:eastAsia="Times New Roman" w:cs="Times New Roman"/>
          <w:sz w:val="22"/>
          <w:szCs w:val="22"/>
          <w:lang w:val="en-GB"/>
        </w:rPr>
        <w:t xml:space="preserve"> </w:t>
      </w:r>
      <w:r w:rsidR="00DE261B">
        <w:rPr>
          <w:rFonts w:eastAsia="Times New Roman" w:cs="Times New Roman"/>
          <w:sz w:val="22"/>
          <w:szCs w:val="22"/>
          <w:lang w:val="en-GB"/>
        </w:rPr>
        <w:t>research and innovation activities</w:t>
      </w:r>
      <w:r w:rsidRPr="002002EA">
        <w:rPr>
          <w:rFonts w:eastAsia="Times New Roman" w:cs="Times New Roman"/>
          <w:sz w:val="22"/>
          <w:szCs w:val="22"/>
          <w:lang w:val="en-GB"/>
        </w:rPr>
        <w:t xml:space="preserve">). </w:t>
      </w:r>
    </w:p>
    <w:p w14:paraId="7BBD97AD" w14:textId="6B4ACC1F" w:rsidR="00F16F0A" w:rsidRPr="004369F3" w:rsidRDefault="00F16F0A" w:rsidP="00EE745F">
      <w:pPr>
        <w:pStyle w:val="ListParagraph"/>
        <w:numPr>
          <w:ilvl w:val="0"/>
          <w:numId w:val="16"/>
        </w:numPr>
        <w:spacing w:before="120" w:after="0" w:line="264" w:lineRule="auto"/>
        <w:jc w:val="both"/>
        <w:rPr>
          <w:rFonts w:eastAsia="Times New Roman" w:cs="Times New Roman"/>
          <w:sz w:val="22"/>
          <w:szCs w:val="22"/>
          <w:lang w:val="en-GB"/>
        </w:rPr>
      </w:pPr>
      <w:r w:rsidRPr="004369F3">
        <w:rPr>
          <w:rFonts w:eastAsia="Times New Roman" w:cs="Times New Roman"/>
          <w:sz w:val="22"/>
          <w:szCs w:val="22"/>
          <w:lang w:val="en-GB"/>
        </w:rPr>
        <w:t>Improve</w:t>
      </w:r>
      <w:r>
        <w:rPr>
          <w:rFonts w:eastAsia="Times New Roman" w:cs="Times New Roman"/>
          <w:sz w:val="22"/>
          <w:szCs w:val="22"/>
          <w:lang w:val="en-GB"/>
        </w:rPr>
        <w:t xml:space="preserve"> long-term</w:t>
      </w:r>
      <w:r w:rsidRPr="004369F3">
        <w:rPr>
          <w:rFonts w:eastAsia="Times New Roman" w:cs="Times New Roman"/>
          <w:sz w:val="22"/>
          <w:szCs w:val="22"/>
          <w:lang w:val="en-GB"/>
        </w:rPr>
        <w:t xml:space="preserve"> cross-border collaboration, information</w:t>
      </w:r>
      <w:r w:rsidR="00841D78">
        <w:rPr>
          <w:rFonts w:eastAsia="Times New Roman" w:cs="Times New Roman"/>
          <w:sz w:val="22"/>
          <w:szCs w:val="22"/>
          <w:lang w:val="en-GB"/>
        </w:rPr>
        <w:t>,</w:t>
      </w:r>
      <w:r w:rsidRPr="004369F3">
        <w:rPr>
          <w:rFonts w:eastAsia="Times New Roman" w:cs="Times New Roman"/>
          <w:sz w:val="22"/>
          <w:szCs w:val="22"/>
          <w:lang w:val="en-GB"/>
        </w:rPr>
        <w:t xml:space="preserve"> research</w:t>
      </w:r>
      <w:r w:rsidR="00841D78">
        <w:rPr>
          <w:rFonts w:eastAsia="Times New Roman" w:cs="Times New Roman"/>
          <w:sz w:val="22"/>
          <w:szCs w:val="22"/>
          <w:lang w:val="en-GB"/>
        </w:rPr>
        <w:t xml:space="preserve"> and innovation</w:t>
      </w:r>
      <w:r w:rsidRPr="004369F3">
        <w:rPr>
          <w:rFonts w:eastAsia="Times New Roman" w:cs="Times New Roman"/>
          <w:sz w:val="22"/>
          <w:szCs w:val="22"/>
          <w:lang w:val="en-GB"/>
        </w:rPr>
        <w:t xml:space="preserve"> capacity (including innovative technologies) </w:t>
      </w:r>
      <w:r>
        <w:rPr>
          <w:rFonts w:eastAsia="Times New Roman" w:cs="Times New Roman"/>
          <w:sz w:val="22"/>
          <w:szCs w:val="22"/>
          <w:lang w:val="en-GB"/>
        </w:rPr>
        <w:t>for</w:t>
      </w:r>
      <w:r w:rsidRPr="004369F3">
        <w:rPr>
          <w:rFonts w:eastAsia="Times New Roman" w:cs="Times New Roman"/>
          <w:sz w:val="22"/>
          <w:szCs w:val="22"/>
          <w:lang w:val="en-GB"/>
        </w:rPr>
        <w:t xml:space="preserve"> </w:t>
      </w:r>
      <w:r>
        <w:rPr>
          <w:rFonts w:eastAsia="Times New Roman" w:cs="Times New Roman"/>
          <w:sz w:val="22"/>
          <w:szCs w:val="22"/>
          <w:lang w:val="en-GB"/>
        </w:rPr>
        <w:t xml:space="preserve">addressing </w:t>
      </w:r>
      <w:r w:rsidRPr="00B54DBF">
        <w:rPr>
          <w:rFonts w:eastAsia="Times New Roman" w:cs="Times New Roman"/>
          <w:sz w:val="22"/>
          <w:szCs w:val="22"/>
          <w:lang w:val="en-GB"/>
        </w:rPr>
        <w:t>ecosystem transformation</w:t>
      </w:r>
      <w:r w:rsidRPr="004369F3">
        <w:rPr>
          <w:rFonts w:eastAsia="Times New Roman" w:cs="Times New Roman"/>
          <w:sz w:val="22"/>
          <w:szCs w:val="22"/>
          <w:lang w:val="en-GB"/>
        </w:rPr>
        <w:t>, biodiversity monitoring and migration of species.</w:t>
      </w:r>
    </w:p>
    <w:p w14:paraId="3370C428" w14:textId="77777777" w:rsidR="00F16F0A" w:rsidRPr="00AE3464" w:rsidRDefault="00F16F0A" w:rsidP="00EE745F">
      <w:pPr>
        <w:pStyle w:val="ListParagraph"/>
        <w:numPr>
          <w:ilvl w:val="0"/>
          <w:numId w:val="16"/>
        </w:numPr>
        <w:spacing w:before="120" w:after="120" w:line="264" w:lineRule="auto"/>
        <w:jc w:val="both"/>
        <w:rPr>
          <w:sz w:val="22"/>
          <w:szCs w:val="22"/>
          <w:lang w:val="en-GB"/>
        </w:rPr>
      </w:pPr>
      <w:r w:rsidRPr="00AE3464">
        <w:rPr>
          <w:sz w:val="22"/>
          <w:szCs w:val="22"/>
          <w:lang w:val="en-GB"/>
        </w:rPr>
        <w:t>Jointly strengthen collaboration between science, industry, relevant stakeholders and decision-makers to address integrated coastal management issues</w:t>
      </w:r>
      <w:r>
        <w:rPr>
          <w:sz w:val="22"/>
          <w:szCs w:val="22"/>
          <w:lang w:val="en-GB"/>
        </w:rPr>
        <w:t xml:space="preserve"> and to </w:t>
      </w:r>
      <w:r w:rsidRPr="00AE3464">
        <w:rPr>
          <w:sz w:val="22"/>
          <w:szCs w:val="22"/>
          <w:lang w:val="en-GB"/>
        </w:rPr>
        <w:t xml:space="preserve">harmonise monitoring, marine environment assessment and data provision. </w:t>
      </w:r>
    </w:p>
    <w:p w14:paraId="08220196" w14:textId="77777777" w:rsidR="00F16F0A" w:rsidRDefault="00F16F0A" w:rsidP="00EE745F">
      <w:pPr>
        <w:pStyle w:val="ListParagraph"/>
        <w:numPr>
          <w:ilvl w:val="0"/>
          <w:numId w:val="16"/>
        </w:numPr>
        <w:spacing w:before="120" w:after="120" w:line="264" w:lineRule="auto"/>
        <w:jc w:val="both"/>
        <w:rPr>
          <w:sz w:val="22"/>
          <w:szCs w:val="22"/>
          <w:lang w:val="en-GB"/>
        </w:rPr>
      </w:pPr>
      <w:r w:rsidRPr="00AE3464">
        <w:rPr>
          <w:sz w:val="22"/>
          <w:szCs w:val="22"/>
          <w:lang w:val="en-GB"/>
        </w:rPr>
        <w:t>Improve the availability and cross-border interoperability of updated online public access data and data</w:t>
      </w:r>
      <w:r w:rsidRPr="00B866E0">
        <w:rPr>
          <w:sz w:val="22"/>
          <w:szCs w:val="22"/>
          <w:lang w:val="en-GB"/>
        </w:rPr>
        <w:t xml:space="preserve"> products (e.g. maps) for the Black Sea </w:t>
      </w:r>
      <w:r w:rsidRPr="004369F3">
        <w:rPr>
          <w:rFonts w:eastAsia="Times New Roman" w:cs="Times New Roman"/>
          <w:sz w:val="22"/>
          <w:szCs w:val="22"/>
          <w:lang w:val="en-GB"/>
        </w:rPr>
        <w:t xml:space="preserve">so </w:t>
      </w:r>
      <w:r w:rsidRPr="00B866E0">
        <w:rPr>
          <w:sz w:val="22"/>
          <w:szCs w:val="22"/>
          <w:lang w:val="en-GB"/>
        </w:rPr>
        <w:t>industry, public authorities, NGOs</w:t>
      </w:r>
      <w:r>
        <w:rPr>
          <w:sz w:val="22"/>
          <w:szCs w:val="22"/>
          <w:lang w:val="en-GB"/>
        </w:rPr>
        <w:t xml:space="preserve"> and</w:t>
      </w:r>
      <w:r w:rsidRPr="00B866E0">
        <w:rPr>
          <w:sz w:val="22"/>
          <w:szCs w:val="22"/>
          <w:lang w:val="en-GB"/>
        </w:rPr>
        <w:t xml:space="preserve"> researchers may make more effective use of them</w:t>
      </w:r>
      <w:r>
        <w:rPr>
          <w:sz w:val="22"/>
          <w:szCs w:val="22"/>
          <w:lang w:val="en-GB"/>
        </w:rPr>
        <w:t>.</w:t>
      </w:r>
    </w:p>
    <w:p w14:paraId="1BA37CCF" w14:textId="5C88B8CD" w:rsidR="00F16F0A" w:rsidRPr="00A94413" w:rsidRDefault="00F16F0A" w:rsidP="00EE745F">
      <w:pPr>
        <w:pStyle w:val="ListParagraph"/>
        <w:numPr>
          <w:ilvl w:val="0"/>
          <w:numId w:val="16"/>
        </w:numPr>
        <w:spacing w:after="60" w:line="264" w:lineRule="auto"/>
        <w:ind w:left="714" w:hanging="357"/>
        <w:jc w:val="both"/>
        <w:rPr>
          <w:sz w:val="22"/>
          <w:szCs w:val="22"/>
          <w:lang w:val="en-GB"/>
        </w:rPr>
      </w:pPr>
      <w:r w:rsidRPr="004369F3">
        <w:rPr>
          <w:rFonts w:eastAsia="Times New Roman" w:cs="Times New Roman"/>
          <w:bCs/>
          <w:sz w:val="22"/>
          <w:szCs w:val="22"/>
          <w:lang w:val="en-GB"/>
        </w:rPr>
        <w:t xml:space="preserve">Promote cross-border cooperation among maritime authorities </w:t>
      </w:r>
      <w:r>
        <w:rPr>
          <w:rFonts w:eastAsia="Times New Roman" w:cs="Times New Roman"/>
          <w:bCs/>
          <w:sz w:val="22"/>
          <w:szCs w:val="22"/>
          <w:lang w:val="en-GB"/>
        </w:rPr>
        <w:t xml:space="preserve">so </w:t>
      </w:r>
      <w:r w:rsidRPr="004369F3">
        <w:rPr>
          <w:rFonts w:eastAsia="Times New Roman" w:cs="Times New Roman"/>
          <w:bCs/>
          <w:sz w:val="22"/>
          <w:szCs w:val="22"/>
          <w:lang w:val="en-GB"/>
        </w:rPr>
        <w:t>to share information on risks and threats (integrated maritime surveillance).</w:t>
      </w:r>
    </w:p>
    <w:p w14:paraId="69F7D635" w14:textId="77777777" w:rsidR="00F16F0A" w:rsidRPr="00F62747" w:rsidRDefault="00F16F0A" w:rsidP="00EE745F">
      <w:pPr>
        <w:pStyle w:val="ListParagraph"/>
        <w:numPr>
          <w:ilvl w:val="0"/>
          <w:numId w:val="16"/>
        </w:numPr>
        <w:spacing w:after="60" w:line="264" w:lineRule="auto"/>
        <w:ind w:left="714" w:hanging="357"/>
        <w:jc w:val="both"/>
        <w:rPr>
          <w:rFonts w:eastAsia="Times New Roman" w:cs="Times New Roman"/>
          <w:bCs/>
          <w:sz w:val="22"/>
          <w:szCs w:val="22"/>
          <w:lang w:val="en-GB"/>
        </w:rPr>
      </w:pPr>
      <w:r w:rsidRPr="00F62747">
        <w:rPr>
          <w:rFonts w:eastAsia="Times New Roman" w:cs="Times New Roman"/>
          <w:bCs/>
          <w:sz w:val="22"/>
          <w:szCs w:val="22"/>
          <w:lang w:val="en-GB"/>
        </w:rPr>
        <w:t>Improve cooperation</w:t>
      </w:r>
      <w:r w:rsidR="006D0A40" w:rsidRPr="00F62747">
        <w:rPr>
          <w:rFonts w:eastAsia="Times New Roman" w:cs="Times New Roman"/>
          <w:bCs/>
          <w:sz w:val="22"/>
          <w:szCs w:val="22"/>
          <w:lang w:val="en-GB"/>
        </w:rPr>
        <w:t xml:space="preserve"> on environmental monitoring</w:t>
      </w:r>
      <w:r w:rsidRPr="00F62747">
        <w:rPr>
          <w:rFonts w:eastAsia="Times New Roman" w:cs="Times New Roman"/>
          <w:bCs/>
          <w:sz w:val="22"/>
          <w:szCs w:val="22"/>
          <w:lang w:val="en-GB"/>
        </w:rPr>
        <w:t xml:space="preserve"> between stakeholders involved in disaster prevention and management.</w:t>
      </w:r>
    </w:p>
    <w:p w14:paraId="63E19441" w14:textId="77777777" w:rsidR="00F16F0A" w:rsidRPr="00F62747" w:rsidRDefault="00F16F0A" w:rsidP="00EE745F">
      <w:pPr>
        <w:pStyle w:val="ListParagraph"/>
        <w:numPr>
          <w:ilvl w:val="0"/>
          <w:numId w:val="16"/>
        </w:numPr>
        <w:spacing w:after="60" w:line="264" w:lineRule="auto"/>
        <w:ind w:left="714" w:hanging="357"/>
        <w:jc w:val="both"/>
        <w:rPr>
          <w:sz w:val="22"/>
          <w:szCs w:val="22"/>
          <w:lang w:val="en-GB"/>
        </w:rPr>
      </w:pPr>
      <w:r w:rsidRPr="00F62747">
        <w:rPr>
          <w:rFonts w:eastAsia="Times New Roman" w:cs="Times New Roman"/>
          <w:sz w:val="22"/>
          <w:szCs w:val="22"/>
          <w:lang w:val="en-GB"/>
        </w:rPr>
        <w:lastRenderedPageBreak/>
        <w:t>Enhance contact among countries and exchange good practice on early warning systems that allow the population exposed to hazards to take appropriate actions to avoid/reduce risk and to prepare effective responses;</w:t>
      </w:r>
      <w:r w:rsidR="00FA7412" w:rsidRPr="00F62747">
        <w:rPr>
          <w:rFonts w:eastAsia="Times New Roman" w:cs="Times New Roman"/>
          <w:sz w:val="22"/>
          <w:szCs w:val="22"/>
          <w:lang w:val="en-GB"/>
        </w:rPr>
        <w:t xml:space="preserve"> improve availability of environmental information for</w:t>
      </w:r>
      <w:r w:rsidRPr="00F62747">
        <w:rPr>
          <w:rFonts w:eastAsia="Times New Roman" w:cs="Times New Roman"/>
          <w:sz w:val="22"/>
          <w:szCs w:val="22"/>
          <w:lang w:val="en-GB"/>
        </w:rPr>
        <w:t xml:space="preserve"> the population regarding notably the risk of earthquakes, floods and forest fires.</w:t>
      </w:r>
    </w:p>
    <w:p w14:paraId="60017C1F" w14:textId="77777777" w:rsidR="00F16F0A" w:rsidRPr="00AF6973" w:rsidRDefault="00F16F0A" w:rsidP="00F16F0A">
      <w:pPr>
        <w:spacing w:before="120" w:after="120" w:line="264" w:lineRule="auto"/>
        <w:jc w:val="both"/>
        <w:rPr>
          <w:rFonts w:cs="Times New Roman"/>
          <w:i/>
          <w:sz w:val="22"/>
          <w:szCs w:val="22"/>
          <w:lang w:val="en-GB"/>
        </w:rPr>
      </w:pPr>
      <w:r w:rsidRPr="00F62747">
        <w:rPr>
          <w:rFonts w:cs="Times New Roman"/>
          <w:i/>
          <w:sz w:val="22"/>
          <w:szCs w:val="22"/>
          <w:lang w:val="en-GB"/>
        </w:rPr>
        <w:t>Target groups for Priority 2.1:</w:t>
      </w:r>
    </w:p>
    <w:p w14:paraId="34038A6D" w14:textId="77777777" w:rsidR="00F16F0A" w:rsidRPr="00393004" w:rsidRDefault="00F16F0A" w:rsidP="00F16F0A">
      <w:pPr>
        <w:spacing w:after="0" w:line="240" w:lineRule="auto"/>
        <w:jc w:val="both"/>
        <w:rPr>
          <w:rFonts w:eastAsia="Times New Roman" w:cs="Times New Roman"/>
          <w:sz w:val="22"/>
          <w:szCs w:val="22"/>
          <w:lang w:val="en-GB"/>
        </w:rPr>
      </w:pPr>
      <w:r w:rsidRPr="004369F3">
        <w:rPr>
          <w:rFonts w:eastAsia="Times New Roman" w:cs="Times New Roman"/>
          <w:sz w:val="22"/>
          <w:szCs w:val="22"/>
          <w:lang w:val="en-GB"/>
        </w:rPr>
        <w:t xml:space="preserve">Scientific (oceanographic, hydrographic, </w:t>
      </w:r>
      <w:proofErr w:type="spellStart"/>
      <w:r w:rsidRPr="004369F3">
        <w:rPr>
          <w:rFonts w:eastAsia="Times New Roman" w:cs="Times New Roman"/>
          <w:sz w:val="22"/>
          <w:szCs w:val="22"/>
          <w:lang w:val="en-GB"/>
        </w:rPr>
        <w:t>meteorologic</w:t>
      </w:r>
      <w:proofErr w:type="spellEnd"/>
      <w:r w:rsidRPr="004369F3">
        <w:rPr>
          <w:rFonts w:eastAsia="Times New Roman" w:cs="Times New Roman"/>
          <w:sz w:val="22"/>
          <w:szCs w:val="22"/>
          <w:lang w:val="en-GB"/>
        </w:rPr>
        <w:t xml:space="preserve">, seismic) agencies and institutes/research </w:t>
      </w:r>
      <w:proofErr w:type="spellStart"/>
      <w:r w:rsidRPr="004369F3">
        <w:rPr>
          <w:rFonts w:eastAsia="Times New Roman" w:cs="Times New Roman"/>
          <w:sz w:val="22"/>
          <w:szCs w:val="22"/>
          <w:lang w:val="en-GB"/>
        </w:rPr>
        <w:t>centers</w:t>
      </w:r>
      <w:proofErr w:type="spellEnd"/>
      <w:r w:rsidRPr="004369F3">
        <w:rPr>
          <w:rFonts w:eastAsia="Times New Roman" w:cs="Times New Roman"/>
          <w:sz w:val="22"/>
          <w:szCs w:val="22"/>
          <w:lang w:val="en-GB"/>
        </w:rPr>
        <w:t>/universities, coastal, maritime and port authorities, local/regional authorities and agencies, fisheries associations, environmental NGOs, nature parks and protected areas (including marine)</w:t>
      </w:r>
      <w:r>
        <w:rPr>
          <w:rFonts w:eastAsia="Times New Roman" w:cs="Times New Roman"/>
          <w:sz w:val="22"/>
          <w:szCs w:val="22"/>
          <w:lang w:val="en-GB"/>
        </w:rPr>
        <w:t xml:space="preserve"> management bodies</w:t>
      </w:r>
      <w:r w:rsidRPr="004369F3">
        <w:rPr>
          <w:rFonts w:eastAsia="Times New Roman" w:cs="Times New Roman"/>
          <w:sz w:val="22"/>
          <w:szCs w:val="22"/>
          <w:lang w:val="en-GB"/>
        </w:rPr>
        <w:t xml:space="preserve"> </w:t>
      </w:r>
      <w:r>
        <w:rPr>
          <w:rFonts w:eastAsia="Times New Roman" w:cs="Times New Roman"/>
          <w:sz w:val="22"/>
          <w:szCs w:val="22"/>
          <w:lang w:val="en-GB"/>
        </w:rPr>
        <w:t xml:space="preserve">and </w:t>
      </w:r>
      <w:r w:rsidRPr="004369F3">
        <w:rPr>
          <w:rFonts w:eastAsia="Times New Roman" w:cs="Times New Roman"/>
          <w:sz w:val="22"/>
          <w:szCs w:val="22"/>
          <w:lang w:val="en-GB"/>
        </w:rPr>
        <w:t xml:space="preserve">schools and educational </w:t>
      </w:r>
      <w:r w:rsidRPr="00393004">
        <w:rPr>
          <w:rFonts w:eastAsia="Times New Roman" w:cs="Times New Roman"/>
          <w:sz w:val="22"/>
          <w:szCs w:val="22"/>
          <w:lang w:val="en-GB"/>
        </w:rPr>
        <w:t xml:space="preserve">institutions. </w:t>
      </w:r>
    </w:p>
    <w:p w14:paraId="06E25749" w14:textId="77777777" w:rsidR="00F16F0A" w:rsidRPr="00393004" w:rsidRDefault="00F16F0A" w:rsidP="00F16F0A">
      <w:pPr>
        <w:spacing w:after="0" w:line="240" w:lineRule="auto"/>
        <w:jc w:val="both"/>
        <w:rPr>
          <w:rFonts w:eastAsia="Times New Roman" w:cs="Times New Roman"/>
          <w:sz w:val="22"/>
          <w:szCs w:val="22"/>
          <w:lang w:val="en-GB"/>
        </w:rPr>
      </w:pPr>
    </w:p>
    <w:p w14:paraId="343B3D46" w14:textId="77777777" w:rsidR="00F16F0A" w:rsidRPr="00393004" w:rsidRDefault="00F16F0A" w:rsidP="00F16F0A">
      <w:pPr>
        <w:pBdr>
          <w:top w:val="single" w:sz="4" w:space="1" w:color="auto" w:shadow="1"/>
          <w:left w:val="single" w:sz="4" w:space="4" w:color="auto" w:shadow="1"/>
          <w:bottom w:val="single" w:sz="4" w:space="1" w:color="auto" w:shadow="1"/>
          <w:right w:val="single" w:sz="4" w:space="4" w:color="auto" w:shadow="1"/>
        </w:pBdr>
        <w:spacing w:before="120" w:after="0" w:line="264" w:lineRule="auto"/>
        <w:jc w:val="both"/>
        <w:rPr>
          <w:b/>
          <w:lang w:val="en-GB"/>
        </w:rPr>
      </w:pPr>
      <w:r w:rsidRPr="00393004">
        <w:rPr>
          <w:b/>
          <w:lang w:val="en-GB"/>
        </w:rPr>
        <w:t xml:space="preserve">Priority 2.2 - Promote common awareness-raising and joint actions </w:t>
      </w:r>
      <w:r>
        <w:rPr>
          <w:b/>
          <w:lang w:val="en-GB"/>
        </w:rPr>
        <w:t>to reduce</w:t>
      </w:r>
      <w:r w:rsidRPr="00393004">
        <w:rPr>
          <w:b/>
          <w:lang w:val="en-GB"/>
        </w:rPr>
        <w:t xml:space="preserve"> river and marine litter</w:t>
      </w:r>
    </w:p>
    <w:p w14:paraId="5FAA7148" w14:textId="77777777" w:rsidR="00F16F0A" w:rsidRPr="006E6E0C" w:rsidRDefault="00F16F0A" w:rsidP="00F16F0A">
      <w:pPr>
        <w:spacing w:before="120" w:after="120" w:line="264" w:lineRule="auto"/>
        <w:rPr>
          <w:i/>
          <w:sz w:val="22"/>
          <w:szCs w:val="22"/>
          <w:lang w:val="en-GB"/>
        </w:rPr>
      </w:pPr>
      <w:bookmarkStart w:id="66" w:name="_Toc240652266"/>
      <w:bookmarkStart w:id="67" w:name="_Toc240652265"/>
      <w:r w:rsidRPr="00393004">
        <w:rPr>
          <w:i/>
          <w:sz w:val="22"/>
          <w:szCs w:val="22"/>
          <w:lang w:val="en-GB"/>
        </w:rPr>
        <w:t>Justification for the definition of Priority 2.2:</w:t>
      </w:r>
    </w:p>
    <w:p w14:paraId="28C8C29B" w14:textId="77777777" w:rsidR="00F16F0A"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Cooperation in solving common environmental issues</w:t>
      </w:r>
      <w:r w:rsidRPr="001B343A">
        <w:rPr>
          <w:sz w:val="22"/>
          <w:szCs w:val="22"/>
          <w:lang w:val="en-GB"/>
        </w:rPr>
        <w:t xml:space="preserve"> </w:t>
      </w:r>
      <w:r>
        <w:rPr>
          <w:sz w:val="22"/>
          <w:szCs w:val="22"/>
          <w:lang w:val="en-GB"/>
        </w:rPr>
        <w:t>is</w:t>
      </w:r>
      <w:r w:rsidRPr="001B343A">
        <w:rPr>
          <w:sz w:val="22"/>
          <w:szCs w:val="22"/>
          <w:lang w:val="en-GB"/>
        </w:rPr>
        <w:t xml:space="preserve"> strongly supported by the socio-economic and the SWOT analyses</w:t>
      </w:r>
      <w:r>
        <w:rPr>
          <w:sz w:val="22"/>
          <w:szCs w:val="22"/>
          <w:lang w:val="en-GB"/>
        </w:rPr>
        <w:t xml:space="preserve">. </w:t>
      </w:r>
      <w:r w:rsidRPr="004369F3">
        <w:rPr>
          <w:rFonts w:eastAsia="Times New Roman" w:cs="Times New Roman"/>
          <w:sz w:val="22"/>
          <w:szCs w:val="22"/>
          <w:lang w:val="en-GB"/>
        </w:rPr>
        <w:t xml:space="preserve">Litter originating from </w:t>
      </w:r>
      <w:r>
        <w:rPr>
          <w:rFonts w:eastAsia="Times New Roman" w:cs="Times New Roman"/>
          <w:sz w:val="22"/>
          <w:szCs w:val="22"/>
          <w:lang w:val="en-GB"/>
        </w:rPr>
        <w:t>shipping, land</w:t>
      </w:r>
      <w:r w:rsidRPr="004369F3">
        <w:rPr>
          <w:rFonts w:eastAsia="Times New Roman" w:cs="Times New Roman"/>
          <w:sz w:val="22"/>
          <w:szCs w:val="22"/>
          <w:lang w:val="en-GB"/>
        </w:rPr>
        <w:t xml:space="preserve"> or rivers within the Black Sea drainage basin results in a ‘visible’ pollution problem along the rivers and coasts, in the sea itself and on the sea</w:t>
      </w:r>
      <w:r>
        <w:rPr>
          <w:rFonts w:eastAsia="Times New Roman" w:cs="Times New Roman"/>
          <w:sz w:val="22"/>
          <w:szCs w:val="22"/>
          <w:lang w:val="en-GB"/>
        </w:rPr>
        <w:t>bed</w:t>
      </w:r>
      <w:r w:rsidRPr="004369F3">
        <w:rPr>
          <w:rFonts w:eastAsia="Times New Roman" w:cs="Times New Roman"/>
          <w:sz w:val="22"/>
          <w:szCs w:val="22"/>
          <w:lang w:val="en-GB"/>
        </w:rPr>
        <w:t xml:space="preserve">. It is a joint transboundary problem, as the sea basin dynamic current system </w:t>
      </w:r>
      <w:r>
        <w:rPr>
          <w:rFonts w:eastAsia="Times New Roman" w:cs="Times New Roman"/>
          <w:sz w:val="22"/>
          <w:szCs w:val="22"/>
          <w:lang w:val="en-GB"/>
        </w:rPr>
        <w:t xml:space="preserve">results in the </w:t>
      </w:r>
      <w:r w:rsidRPr="004369F3">
        <w:rPr>
          <w:rFonts w:eastAsia="Times New Roman" w:cs="Times New Roman"/>
          <w:sz w:val="22"/>
          <w:szCs w:val="22"/>
          <w:lang w:val="en-GB"/>
        </w:rPr>
        <w:t xml:space="preserve">transportation of any matter from a given location in the Black sea to almost any coastal area. It has an impact on people’s welfare and economic activities such as tourism development; it often </w:t>
      </w:r>
      <w:r>
        <w:rPr>
          <w:rFonts w:eastAsia="Times New Roman" w:cs="Times New Roman"/>
          <w:sz w:val="22"/>
          <w:szCs w:val="22"/>
          <w:lang w:val="en-GB"/>
        </w:rPr>
        <w:t>harms or kills</w:t>
      </w:r>
      <w:r w:rsidRPr="004369F3">
        <w:rPr>
          <w:rFonts w:eastAsia="Times New Roman" w:cs="Times New Roman"/>
          <w:sz w:val="22"/>
          <w:szCs w:val="22"/>
          <w:lang w:val="en-GB"/>
        </w:rPr>
        <w:t xml:space="preserve"> </w:t>
      </w:r>
      <w:r>
        <w:rPr>
          <w:rFonts w:eastAsia="Times New Roman" w:cs="Times New Roman"/>
          <w:sz w:val="22"/>
          <w:szCs w:val="22"/>
          <w:lang w:val="en-GB"/>
        </w:rPr>
        <w:t>marine life,</w:t>
      </w:r>
      <w:r w:rsidRPr="004369F3">
        <w:rPr>
          <w:rFonts w:eastAsia="Times New Roman" w:cs="Times New Roman"/>
          <w:sz w:val="22"/>
          <w:szCs w:val="22"/>
          <w:lang w:val="en-GB"/>
        </w:rPr>
        <w:t xml:space="preserve"> and might threaten the biodiversity of the Black </w:t>
      </w:r>
      <w:r>
        <w:rPr>
          <w:rFonts w:eastAsia="Times New Roman" w:cs="Times New Roman"/>
          <w:sz w:val="22"/>
          <w:szCs w:val="22"/>
          <w:lang w:val="en-GB"/>
        </w:rPr>
        <w:t>S</w:t>
      </w:r>
      <w:r w:rsidRPr="004369F3">
        <w:rPr>
          <w:rFonts w:eastAsia="Times New Roman" w:cs="Times New Roman"/>
          <w:sz w:val="22"/>
          <w:szCs w:val="22"/>
          <w:lang w:val="en-GB"/>
        </w:rPr>
        <w:t xml:space="preserve">ea. </w:t>
      </w:r>
      <w:r>
        <w:rPr>
          <w:sz w:val="22"/>
          <w:szCs w:val="22"/>
          <w:lang w:val="en-GB"/>
        </w:rPr>
        <w:t>Direct mobilisation of local/regional stakeholders and enhancement of responsible citizenship could have a strong effect on reducing this kind of pollution</w:t>
      </w:r>
      <w:r w:rsidRPr="00992CC7">
        <w:rPr>
          <w:rStyle w:val="FootnoteReference"/>
          <w:rFonts w:eastAsia="Times New Roman" w:cs="Times New Roman"/>
          <w:sz w:val="22"/>
          <w:szCs w:val="22"/>
        </w:rPr>
        <w:footnoteReference w:id="61"/>
      </w:r>
      <w:r w:rsidRPr="004369F3">
        <w:rPr>
          <w:rFonts w:eastAsia="Times New Roman" w:cs="Times New Roman"/>
          <w:sz w:val="22"/>
          <w:szCs w:val="22"/>
          <w:lang w:val="en-GB"/>
        </w:rPr>
        <w:t>.</w:t>
      </w:r>
    </w:p>
    <w:p w14:paraId="38DE79EB" w14:textId="77777777" w:rsidR="00F16F0A" w:rsidRDefault="00F16F0A"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 xml:space="preserve">Both raising environmental awareness and tackling solid waste issues were raised in responses to the questionnaire and in consultations. </w:t>
      </w:r>
    </w:p>
    <w:p w14:paraId="4E80B17C" w14:textId="2DDA9E15" w:rsidR="00CC45FD" w:rsidRDefault="00CC45FD" w:rsidP="00EE745F">
      <w:pPr>
        <w:pStyle w:val="ListParagraph"/>
        <w:numPr>
          <w:ilvl w:val="0"/>
          <w:numId w:val="14"/>
        </w:numPr>
        <w:spacing w:before="120" w:after="120" w:line="264" w:lineRule="auto"/>
        <w:ind w:left="714" w:hanging="357"/>
        <w:jc w:val="both"/>
        <w:rPr>
          <w:sz w:val="22"/>
          <w:szCs w:val="22"/>
          <w:lang w:val="en-GB"/>
        </w:rPr>
      </w:pPr>
      <w:r>
        <w:rPr>
          <w:sz w:val="22"/>
          <w:szCs w:val="22"/>
          <w:lang w:val="en-GB"/>
        </w:rPr>
        <w:t xml:space="preserve">Actions supported should be consistent with, but not duplicate, actions carried out </w:t>
      </w:r>
      <w:r w:rsidR="00267702">
        <w:rPr>
          <w:sz w:val="22"/>
          <w:szCs w:val="22"/>
          <w:lang w:val="en-GB"/>
        </w:rPr>
        <w:t xml:space="preserve">notably by </w:t>
      </w:r>
      <w:r>
        <w:rPr>
          <w:sz w:val="22"/>
          <w:szCs w:val="22"/>
          <w:lang w:val="en-GB"/>
        </w:rPr>
        <w:t>the European Maritime Safety Agency</w:t>
      </w:r>
      <w:r w:rsidR="000304D6">
        <w:rPr>
          <w:sz w:val="22"/>
          <w:szCs w:val="22"/>
          <w:lang w:val="en-GB"/>
        </w:rPr>
        <w:t xml:space="preserve"> (EMSA)</w:t>
      </w:r>
      <w:r w:rsidRPr="00EB5EBA">
        <w:rPr>
          <w:sz w:val="22"/>
          <w:szCs w:val="22"/>
          <w:lang w:val="en-GB"/>
        </w:rPr>
        <w:t>.</w:t>
      </w:r>
    </w:p>
    <w:p w14:paraId="49F7FC65" w14:textId="77777777" w:rsidR="00F16F0A" w:rsidRPr="00A303CB" w:rsidRDefault="00F16F0A" w:rsidP="00F16F0A">
      <w:pPr>
        <w:spacing w:before="60" w:after="0" w:line="264" w:lineRule="auto"/>
        <w:jc w:val="both"/>
        <w:rPr>
          <w:i/>
          <w:sz w:val="22"/>
          <w:szCs w:val="22"/>
          <w:lang w:val="en-GB"/>
        </w:rPr>
      </w:pPr>
      <w:r w:rsidRPr="00A303CB">
        <w:rPr>
          <w:i/>
          <w:sz w:val="22"/>
          <w:szCs w:val="22"/>
          <w:lang w:val="en-GB"/>
        </w:rPr>
        <w:t>Ex</w:t>
      </w:r>
      <w:r>
        <w:rPr>
          <w:i/>
          <w:sz w:val="22"/>
          <w:szCs w:val="22"/>
          <w:lang w:val="en-GB"/>
        </w:rPr>
        <w:t>pected result under Priority 2.2</w:t>
      </w:r>
      <w:r w:rsidRPr="00A303CB">
        <w:rPr>
          <w:i/>
          <w:sz w:val="22"/>
          <w:szCs w:val="22"/>
          <w:lang w:val="en-GB"/>
        </w:rPr>
        <w:t>:</w:t>
      </w:r>
    </w:p>
    <w:p w14:paraId="499A883B" w14:textId="77777777" w:rsidR="00F16F0A" w:rsidRPr="0016012A" w:rsidRDefault="00F16F0A" w:rsidP="00F16F0A">
      <w:pPr>
        <w:pStyle w:val="ListParagraph"/>
        <w:spacing w:before="120" w:after="120" w:line="264" w:lineRule="auto"/>
        <w:ind w:left="714"/>
        <w:jc w:val="both"/>
        <w:rPr>
          <w:rFonts w:eastAsia="Times New Roman" w:cs="Times New Roman"/>
          <w:sz w:val="22"/>
          <w:szCs w:val="22"/>
          <w:lang w:val="en-GB"/>
        </w:rPr>
      </w:pPr>
      <w:r w:rsidRPr="0016012A">
        <w:rPr>
          <w:rFonts w:eastAsia="Times New Roman" w:cs="Times New Roman"/>
          <w:sz w:val="22"/>
          <w:szCs w:val="22"/>
          <w:lang w:val="en-GB"/>
        </w:rPr>
        <w:t>Increased awareness of environmental challenges and good waste management practices related to river and marine litter within the Black Sea Basin</w:t>
      </w:r>
    </w:p>
    <w:p w14:paraId="48691B98" w14:textId="77777777" w:rsidR="00F16F0A" w:rsidRPr="0016012A" w:rsidRDefault="00F16F0A" w:rsidP="00F16F0A">
      <w:pPr>
        <w:spacing w:before="120" w:after="120" w:line="264" w:lineRule="auto"/>
        <w:jc w:val="both"/>
        <w:rPr>
          <w:i/>
          <w:sz w:val="22"/>
          <w:szCs w:val="22"/>
          <w:lang w:val="en-GB"/>
        </w:rPr>
      </w:pPr>
      <w:r w:rsidRPr="0016012A">
        <w:rPr>
          <w:i/>
          <w:sz w:val="22"/>
          <w:szCs w:val="22"/>
          <w:lang w:val="en-GB"/>
        </w:rPr>
        <w:t>Indicative activities/orientations under Priority 2.2:</w:t>
      </w:r>
    </w:p>
    <w:p w14:paraId="03548019" w14:textId="77777777" w:rsidR="00F16F0A" w:rsidRPr="0016012A" w:rsidRDefault="00F16F0A" w:rsidP="00EE745F">
      <w:pPr>
        <w:pStyle w:val="ListParagraph"/>
        <w:widowControl w:val="0"/>
        <w:numPr>
          <w:ilvl w:val="0"/>
          <w:numId w:val="16"/>
        </w:numPr>
        <w:autoSpaceDE w:val="0"/>
        <w:autoSpaceDN w:val="0"/>
        <w:adjustRightInd w:val="0"/>
        <w:spacing w:line="264" w:lineRule="auto"/>
        <w:jc w:val="both"/>
        <w:rPr>
          <w:rFonts w:cs="Times New Roman"/>
          <w:sz w:val="22"/>
          <w:szCs w:val="22"/>
          <w:lang w:val="en-GB"/>
        </w:rPr>
      </w:pPr>
      <w:r w:rsidRPr="0016012A">
        <w:rPr>
          <w:rFonts w:cs="Times New Roman"/>
          <w:sz w:val="22"/>
          <w:szCs w:val="22"/>
          <w:lang w:val="en-GB"/>
        </w:rPr>
        <w:t>Jointly raise public awareness and education regarding river and marine litter problems, the value of biodiversity and environmental protection (mass-media campaigns, production of education tools and ‘responsible-citizenship’ guidelines for different sectors for target audiences such as children and students, tourists, municipal authorities, shipping companies and shipping crews).</w:t>
      </w:r>
    </w:p>
    <w:p w14:paraId="5BC2E572" w14:textId="7EC278EB" w:rsidR="00F16F0A" w:rsidRPr="0016012A" w:rsidRDefault="00F16F0A" w:rsidP="00EE745F">
      <w:pPr>
        <w:pStyle w:val="ListParagraph"/>
        <w:numPr>
          <w:ilvl w:val="0"/>
          <w:numId w:val="16"/>
        </w:numPr>
        <w:spacing w:before="120" w:after="0" w:line="264" w:lineRule="auto"/>
        <w:jc w:val="both"/>
        <w:rPr>
          <w:rFonts w:eastAsia="Times New Roman" w:cs="Times New Roman"/>
          <w:sz w:val="22"/>
          <w:szCs w:val="22"/>
          <w:lang w:val="en-GB"/>
        </w:rPr>
      </w:pPr>
      <w:r w:rsidRPr="0016012A">
        <w:rPr>
          <w:rFonts w:eastAsia="Times New Roman" w:cs="Times New Roman"/>
          <w:sz w:val="22"/>
          <w:szCs w:val="22"/>
          <w:lang w:val="en-GB"/>
        </w:rPr>
        <w:t>Share and promote good environmental management practices and technologies (including through small-scale investments</w:t>
      </w:r>
      <w:r w:rsidR="00005337">
        <w:rPr>
          <w:rFonts w:eastAsia="Times New Roman" w:cs="Times New Roman"/>
          <w:sz w:val="22"/>
          <w:szCs w:val="22"/>
          <w:lang w:val="en-GB"/>
        </w:rPr>
        <w:t>, joint research and innovation activities</w:t>
      </w:r>
      <w:r w:rsidRPr="0016012A">
        <w:rPr>
          <w:rFonts w:eastAsia="Times New Roman" w:cs="Times New Roman"/>
          <w:sz w:val="22"/>
          <w:szCs w:val="22"/>
          <w:lang w:val="en-GB"/>
        </w:rPr>
        <w:t>) related to the treatment and disposal of waste, the reduction of illegal dumping and landfill sites on riverbanks and seashores and the prevention of their adverse effects.</w:t>
      </w:r>
    </w:p>
    <w:p w14:paraId="5EE92041" w14:textId="77777777" w:rsidR="00F16F0A" w:rsidRPr="0016012A" w:rsidRDefault="00F16F0A" w:rsidP="00EE745F">
      <w:pPr>
        <w:pStyle w:val="ListParagraph"/>
        <w:widowControl w:val="0"/>
        <w:numPr>
          <w:ilvl w:val="0"/>
          <w:numId w:val="16"/>
        </w:numPr>
        <w:autoSpaceDE w:val="0"/>
        <w:autoSpaceDN w:val="0"/>
        <w:adjustRightInd w:val="0"/>
        <w:spacing w:line="264" w:lineRule="auto"/>
        <w:jc w:val="both"/>
        <w:rPr>
          <w:rFonts w:cs="Times New Roman"/>
          <w:sz w:val="22"/>
          <w:szCs w:val="22"/>
          <w:lang w:val="en-GB"/>
        </w:rPr>
      </w:pPr>
      <w:r w:rsidRPr="0016012A">
        <w:rPr>
          <w:rFonts w:cs="Times New Roman"/>
          <w:sz w:val="22"/>
          <w:szCs w:val="22"/>
          <w:lang w:val="en-GB"/>
        </w:rPr>
        <w:t>Jointly promote the practice of the ‘3 Rs’ (reduce, reuse, recycle) for waste as well as the use of waste for energy production.</w:t>
      </w:r>
    </w:p>
    <w:p w14:paraId="3087464A" w14:textId="77777777" w:rsidR="00F16F0A" w:rsidRPr="0016012A" w:rsidRDefault="00F16F0A" w:rsidP="00EE745F">
      <w:pPr>
        <w:pStyle w:val="ListParagraph"/>
        <w:numPr>
          <w:ilvl w:val="0"/>
          <w:numId w:val="16"/>
        </w:numPr>
        <w:spacing w:before="120" w:after="0" w:line="264" w:lineRule="auto"/>
        <w:jc w:val="both"/>
        <w:rPr>
          <w:rFonts w:eastAsia="Times New Roman" w:cs="Times New Roman"/>
          <w:sz w:val="22"/>
          <w:szCs w:val="22"/>
          <w:lang w:val="en-GB"/>
        </w:rPr>
      </w:pPr>
      <w:proofErr w:type="spellStart"/>
      <w:r w:rsidRPr="0016012A">
        <w:rPr>
          <w:rFonts w:eastAsia="Times New Roman" w:cs="Times New Roman"/>
          <w:sz w:val="22"/>
          <w:szCs w:val="22"/>
          <w:lang w:val="en-GB"/>
        </w:rPr>
        <w:lastRenderedPageBreak/>
        <w:t>Strenghten</w:t>
      </w:r>
      <w:proofErr w:type="spellEnd"/>
      <w:r w:rsidRPr="0016012A">
        <w:rPr>
          <w:rFonts w:eastAsia="Times New Roman" w:cs="Times New Roman"/>
          <w:sz w:val="22"/>
          <w:szCs w:val="22"/>
          <w:lang w:val="en-GB"/>
        </w:rPr>
        <w:t xml:space="preserve"> community action, promote and organise cross-border Black Sea Basin coastal and river clean-up campaigns (involving schools, students and volunteers) and share good experiences in this field.  </w:t>
      </w:r>
    </w:p>
    <w:p w14:paraId="50A05535" w14:textId="77777777" w:rsidR="00F16F0A" w:rsidRPr="0016012A" w:rsidRDefault="00F16F0A" w:rsidP="00EE745F">
      <w:pPr>
        <w:pStyle w:val="ListParagraph"/>
        <w:widowControl w:val="0"/>
        <w:numPr>
          <w:ilvl w:val="0"/>
          <w:numId w:val="16"/>
        </w:numPr>
        <w:autoSpaceDE w:val="0"/>
        <w:autoSpaceDN w:val="0"/>
        <w:adjustRightInd w:val="0"/>
        <w:spacing w:line="264" w:lineRule="auto"/>
        <w:jc w:val="both"/>
        <w:rPr>
          <w:rFonts w:cs="Times New Roman"/>
          <w:sz w:val="22"/>
          <w:szCs w:val="22"/>
          <w:lang w:val="en-GB"/>
        </w:rPr>
      </w:pPr>
      <w:r w:rsidRPr="0016012A">
        <w:rPr>
          <w:rFonts w:cs="Times New Roman"/>
          <w:sz w:val="22"/>
          <w:szCs w:val="22"/>
          <w:lang w:val="en-GB"/>
        </w:rPr>
        <w:t>Encourage the involvement of, and partnerships between, NGOs and civil society, the private sector (e.g. in the tourism, shipping and fisheries sectors) and local/regional authorities and waste services to combat river and marine litter.</w:t>
      </w:r>
    </w:p>
    <w:p w14:paraId="31F1A14E" w14:textId="51506AA8" w:rsidR="00F16F0A" w:rsidRPr="0016012A" w:rsidRDefault="00F16F0A" w:rsidP="00EE745F">
      <w:pPr>
        <w:pStyle w:val="ListParagraph"/>
        <w:widowControl w:val="0"/>
        <w:numPr>
          <w:ilvl w:val="0"/>
          <w:numId w:val="16"/>
        </w:numPr>
        <w:autoSpaceDE w:val="0"/>
        <w:autoSpaceDN w:val="0"/>
        <w:adjustRightInd w:val="0"/>
        <w:spacing w:line="264" w:lineRule="auto"/>
        <w:jc w:val="both"/>
        <w:rPr>
          <w:rFonts w:cs="Times New Roman"/>
          <w:sz w:val="22"/>
          <w:szCs w:val="22"/>
          <w:lang w:val="en-GB"/>
        </w:rPr>
      </w:pPr>
      <w:r w:rsidRPr="0016012A">
        <w:rPr>
          <w:rFonts w:eastAsia="Times New Roman" w:cs="Times New Roman"/>
          <w:sz w:val="22"/>
          <w:szCs w:val="22"/>
          <w:lang w:val="en-GB"/>
        </w:rPr>
        <w:t>Share experience to improve port reception facilities and services for garbage collection from vessels</w:t>
      </w:r>
      <w:r w:rsidR="003210E3">
        <w:rPr>
          <w:rFonts w:eastAsia="Times New Roman" w:cs="Times New Roman"/>
          <w:sz w:val="22"/>
          <w:szCs w:val="22"/>
          <w:lang w:val="en-GB"/>
        </w:rPr>
        <w:t>.</w:t>
      </w:r>
    </w:p>
    <w:p w14:paraId="1DC5F904" w14:textId="77777777" w:rsidR="00F16F0A" w:rsidRPr="0016012A" w:rsidRDefault="00F16F0A" w:rsidP="00F16F0A">
      <w:pPr>
        <w:spacing w:before="120" w:after="120" w:line="264" w:lineRule="auto"/>
        <w:jc w:val="both"/>
        <w:rPr>
          <w:rFonts w:cs="Times New Roman"/>
          <w:i/>
          <w:sz w:val="22"/>
          <w:szCs w:val="22"/>
          <w:lang w:val="en-GB"/>
        </w:rPr>
      </w:pPr>
      <w:r w:rsidRPr="0016012A">
        <w:rPr>
          <w:rFonts w:cs="Times New Roman"/>
          <w:i/>
          <w:sz w:val="22"/>
          <w:szCs w:val="22"/>
          <w:lang w:val="en-GB"/>
        </w:rPr>
        <w:t>Target groups for Priority 2.2:</w:t>
      </w:r>
    </w:p>
    <w:p w14:paraId="4EEED376" w14:textId="2F85C3DD" w:rsidR="00F16F0A" w:rsidRDefault="00F16F0A" w:rsidP="00F16F0A">
      <w:pPr>
        <w:spacing w:before="120" w:after="0" w:line="264" w:lineRule="auto"/>
        <w:jc w:val="both"/>
        <w:rPr>
          <w:rFonts w:eastAsia="Times New Roman" w:cs="Times New Roman"/>
          <w:sz w:val="22"/>
          <w:szCs w:val="22"/>
          <w:lang w:val="en-GB"/>
        </w:rPr>
      </w:pPr>
      <w:r w:rsidRPr="0016012A">
        <w:rPr>
          <w:rFonts w:eastAsia="Times New Roman" w:cs="Times New Roman"/>
          <w:sz w:val="22"/>
          <w:szCs w:val="22"/>
          <w:lang w:val="en-GB"/>
        </w:rPr>
        <w:t>Local/regional authorities and waste management and control services, environmental NGOs and civil society or</w:t>
      </w:r>
      <w:r w:rsidRPr="004369F3">
        <w:rPr>
          <w:rFonts w:eastAsia="Times New Roman" w:cs="Times New Roman"/>
          <w:sz w:val="22"/>
          <w:szCs w:val="22"/>
          <w:lang w:val="en-GB"/>
        </w:rPr>
        <w:t xml:space="preserve">ganisations, schools and educational institutions, tourism industry </w:t>
      </w:r>
      <w:r>
        <w:rPr>
          <w:rFonts w:eastAsia="Times New Roman" w:cs="Times New Roman"/>
          <w:sz w:val="22"/>
          <w:szCs w:val="22"/>
          <w:lang w:val="en-GB"/>
        </w:rPr>
        <w:t xml:space="preserve">associations, </w:t>
      </w:r>
      <w:r w:rsidRPr="004369F3">
        <w:rPr>
          <w:rFonts w:eastAsia="Times New Roman" w:cs="Times New Roman"/>
          <w:sz w:val="22"/>
          <w:szCs w:val="22"/>
          <w:lang w:val="en-GB"/>
        </w:rPr>
        <w:t xml:space="preserve">fisheries </w:t>
      </w:r>
      <w:r>
        <w:rPr>
          <w:rFonts w:eastAsia="Times New Roman" w:cs="Times New Roman"/>
          <w:sz w:val="22"/>
          <w:szCs w:val="22"/>
          <w:lang w:val="en-GB"/>
        </w:rPr>
        <w:t>associations</w:t>
      </w:r>
      <w:r w:rsidR="00840EE6">
        <w:rPr>
          <w:rFonts w:eastAsia="Times New Roman" w:cs="Times New Roman"/>
          <w:sz w:val="22"/>
          <w:szCs w:val="22"/>
          <w:lang w:val="en-GB"/>
        </w:rPr>
        <w:t>,</w:t>
      </w:r>
      <w:r>
        <w:rPr>
          <w:rFonts w:eastAsia="Times New Roman" w:cs="Times New Roman"/>
          <w:sz w:val="22"/>
          <w:szCs w:val="22"/>
          <w:lang w:val="en-GB"/>
        </w:rPr>
        <w:t xml:space="preserve"> </w:t>
      </w:r>
      <w:r w:rsidRPr="004369F3">
        <w:rPr>
          <w:rFonts w:eastAsia="Times New Roman" w:cs="Times New Roman"/>
          <w:sz w:val="22"/>
          <w:szCs w:val="22"/>
          <w:lang w:val="en-GB"/>
        </w:rPr>
        <w:t>port authorities</w:t>
      </w:r>
      <w:r w:rsidR="00840EE6">
        <w:rPr>
          <w:rFonts w:eastAsia="Times New Roman" w:cs="Times New Roman"/>
          <w:sz w:val="22"/>
          <w:szCs w:val="22"/>
          <w:lang w:val="en-GB"/>
        </w:rPr>
        <w:t>, s</w:t>
      </w:r>
      <w:r w:rsidR="00840EE6" w:rsidRPr="00840EE6">
        <w:rPr>
          <w:rFonts w:eastAsia="Times New Roman" w:cs="Times New Roman"/>
          <w:sz w:val="22"/>
          <w:szCs w:val="22"/>
          <w:lang w:val="en-GB"/>
        </w:rPr>
        <w:t>cientific agencies and institu</w:t>
      </w:r>
      <w:r w:rsidR="00840EE6">
        <w:rPr>
          <w:rFonts w:eastAsia="Times New Roman" w:cs="Times New Roman"/>
          <w:sz w:val="22"/>
          <w:szCs w:val="22"/>
          <w:lang w:val="en-GB"/>
        </w:rPr>
        <w:t>t</w:t>
      </w:r>
      <w:r w:rsidR="00840EE6" w:rsidRPr="00840EE6">
        <w:rPr>
          <w:rFonts w:eastAsia="Times New Roman" w:cs="Times New Roman"/>
          <w:sz w:val="22"/>
          <w:szCs w:val="22"/>
          <w:lang w:val="en-GB"/>
        </w:rPr>
        <w:t xml:space="preserve">es/research </w:t>
      </w:r>
      <w:proofErr w:type="spellStart"/>
      <w:r w:rsidR="00840EE6" w:rsidRPr="00840EE6">
        <w:rPr>
          <w:rFonts w:eastAsia="Times New Roman" w:cs="Times New Roman"/>
          <w:sz w:val="22"/>
          <w:szCs w:val="22"/>
          <w:lang w:val="en-GB"/>
        </w:rPr>
        <w:t>centers</w:t>
      </w:r>
      <w:proofErr w:type="spellEnd"/>
      <w:r w:rsidR="00840EE6" w:rsidRPr="00840EE6">
        <w:rPr>
          <w:rFonts w:eastAsia="Times New Roman" w:cs="Times New Roman"/>
          <w:sz w:val="22"/>
          <w:szCs w:val="22"/>
          <w:lang w:val="en-GB"/>
        </w:rPr>
        <w:t>/universities</w:t>
      </w:r>
      <w:r w:rsidRPr="004369F3">
        <w:rPr>
          <w:rFonts w:eastAsia="Times New Roman" w:cs="Times New Roman"/>
          <w:sz w:val="22"/>
          <w:szCs w:val="22"/>
          <w:lang w:val="en-GB"/>
        </w:rPr>
        <w:t>.</w:t>
      </w:r>
      <w:bookmarkEnd w:id="66"/>
      <w:bookmarkEnd w:id="67"/>
    </w:p>
    <w:p w14:paraId="3B333ADF" w14:textId="77777777" w:rsidR="00F16F0A" w:rsidRPr="0025034F" w:rsidRDefault="00654D55" w:rsidP="0065700F">
      <w:pPr>
        <w:pStyle w:val="Heading3"/>
        <w:spacing w:before="480" w:after="240" w:line="264" w:lineRule="auto"/>
        <w:rPr>
          <w:b/>
          <w:sz w:val="28"/>
          <w:szCs w:val="28"/>
          <w:lang w:val="en-GB"/>
        </w:rPr>
      </w:pPr>
      <w:bookmarkStart w:id="68" w:name="_Toc273788692"/>
      <w:bookmarkStart w:id="69" w:name="_Toc276156673"/>
      <w:bookmarkStart w:id="70" w:name="_Toc423436289"/>
      <w:r>
        <w:rPr>
          <w:b/>
          <w:sz w:val="28"/>
          <w:szCs w:val="28"/>
          <w:lang w:val="en-GB"/>
        </w:rPr>
        <w:t xml:space="preserve">5.4 </w:t>
      </w:r>
      <w:r w:rsidR="009B24F9" w:rsidRPr="00F62747">
        <w:rPr>
          <w:b/>
          <w:sz w:val="28"/>
          <w:szCs w:val="28"/>
          <w:lang w:val="en-GB"/>
        </w:rPr>
        <w:t>O</w:t>
      </w:r>
      <w:r w:rsidR="00F16F0A" w:rsidRPr="00F62747">
        <w:rPr>
          <w:b/>
          <w:sz w:val="28"/>
          <w:szCs w:val="28"/>
          <w:lang w:val="en-GB"/>
        </w:rPr>
        <w:t>bjectively verifiable indicators</w:t>
      </w:r>
      <w:bookmarkEnd w:id="68"/>
      <w:bookmarkEnd w:id="69"/>
      <w:bookmarkEnd w:id="70"/>
    </w:p>
    <w:p w14:paraId="37665128" w14:textId="77777777" w:rsidR="000C2098" w:rsidRDefault="000C2098" w:rsidP="00F16F0A">
      <w:pPr>
        <w:spacing w:before="240" w:after="0" w:line="264" w:lineRule="auto"/>
        <w:jc w:val="both"/>
        <w:rPr>
          <w:sz w:val="22"/>
          <w:szCs w:val="22"/>
          <w:lang w:val="en-GB"/>
        </w:rPr>
      </w:pPr>
      <w:r>
        <w:rPr>
          <w:sz w:val="22"/>
          <w:szCs w:val="22"/>
          <w:lang w:val="en-GB"/>
        </w:rPr>
        <w:t>Achievement of the BSB programme will be measured by way of objectively verifiable indicators.</w:t>
      </w:r>
    </w:p>
    <w:p w14:paraId="6B4444B2" w14:textId="77777777" w:rsidR="00F16F0A" w:rsidRPr="00FB7481" w:rsidRDefault="00F97DEB" w:rsidP="00F16F0A">
      <w:pPr>
        <w:spacing w:before="240" w:after="0" w:line="264" w:lineRule="auto"/>
        <w:jc w:val="both"/>
        <w:rPr>
          <w:sz w:val="22"/>
          <w:szCs w:val="22"/>
          <w:lang w:val="en-GB"/>
        </w:rPr>
      </w:pPr>
      <w:r>
        <w:rPr>
          <w:sz w:val="22"/>
          <w:szCs w:val="22"/>
          <w:lang w:val="en-GB"/>
        </w:rPr>
        <w:t>ENI CBC implementing regulation</w:t>
      </w:r>
      <w:r w:rsidR="00F16F0A" w:rsidRPr="00FB7481">
        <w:rPr>
          <w:rStyle w:val="FootnoteReference"/>
          <w:sz w:val="22"/>
          <w:szCs w:val="22"/>
          <w:lang w:val="en-GB"/>
        </w:rPr>
        <w:footnoteReference w:id="62"/>
      </w:r>
      <w:r w:rsidR="00F16F0A" w:rsidRPr="00FB7481">
        <w:rPr>
          <w:sz w:val="22"/>
          <w:szCs w:val="22"/>
          <w:lang w:val="en-GB"/>
        </w:rPr>
        <w:t xml:space="preserve"> stipulates that the ENI CBC programmes shall include a description of objectively verifiable indicators, in particular:</w:t>
      </w:r>
    </w:p>
    <w:p w14:paraId="350C4059" w14:textId="77777777" w:rsidR="00F16F0A" w:rsidRPr="00FB7481" w:rsidRDefault="00F16F0A" w:rsidP="00101316">
      <w:pPr>
        <w:pStyle w:val="ListParagraph"/>
        <w:numPr>
          <w:ilvl w:val="0"/>
          <w:numId w:val="23"/>
        </w:numPr>
        <w:spacing w:before="120" w:after="0" w:line="264" w:lineRule="auto"/>
        <w:ind w:left="714" w:hanging="357"/>
        <w:contextualSpacing w:val="0"/>
        <w:jc w:val="both"/>
        <w:rPr>
          <w:sz w:val="22"/>
          <w:szCs w:val="22"/>
          <w:lang w:val="en-GB"/>
        </w:rPr>
      </w:pPr>
      <w:r w:rsidRPr="00FB7481">
        <w:rPr>
          <w:sz w:val="22"/>
          <w:szCs w:val="22"/>
          <w:lang w:val="en-GB"/>
        </w:rPr>
        <w:t xml:space="preserve">The expected results for each priority, and the corresponding </w:t>
      </w:r>
      <w:r w:rsidRPr="00FB7481">
        <w:rPr>
          <w:b/>
          <w:sz w:val="22"/>
          <w:szCs w:val="22"/>
          <w:lang w:val="en-GB"/>
        </w:rPr>
        <w:t>result indicators</w:t>
      </w:r>
      <w:r w:rsidRPr="00FB7481">
        <w:rPr>
          <w:sz w:val="22"/>
          <w:szCs w:val="22"/>
          <w:lang w:val="en-GB"/>
        </w:rPr>
        <w:t>, with a baseline value and a target value;</w:t>
      </w:r>
    </w:p>
    <w:p w14:paraId="320D6E86" w14:textId="77777777" w:rsidR="0065700F" w:rsidRPr="001E0742" w:rsidRDefault="00F16F0A" w:rsidP="001E0742">
      <w:pPr>
        <w:pStyle w:val="ListParagraph"/>
        <w:numPr>
          <w:ilvl w:val="0"/>
          <w:numId w:val="23"/>
        </w:numPr>
        <w:spacing w:before="120" w:after="0" w:line="264" w:lineRule="auto"/>
        <w:ind w:left="714" w:hanging="357"/>
        <w:contextualSpacing w:val="0"/>
        <w:jc w:val="both"/>
        <w:rPr>
          <w:sz w:val="22"/>
          <w:szCs w:val="22"/>
          <w:lang w:val="en-GB"/>
        </w:rPr>
      </w:pPr>
      <w:r w:rsidRPr="00FB7481">
        <w:rPr>
          <w:sz w:val="22"/>
          <w:szCs w:val="22"/>
          <w:lang w:val="en-GB"/>
        </w:rPr>
        <w:t xml:space="preserve">The </w:t>
      </w:r>
      <w:r w:rsidRPr="00FB7481">
        <w:rPr>
          <w:b/>
          <w:sz w:val="22"/>
          <w:szCs w:val="22"/>
          <w:lang w:val="en-GB"/>
        </w:rPr>
        <w:t>output indicators</w:t>
      </w:r>
      <w:r w:rsidRPr="00FB7481">
        <w:rPr>
          <w:sz w:val="22"/>
          <w:szCs w:val="22"/>
          <w:lang w:val="en-GB"/>
        </w:rPr>
        <w:t xml:space="preserve"> for each priority, including the quantified target values, which </w:t>
      </w:r>
      <w:proofErr w:type="gramStart"/>
      <w:r w:rsidRPr="00FB7481">
        <w:rPr>
          <w:sz w:val="22"/>
          <w:szCs w:val="22"/>
          <w:lang w:val="en-GB"/>
        </w:rPr>
        <w:t>are</w:t>
      </w:r>
      <w:proofErr w:type="gramEnd"/>
      <w:r w:rsidRPr="00FB7481">
        <w:rPr>
          <w:sz w:val="22"/>
          <w:szCs w:val="22"/>
          <w:lang w:val="en-GB"/>
        </w:rPr>
        <w:t xml:space="preserve"> expected to contribute to the results.</w:t>
      </w:r>
    </w:p>
    <w:p w14:paraId="4855DC80" w14:textId="77777777" w:rsidR="00F16F0A" w:rsidRPr="00FB7481" w:rsidRDefault="00F16F0A" w:rsidP="00101316">
      <w:pPr>
        <w:spacing w:before="120" w:after="120" w:line="264" w:lineRule="auto"/>
        <w:jc w:val="both"/>
        <w:rPr>
          <w:sz w:val="22"/>
          <w:szCs w:val="22"/>
          <w:lang w:val="en-GB"/>
        </w:rPr>
      </w:pPr>
      <w:r w:rsidRPr="00FB7481">
        <w:rPr>
          <w:sz w:val="22"/>
          <w:szCs w:val="22"/>
          <w:lang w:val="en-GB"/>
        </w:rPr>
        <w:t>ENI CBC programming document further specifies that:</w:t>
      </w:r>
    </w:p>
    <w:p w14:paraId="20F901D4" w14:textId="77777777" w:rsidR="00F16F0A" w:rsidRPr="00FB7481" w:rsidRDefault="00F16F0A" w:rsidP="0065700F">
      <w:pPr>
        <w:pStyle w:val="ListParagraph"/>
        <w:numPr>
          <w:ilvl w:val="0"/>
          <w:numId w:val="23"/>
        </w:numPr>
        <w:spacing w:after="120" w:line="264" w:lineRule="auto"/>
        <w:ind w:left="714" w:hanging="357"/>
        <w:contextualSpacing w:val="0"/>
        <w:jc w:val="both"/>
        <w:rPr>
          <w:sz w:val="22"/>
          <w:szCs w:val="22"/>
          <w:lang w:val="en-GB"/>
        </w:rPr>
      </w:pPr>
      <w:r w:rsidRPr="00FB7481">
        <w:rPr>
          <w:sz w:val="22"/>
          <w:szCs w:val="22"/>
          <w:lang w:val="en-GB"/>
        </w:rPr>
        <w:t xml:space="preserve"> All programmes should adopt at least some of ENI CBC ‘</w:t>
      </w:r>
      <w:r w:rsidRPr="00FB7481">
        <w:rPr>
          <w:b/>
          <w:sz w:val="22"/>
          <w:szCs w:val="22"/>
          <w:lang w:val="en-GB"/>
        </w:rPr>
        <w:t>Common Output Indicators</w:t>
      </w:r>
      <w:r w:rsidR="00B244E8">
        <w:rPr>
          <w:sz w:val="22"/>
          <w:szCs w:val="22"/>
          <w:lang w:val="en-GB"/>
        </w:rPr>
        <w:t>’</w:t>
      </w:r>
      <w:r w:rsidRPr="00FB7481">
        <w:rPr>
          <w:sz w:val="22"/>
          <w:szCs w:val="22"/>
          <w:lang w:val="en-GB"/>
        </w:rPr>
        <w:t xml:space="preserve"> developed in order to increase accountability and facilitate reporting progress at instrument level. </w:t>
      </w:r>
    </w:p>
    <w:p w14:paraId="0BC7E801" w14:textId="77777777" w:rsidR="00F16F0A" w:rsidRPr="00FB7481" w:rsidRDefault="00F16F0A" w:rsidP="0065700F">
      <w:pPr>
        <w:pStyle w:val="ListParagraph"/>
        <w:numPr>
          <w:ilvl w:val="0"/>
          <w:numId w:val="23"/>
        </w:numPr>
        <w:spacing w:after="120" w:line="264" w:lineRule="auto"/>
        <w:ind w:left="714" w:hanging="357"/>
        <w:contextualSpacing w:val="0"/>
        <w:jc w:val="both"/>
        <w:rPr>
          <w:sz w:val="22"/>
          <w:szCs w:val="22"/>
          <w:lang w:val="en-GB"/>
        </w:rPr>
      </w:pPr>
      <w:r w:rsidRPr="00FB7481">
        <w:rPr>
          <w:sz w:val="22"/>
          <w:szCs w:val="22"/>
          <w:lang w:val="en-GB"/>
        </w:rPr>
        <w:t xml:space="preserve">Programmes shall monitor their progress by means of </w:t>
      </w:r>
      <w:r w:rsidRPr="00FB7481">
        <w:rPr>
          <w:b/>
          <w:sz w:val="22"/>
          <w:szCs w:val="22"/>
          <w:lang w:val="en-GB"/>
        </w:rPr>
        <w:t>outcome indicators</w:t>
      </w:r>
      <w:r w:rsidRPr="00FB7481">
        <w:rPr>
          <w:sz w:val="22"/>
          <w:szCs w:val="22"/>
          <w:lang w:val="en-GB"/>
        </w:rPr>
        <w:t xml:space="preserve"> that shall quantitatively or qualitatively measure the wider societal impact of a particular goal that spans beyond the direct beneficiaries of the programme and cover a wider group of society.</w:t>
      </w:r>
    </w:p>
    <w:p w14:paraId="0F1C1481" w14:textId="77777777" w:rsidR="005935BF" w:rsidRDefault="00F16F0A" w:rsidP="00F16F0A">
      <w:pPr>
        <w:spacing w:before="120" w:after="0" w:line="264" w:lineRule="auto"/>
        <w:jc w:val="both"/>
        <w:rPr>
          <w:sz w:val="22"/>
          <w:szCs w:val="22"/>
          <w:lang w:val="en-GB"/>
        </w:rPr>
      </w:pPr>
      <w:r w:rsidRPr="001D37A2">
        <w:rPr>
          <w:sz w:val="22"/>
          <w:szCs w:val="22"/>
          <w:lang w:val="en-GB"/>
        </w:rPr>
        <w:t>Theref</w:t>
      </w:r>
      <w:r w:rsidR="006807EC">
        <w:rPr>
          <w:sz w:val="22"/>
          <w:szCs w:val="22"/>
          <w:lang w:val="en-GB"/>
        </w:rPr>
        <w:t>o</w:t>
      </w:r>
      <w:r w:rsidR="00B258D1">
        <w:rPr>
          <w:sz w:val="22"/>
          <w:szCs w:val="22"/>
          <w:lang w:val="en-GB"/>
        </w:rPr>
        <w:t>re, as reflected in the table</w:t>
      </w:r>
      <w:r w:rsidR="00834481" w:rsidRPr="001D37A2">
        <w:rPr>
          <w:sz w:val="22"/>
          <w:szCs w:val="22"/>
          <w:lang w:val="en-GB"/>
        </w:rPr>
        <w:t xml:space="preserve"> </w:t>
      </w:r>
      <w:r w:rsidRPr="001D37A2">
        <w:rPr>
          <w:sz w:val="22"/>
          <w:szCs w:val="22"/>
          <w:lang w:val="en-GB"/>
        </w:rPr>
        <w:t>below</w:t>
      </w:r>
      <w:r w:rsidR="00B258D1">
        <w:rPr>
          <w:sz w:val="22"/>
          <w:szCs w:val="22"/>
          <w:lang w:val="en-GB"/>
        </w:rPr>
        <w:t xml:space="preserve">, </w:t>
      </w:r>
      <w:r w:rsidR="00847DB6">
        <w:rPr>
          <w:sz w:val="22"/>
          <w:szCs w:val="22"/>
          <w:lang w:val="en-GB"/>
        </w:rPr>
        <w:t xml:space="preserve">the </w:t>
      </w:r>
      <w:r w:rsidR="00B258D1">
        <w:rPr>
          <w:sz w:val="22"/>
          <w:szCs w:val="22"/>
          <w:lang w:val="en-GB"/>
        </w:rPr>
        <w:t>BSB</w:t>
      </w:r>
      <w:r w:rsidR="006807EC">
        <w:rPr>
          <w:sz w:val="22"/>
          <w:szCs w:val="22"/>
          <w:lang w:val="en-GB"/>
        </w:rPr>
        <w:t xml:space="preserve"> programme</w:t>
      </w:r>
      <w:r w:rsidRPr="001D37A2">
        <w:rPr>
          <w:sz w:val="22"/>
          <w:szCs w:val="22"/>
          <w:lang w:val="en-GB"/>
        </w:rPr>
        <w:t xml:space="preserve"> include</w:t>
      </w:r>
      <w:r w:rsidR="00575F42">
        <w:rPr>
          <w:sz w:val="22"/>
          <w:szCs w:val="22"/>
          <w:lang w:val="en-GB"/>
        </w:rPr>
        <w:t>s</w:t>
      </w:r>
      <w:r w:rsidR="008606FC">
        <w:rPr>
          <w:sz w:val="22"/>
          <w:szCs w:val="22"/>
          <w:lang w:val="en-GB"/>
        </w:rPr>
        <w:t xml:space="preserve"> two levels of indicators</w:t>
      </w:r>
      <w:r w:rsidR="005935BF" w:rsidRPr="001D37A2">
        <w:rPr>
          <w:sz w:val="22"/>
          <w:szCs w:val="22"/>
          <w:lang w:val="en-GB"/>
        </w:rPr>
        <w:t>:</w:t>
      </w:r>
    </w:p>
    <w:p w14:paraId="434B5DCC" w14:textId="77777777" w:rsidR="00F16F0A" w:rsidRPr="001D37A2" w:rsidRDefault="00F75AC2" w:rsidP="0065700F">
      <w:pPr>
        <w:pStyle w:val="ListParagraph"/>
        <w:widowControl w:val="0"/>
        <w:numPr>
          <w:ilvl w:val="0"/>
          <w:numId w:val="16"/>
        </w:numPr>
        <w:autoSpaceDE w:val="0"/>
        <w:autoSpaceDN w:val="0"/>
        <w:adjustRightInd w:val="0"/>
        <w:spacing w:before="60" w:after="0" w:line="264" w:lineRule="auto"/>
        <w:ind w:left="714" w:hanging="357"/>
        <w:contextualSpacing w:val="0"/>
        <w:jc w:val="both"/>
        <w:rPr>
          <w:rFonts w:cs="Times New Roman"/>
          <w:sz w:val="22"/>
          <w:szCs w:val="22"/>
          <w:lang w:val="en-GB"/>
        </w:rPr>
      </w:pPr>
      <w:r>
        <w:rPr>
          <w:rFonts w:cs="Times New Roman"/>
          <w:sz w:val="22"/>
          <w:szCs w:val="22"/>
          <w:lang w:val="en-GB"/>
        </w:rPr>
        <w:t xml:space="preserve">At result level: </w:t>
      </w:r>
      <w:r w:rsidR="00F05F7E">
        <w:rPr>
          <w:rFonts w:cs="Times New Roman"/>
          <w:sz w:val="22"/>
          <w:szCs w:val="22"/>
          <w:lang w:val="en-GB"/>
        </w:rPr>
        <w:t>4</w:t>
      </w:r>
      <w:r>
        <w:rPr>
          <w:rFonts w:cs="Times New Roman"/>
          <w:sz w:val="22"/>
          <w:szCs w:val="22"/>
          <w:lang w:val="en-GB"/>
        </w:rPr>
        <w:t xml:space="preserve"> indicators</w:t>
      </w:r>
      <w:r w:rsidR="004E07CA">
        <w:rPr>
          <w:rFonts w:cs="Times New Roman"/>
          <w:sz w:val="22"/>
          <w:szCs w:val="22"/>
          <w:lang w:val="en-GB"/>
        </w:rPr>
        <w:t xml:space="preserve"> (one per priority)</w:t>
      </w:r>
    </w:p>
    <w:p w14:paraId="3D5A3925" w14:textId="77777777" w:rsidR="001E0465" w:rsidRDefault="00B244E8" w:rsidP="001E0465">
      <w:pPr>
        <w:pStyle w:val="ListParagraph"/>
        <w:widowControl w:val="0"/>
        <w:numPr>
          <w:ilvl w:val="0"/>
          <w:numId w:val="16"/>
        </w:numPr>
        <w:autoSpaceDE w:val="0"/>
        <w:autoSpaceDN w:val="0"/>
        <w:adjustRightInd w:val="0"/>
        <w:spacing w:before="60" w:after="0" w:line="264" w:lineRule="auto"/>
        <w:ind w:left="714" w:hanging="357"/>
        <w:contextualSpacing w:val="0"/>
        <w:jc w:val="both"/>
        <w:rPr>
          <w:rFonts w:cs="Times New Roman"/>
          <w:sz w:val="22"/>
          <w:szCs w:val="22"/>
          <w:lang w:val="en-GB"/>
        </w:rPr>
      </w:pPr>
      <w:r>
        <w:rPr>
          <w:rFonts w:cs="Times New Roman"/>
          <w:sz w:val="22"/>
          <w:szCs w:val="22"/>
          <w:lang w:val="en-GB"/>
        </w:rPr>
        <w:t>At activity</w:t>
      </w:r>
      <w:r w:rsidR="00F75AC2">
        <w:rPr>
          <w:rFonts w:cs="Times New Roman"/>
          <w:sz w:val="22"/>
          <w:szCs w:val="22"/>
          <w:lang w:val="en-GB"/>
        </w:rPr>
        <w:t xml:space="preserve"> level: </w:t>
      </w:r>
      <w:r>
        <w:rPr>
          <w:rFonts w:cs="Times New Roman"/>
          <w:sz w:val="22"/>
          <w:szCs w:val="22"/>
          <w:lang w:val="en-GB"/>
        </w:rPr>
        <w:t>the use of 6 Common Output I</w:t>
      </w:r>
      <w:r w:rsidR="00F75AC2">
        <w:rPr>
          <w:rFonts w:cs="Times New Roman"/>
          <w:sz w:val="22"/>
          <w:szCs w:val="22"/>
          <w:lang w:val="en-GB"/>
        </w:rPr>
        <w:t>ndicators</w:t>
      </w:r>
      <w:r>
        <w:rPr>
          <w:rFonts w:cs="Times New Roman"/>
          <w:sz w:val="22"/>
          <w:szCs w:val="22"/>
          <w:lang w:val="en-GB"/>
        </w:rPr>
        <w:t xml:space="preserve"> (COI)</w:t>
      </w:r>
      <w:r w:rsidR="00350954">
        <w:rPr>
          <w:rStyle w:val="FootnoteReference"/>
          <w:rFonts w:cs="Times New Roman"/>
          <w:sz w:val="22"/>
          <w:szCs w:val="22"/>
          <w:lang w:val="en-GB"/>
        </w:rPr>
        <w:footnoteReference w:id="63"/>
      </w:r>
      <w:r w:rsidR="00333677">
        <w:rPr>
          <w:rFonts w:cs="Times New Roman"/>
          <w:sz w:val="22"/>
          <w:szCs w:val="22"/>
          <w:lang w:val="en-GB"/>
        </w:rPr>
        <w:t xml:space="preserve"> and of 3 programme-specific</w:t>
      </w:r>
      <w:r w:rsidR="008456E4">
        <w:rPr>
          <w:rFonts w:cs="Times New Roman"/>
          <w:sz w:val="22"/>
          <w:szCs w:val="22"/>
          <w:lang w:val="en-GB"/>
        </w:rPr>
        <w:t xml:space="preserve"> output</w:t>
      </w:r>
      <w:r w:rsidR="00333677">
        <w:rPr>
          <w:rFonts w:cs="Times New Roman"/>
          <w:sz w:val="22"/>
          <w:szCs w:val="22"/>
          <w:lang w:val="en-GB"/>
        </w:rPr>
        <w:t xml:space="preserve"> indicators</w:t>
      </w:r>
      <w:r w:rsidR="00B258D1">
        <w:rPr>
          <w:rFonts w:cs="Times New Roman"/>
          <w:sz w:val="22"/>
          <w:szCs w:val="22"/>
          <w:lang w:val="en-GB"/>
        </w:rPr>
        <w:t xml:space="preserve"> (PSOI)</w:t>
      </w:r>
      <w:r w:rsidR="00444624">
        <w:rPr>
          <w:rFonts w:cs="Times New Roman"/>
          <w:sz w:val="22"/>
          <w:szCs w:val="22"/>
          <w:lang w:val="en-GB"/>
        </w:rPr>
        <w:t>.</w:t>
      </w:r>
    </w:p>
    <w:p w14:paraId="494F18B5" w14:textId="77777777" w:rsidR="001E0465" w:rsidRPr="001E0465" w:rsidRDefault="001E0465" w:rsidP="001E0465">
      <w:pPr>
        <w:pStyle w:val="ListParagraph"/>
        <w:widowControl w:val="0"/>
        <w:autoSpaceDE w:val="0"/>
        <w:autoSpaceDN w:val="0"/>
        <w:adjustRightInd w:val="0"/>
        <w:spacing w:before="60" w:after="0" w:line="264" w:lineRule="auto"/>
        <w:ind w:left="714"/>
        <w:contextualSpacing w:val="0"/>
        <w:jc w:val="both"/>
        <w:rPr>
          <w:rFonts w:cs="Times New Roman"/>
          <w:sz w:val="22"/>
          <w:szCs w:val="22"/>
          <w:lang w:val="en-GB"/>
        </w:rPr>
      </w:pPr>
    </w:p>
    <w:tbl>
      <w:tblPr>
        <w:tblStyle w:val="LightGrid-Accent4"/>
        <w:tblW w:w="0" w:type="auto"/>
        <w:tblLayout w:type="fixed"/>
        <w:tblLook w:val="04A0" w:firstRow="1" w:lastRow="0" w:firstColumn="1" w:lastColumn="0" w:noHBand="0" w:noVBand="1"/>
      </w:tblPr>
      <w:tblGrid>
        <w:gridCol w:w="705"/>
        <w:gridCol w:w="679"/>
        <w:gridCol w:w="3686"/>
        <w:gridCol w:w="6025"/>
      </w:tblGrid>
      <w:tr w:rsidR="001E0465" w:rsidRPr="00942B28" w14:paraId="4348A7B4" w14:textId="77777777" w:rsidTr="00911D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95" w:type="dxa"/>
            <w:gridSpan w:val="4"/>
          </w:tcPr>
          <w:p w14:paraId="7A73B08A" w14:textId="77777777" w:rsidR="001E0465" w:rsidRPr="00942B28" w:rsidRDefault="001E0465" w:rsidP="00911D7B">
            <w:pPr>
              <w:spacing w:before="20" w:after="20"/>
              <w:jc w:val="both"/>
              <w:rPr>
                <w:sz w:val="22"/>
                <w:szCs w:val="22"/>
              </w:rPr>
            </w:pPr>
            <w:proofErr w:type="spellStart"/>
            <w:r w:rsidRPr="00942B28">
              <w:rPr>
                <w:sz w:val="22"/>
                <w:szCs w:val="22"/>
              </w:rPr>
              <w:t>Definition</w:t>
            </w:r>
            <w:proofErr w:type="spellEnd"/>
            <w:r w:rsidRPr="00942B28">
              <w:rPr>
                <w:sz w:val="22"/>
                <w:szCs w:val="22"/>
              </w:rPr>
              <w:t xml:space="preserve"> of programme </w:t>
            </w:r>
            <w:proofErr w:type="spellStart"/>
            <w:r w:rsidRPr="00942B28">
              <w:rPr>
                <w:sz w:val="22"/>
                <w:szCs w:val="22"/>
              </w:rPr>
              <w:t>indicators</w:t>
            </w:r>
            <w:proofErr w:type="spellEnd"/>
            <w:r w:rsidRPr="00942B28">
              <w:rPr>
                <w:sz w:val="22"/>
                <w:szCs w:val="22"/>
              </w:rPr>
              <w:t xml:space="preserve"> </w:t>
            </w:r>
          </w:p>
        </w:tc>
      </w:tr>
      <w:tr w:rsidR="001E0465" w:rsidRPr="00B71347" w14:paraId="4A433DCC"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55566ABF" w14:textId="77777777" w:rsidR="001E0465" w:rsidRPr="00942B28" w:rsidRDefault="001E0465" w:rsidP="00911D7B">
            <w:pPr>
              <w:jc w:val="both"/>
              <w:rPr>
                <w:sz w:val="20"/>
                <w:szCs w:val="20"/>
              </w:rPr>
            </w:pPr>
            <w:r w:rsidRPr="00942B28">
              <w:rPr>
                <w:sz w:val="20"/>
                <w:szCs w:val="20"/>
              </w:rPr>
              <w:t>Type</w:t>
            </w:r>
          </w:p>
        </w:tc>
        <w:tc>
          <w:tcPr>
            <w:tcW w:w="679" w:type="dxa"/>
          </w:tcPr>
          <w:p w14:paraId="6F4A10BA" w14:textId="77777777" w:rsidR="001E0465" w:rsidRPr="00942B28" w:rsidRDefault="001E0465" w:rsidP="00911D7B">
            <w:pPr>
              <w:jc w:val="both"/>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942B28">
              <w:rPr>
                <w:b/>
                <w:sz w:val="20"/>
                <w:szCs w:val="20"/>
              </w:rPr>
              <w:t>Prio</w:t>
            </w:r>
            <w:proofErr w:type="spellEnd"/>
            <w:r w:rsidRPr="00942B28">
              <w:rPr>
                <w:b/>
                <w:sz w:val="20"/>
                <w:szCs w:val="20"/>
              </w:rPr>
              <w:t>.</w:t>
            </w:r>
          </w:p>
        </w:tc>
        <w:tc>
          <w:tcPr>
            <w:tcW w:w="3686" w:type="dxa"/>
          </w:tcPr>
          <w:p w14:paraId="0770ACA1" w14:textId="77777777" w:rsidR="001E0465" w:rsidRPr="00942B28" w:rsidRDefault="001E0465" w:rsidP="00911D7B">
            <w:pPr>
              <w:jc w:val="both"/>
              <w:cnfStyle w:val="000000100000" w:firstRow="0" w:lastRow="0" w:firstColumn="0" w:lastColumn="0" w:oddVBand="0" w:evenVBand="0" w:oddHBand="1" w:evenHBand="0" w:firstRowFirstColumn="0" w:firstRowLastColumn="0" w:lastRowFirstColumn="0" w:lastRowLastColumn="0"/>
              <w:rPr>
                <w:b/>
                <w:sz w:val="20"/>
                <w:szCs w:val="20"/>
              </w:rPr>
            </w:pPr>
            <w:proofErr w:type="spellStart"/>
            <w:r w:rsidRPr="00942B28">
              <w:rPr>
                <w:b/>
                <w:sz w:val="20"/>
                <w:szCs w:val="20"/>
              </w:rPr>
              <w:t>Indicator</w:t>
            </w:r>
            <w:proofErr w:type="spellEnd"/>
          </w:p>
        </w:tc>
        <w:tc>
          <w:tcPr>
            <w:tcW w:w="6025" w:type="dxa"/>
          </w:tcPr>
          <w:p w14:paraId="089B561D"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b/>
                <w:sz w:val="20"/>
                <w:szCs w:val="20"/>
                <w:lang w:val="en-GB"/>
              </w:rPr>
            </w:pPr>
            <w:r w:rsidRPr="00682784">
              <w:rPr>
                <w:b/>
                <w:sz w:val="20"/>
                <w:szCs w:val="20"/>
                <w:lang w:val="en-GB"/>
              </w:rPr>
              <w:t>Definition and Source of verification</w:t>
            </w:r>
          </w:p>
        </w:tc>
      </w:tr>
      <w:tr w:rsidR="001E0465" w:rsidRPr="00B71347" w14:paraId="7FEF1407"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10A69BD8" w14:textId="77777777" w:rsidR="001E0465" w:rsidRPr="00953164" w:rsidRDefault="001E0465" w:rsidP="00911D7B">
            <w:pPr>
              <w:jc w:val="both"/>
              <w:rPr>
                <w:sz w:val="20"/>
                <w:szCs w:val="20"/>
              </w:rPr>
            </w:pPr>
            <w:r w:rsidRPr="00953164">
              <w:rPr>
                <w:sz w:val="20"/>
                <w:szCs w:val="20"/>
              </w:rPr>
              <w:t>RI</w:t>
            </w:r>
          </w:p>
        </w:tc>
        <w:tc>
          <w:tcPr>
            <w:tcW w:w="679" w:type="dxa"/>
          </w:tcPr>
          <w:p w14:paraId="62B5740D"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 xml:space="preserve">1.1 </w:t>
            </w:r>
          </w:p>
        </w:tc>
        <w:tc>
          <w:tcPr>
            <w:tcW w:w="3686" w:type="dxa"/>
          </w:tcPr>
          <w:p w14:paraId="6631F49B"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sz w:val="20"/>
                <w:szCs w:val="20"/>
                <w:lang w:val="en-GB"/>
              </w:rPr>
              <w:t>R1.</w:t>
            </w:r>
            <w:r w:rsidRPr="00953164">
              <w:rPr>
                <w:rFonts w:eastAsia="Times New Roman" w:cs="Times New Roman"/>
                <w:sz w:val="20"/>
                <w:szCs w:val="20"/>
                <w:lang w:val="en-GB"/>
              </w:rPr>
              <w:t>1 Strength of cross-border business opportunities in the tourism and cultural sectors</w:t>
            </w:r>
          </w:p>
        </w:tc>
        <w:tc>
          <w:tcPr>
            <w:tcW w:w="6025" w:type="dxa"/>
          </w:tcPr>
          <w:p w14:paraId="2581CF01" w14:textId="77777777" w:rsidR="001E0465" w:rsidRPr="00953164" w:rsidRDefault="001E0465" w:rsidP="00CB3FCC">
            <w:pPr>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szCs w:val="20"/>
                <w:lang w:val="en-GB"/>
              </w:rPr>
            </w:pPr>
            <w:r>
              <w:rPr>
                <w:rFonts w:eastAsia="Times New Roman" w:cs="Times New Roman"/>
                <w:sz w:val="20"/>
                <w:szCs w:val="20"/>
                <w:lang w:val="en-GB"/>
              </w:rPr>
              <w:t xml:space="preserve">Based on survey. </w:t>
            </w:r>
            <w:r w:rsidRPr="00953164">
              <w:rPr>
                <w:rFonts w:eastAsia="Times New Roman" w:cs="Times New Roman"/>
                <w:sz w:val="20"/>
                <w:szCs w:val="20"/>
                <w:lang w:val="en-GB"/>
              </w:rPr>
              <w:t>Assessment of the cross-border business opportunities by a reference group</w:t>
            </w:r>
            <w:r>
              <w:rPr>
                <w:rFonts w:eastAsia="Times New Roman" w:cs="Times New Roman"/>
                <w:sz w:val="20"/>
                <w:szCs w:val="20"/>
                <w:lang w:val="en-GB"/>
              </w:rPr>
              <w:t>.</w:t>
            </w:r>
          </w:p>
        </w:tc>
      </w:tr>
      <w:tr w:rsidR="001E0465" w:rsidRPr="00B71347" w14:paraId="592C738C"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11E0595D" w14:textId="77777777" w:rsidR="001E0465" w:rsidRPr="00953164" w:rsidRDefault="001E0465" w:rsidP="00911D7B">
            <w:pPr>
              <w:jc w:val="both"/>
              <w:rPr>
                <w:sz w:val="20"/>
                <w:szCs w:val="20"/>
              </w:rPr>
            </w:pPr>
            <w:r w:rsidRPr="00953164">
              <w:rPr>
                <w:sz w:val="20"/>
                <w:szCs w:val="20"/>
              </w:rPr>
              <w:lastRenderedPageBreak/>
              <w:t xml:space="preserve">RI </w:t>
            </w:r>
          </w:p>
        </w:tc>
        <w:tc>
          <w:tcPr>
            <w:tcW w:w="679" w:type="dxa"/>
          </w:tcPr>
          <w:p w14:paraId="66D11255"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1.2</w:t>
            </w:r>
          </w:p>
        </w:tc>
        <w:tc>
          <w:tcPr>
            <w:tcW w:w="3686" w:type="dxa"/>
          </w:tcPr>
          <w:p w14:paraId="7DB94701"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R1.2 Strength of cross-border links for trade and modernisation in the agricultural and connected sectors</w:t>
            </w:r>
          </w:p>
        </w:tc>
        <w:tc>
          <w:tcPr>
            <w:tcW w:w="6025" w:type="dxa"/>
          </w:tcPr>
          <w:p w14:paraId="47E5E26E" w14:textId="77777777" w:rsidR="001E0465" w:rsidRPr="00953164" w:rsidRDefault="001E0465" w:rsidP="00CB3FCC">
            <w:pPr>
              <w:jc w:val="both"/>
              <w:cnfStyle w:val="000000100000" w:firstRow="0" w:lastRow="0" w:firstColumn="0" w:lastColumn="0" w:oddVBand="0" w:evenVBand="0" w:oddHBand="1" w:evenHBand="0" w:firstRowFirstColumn="0" w:firstRowLastColumn="0" w:lastRowFirstColumn="0" w:lastRowLastColumn="0"/>
              <w:rPr>
                <w:b/>
                <w:sz w:val="20"/>
                <w:szCs w:val="20"/>
                <w:lang w:val="en-GB"/>
              </w:rPr>
            </w:pPr>
            <w:r w:rsidRPr="00682784">
              <w:rPr>
                <w:sz w:val="20"/>
                <w:szCs w:val="20"/>
                <w:lang w:val="en-GB"/>
              </w:rPr>
              <w:t xml:space="preserve">Based on survey. Assessment </w:t>
            </w:r>
            <w:r w:rsidRPr="00953164">
              <w:rPr>
                <w:rFonts w:eastAsia="Times New Roman" w:cs="Times New Roman"/>
                <w:bCs/>
                <w:sz w:val="20"/>
                <w:szCs w:val="20"/>
                <w:lang w:val="en-GB"/>
              </w:rPr>
              <w:t xml:space="preserve">of strength of cross-border links for trade and modernisation in the agricultural and connected sectors in BSB </w:t>
            </w:r>
            <w:r w:rsidRPr="00953164">
              <w:rPr>
                <w:rFonts w:eastAsia="Times New Roman" w:cs="Times New Roman"/>
                <w:sz w:val="20"/>
                <w:szCs w:val="20"/>
                <w:lang w:val="en-GB"/>
              </w:rPr>
              <w:t xml:space="preserve">by a reference group </w:t>
            </w:r>
          </w:p>
        </w:tc>
      </w:tr>
      <w:tr w:rsidR="001E0465" w:rsidRPr="00B71347" w14:paraId="3BE9131D"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195996AE" w14:textId="77777777" w:rsidR="001E0465" w:rsidRPr="00953164" w:rsidRDefault="001E0465" w:rsidP="00911D7B">
            <w:pPr>
              <w:jc w:val="both"/>
              <w:rPr>
                <w:sz w:val="20"/>
                <w:szCs w:val="20"/>
              </w:rPr>
            </w:pPr>
            <w:r w:rsidRPr="00953164">
              <w:rPr>
                <w:sz w:val="20"/>
                <w:szCs w:val="20"/>
              </w:rPr>
              <w:t>RI</w:t>
            </w:r>
          </w:p>
        </w:tc>
        <w:tc>
          <w:tcPr>
            <w:tcW w:w="679" w:type="dxa"/>
          </w:tcPr>
          <w:p w14:paraId="1CF65C5E"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2.1</w:t>
            </w:r>
          </w:p>
        </w:tc>
        <w:tc>
          <w:tcPr>
            <w:tcW w:w="3686" w:type="dxa"/>
          </w:tcPr>
          <w:p w14:paraId="32423CBE"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sz w:val="20"/>
                <w:szCs w:val="20"/>
                <w:lang w:val="en-GB"/>
              </w:rPr>
              <w:t>R2.1 Level of availability of cross-border compatible environmental monitoring data and information</w:t>
            </w:r>
          </w:p>
        </w:tc>
        <w:tc>
          <w:tcPr>
            <w:tcW w:w="6025" w:type="dxa"/>
          </w:tcPr>
          <w:p w14:paraId="32212083" w14:textId="77777777" w:rsidR="001E0465" w:rsidRPr="00682784" w:rsidRDefault="001E0465" w:rsidP="00CB3FCC">
            <w:pPr>
              <w:jc w:val="both"/>
              <w:cnfStyle w:val="000000010000" w:firstRow="0" w:lastRow="0" w:firstColumn="0" w:lastColumn="0" w:oddVBand="0" w:evenVBand="0" w:oddHBand="0" w:evenHBand="1" w:firstRowFirstColumn="0" w:firstRowLastColumn="0" w:lastRowFirstColumn="0" w:lastRowLastColumn="0"/>
              <w:rPr>
                <w:b/>
                <w:sz w:val="20"/>
                <w:szCs w:val="20"/>
                <w:lang w:val="en-GB"/>
              </w:rPr>
            </w:pPr>
            <w:r w:rsidRPr="00682784">
              <w:rPr>
                <w:sz w:val="20"/>
                <w:szCs w:val="20"/>
                <w:lang w:val="en-GB"/>
              </w:rPr>
              <w:t xml:space="preserve">Based on survey. Assessment </w:t>
            </w:r>
            <w:r w:rsidRPr="00953164">
              <w:rPr>
                <w:rFonts w:eastAsia="Times New Roman" w:cs="Times New Roman"/>
                <w:bCs/>
                <w:sz w:val="20"/>
                <w:szCs w:val="20"/>
                <w:lang w:val="en-GB"/>
              </w:rPr>
              <w:t xml:space="preserve">of </w:t>
            </w:r>
            <w:r w:rsidRPr="00953164">
              <w:rPr>
                <w:rFonts w:eastAsia="Times New Roman" w:cs="Times New Roman"/>
                <w:sz w:val="20"/>
                <w:szCs w:val="20"/>
                <w:lang w:val="en-GB"/>
              </w:rPr>
              <w:t>availability of cross-border compatible environmental monitoring data and information</w:t>
            </w:r>
            <w:r w:rsidRPr="00953164">
              <w:rPr>
                <w:rFonts w:eastAsia="Times New Roman" w:cs="Times New Roman"/>
                <w:bCs/>
                <w:sz w:val="20"/>
                <w:szCs w:val="20"/>
                <w:lang w:val="en-GB"/>
              </w:rPr>
              <w:t xml:space="preserve"> </w:t>
            </w:r>
            <w:r w:rsidRPr="00953164">
              <w:rPr>
                <w:rFonts w:eastAsia="Times New Roman" w:cs="Times New Roman"/>
                <w:sz w:val="20"/>
                <w:szCs w:val="20"/>
                <w:lang w:val="en-GB"/>
              </w:rPr>
              <w:t>by a reference group</w:t>
            </w:r>
            <w:r>
              <w:rPr>
                <w:rFonts w:eastAsia="Times New Roman" w:cs="Times New Roman"/>
                <w:sz w:val="20"/>
                <w:szCs w:val="20"/>
                <w:lang w:val="en-GB"/>
              </w:rPr>
              <w:t>.</w:t>
            </w:r>
          </w:p>
        </w:tc>
      </w:tr>
      <w:tr w:rsidR="001E0465" w:rsidRPr="00B71347" w14:paraId="0F48F329" w14:textId="77777777" w:rsidTr="00911D7B">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705" w:type="dxa"/>
          </w:tcPr>
          <w:p w14:paraId="778F0AFC" w14:textId="77777777" w:rsidR="001E0465" w:rsidRPr="00953164" w:rsidRDefault="001E0465" w:rsidP="00911D7B">
            <w:pPr>
              <w:jc w:val="both"/>
              <w:rPr>
                <w:sz w:val="20"/>
                <w:szCs w:val="20"/>
              </w:rPr>
            </w:pPr>
            <w:r w:rsidRPr="00953164">
              <w:rPr>
                <w:sz w:val="20"/>
                <w:szCs w:val="20"/>
              </w:rPr>
              <w:t>RI</w:t>
            </w:r>
          </w:p>
        </w:tc>
        <w:tc>
          <w:tcPr>
            <w:tcW w:w="679" w:type="dxa"/>
          </w:tcPr>
          <w:p w14:paraId="45A56261"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2.2</w:t>
            </w:r>
          </w:p>
        </w:tc>
        <w:tc>
          <w:tcPr>
            <w:tcW w:w="3686" w:type="dxa"/>
          </w:tcPr>
          <w:p w14:paraId="74BBEE63"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R2.2 Level of awareness of environmental challenges and good waste management practices related to river and marine litter</w:t>
            </w:r>
          </w:p>
        </w:tc>
        <w:tc>
          <w:tcPr>
            <w:tcW w:w="6025" w:type="dxa"/>
          </w:tcPr>
          <w:p w14:paraId="68B55348" w14:textId="77777777" w:rsidR="001E0465" w:rsidRPr="00682784" w:rsidRDefault="001E0465" w:rsidP="00CB3FCC">
            <w:pPr>
              <w:jc w:val="both"/>
              <w:cnfStyle w:val="000000100000" w:firstRow="0" w:lastRow="0" w:firstColumn="0" w:lastColumn="0" w:oddVBand="0" w:evenVBand="0" w:oddHBand="1" w:evenHBand="0" w:firstRowFirstColumn="0" w:firstRowLastColumn="0" w:lastRowFirstColumn="0" w:lastRowLastColumn="0"/>
              <w:rPr>
                <w:b/>
                <w:sz w:val="20"/>
                <w:szCs w:val="20"/>
                <w:lang w:val="en-GB"/>
              </w:rPr>
            </w:pPr>
            <w:r w:rsidRPr="00682784">
              <w:rPr>
                <w:sz w:val="20"/>
                <w:szCs w:val="20"/>
                <w:lang w:val="en-GB"/>
              </w:rPr>
              <w:t xml:space="preserve">Based on survey. Assessment </w:t>
            </w:r>
            <w:r w:rsidRPr="00953164">
              <w:rPr>
                <w:rFonts w:eastAsia="Times New Roman" w:cs="Times New Roman"/>
                <w:bCs/>
                <w:sz w:val="20"/>
                <w:szCs w:val="20"/>
                <w:lang w:val="en-GB"/>
              </w:rPr>
              <w:t xml:space="preserve">of the </w:t>
            </w:r>
            <w:r w:rsidRPr="00953164">
              <w:rPr>
                <w:rFonts w:eastAsia="Times New Roman" w:cs="Times New Roman"/>
                <w:sz w:val="20"/>
                <w:szCs w:val="20"/>
                <w:lang w:val="en-GB"/>
              </w:rPr>
              <w:t>awareness of inhabitants, companies and relevant public service providers on environmental challenges and good waste management practices related to river and marine litter</w:t>
            </w:r>
            <w:r w:rsidRPr="00953164">
              <w:rPr>
                <w:rFonts w:eastAsia="Times New Roman" w:cs="Times New Roman"/>
                <w:bCs/>
                <w:sz w:val="20"/>
                <w:szCs w:val="20"/>
                <w:lang w:val="en-GB"/>
              </w:rPr>
              <w:t xml:space="preserve"> </w:t>
            </w:r>
            <w:r w:rsidRPr="00953164">
              <w:rPr>
                <w:rFonts w:eastAsia="Times New Roman" w:cs="Times New Roman"/>
                <w:sz w:val="20"/>
                <w:szCs w:val="20"/>
                <w:lang w:val="en-GB"/>
              </w:rPr>
              <w:t>by a reference group</w:t>
            </w:r>
            <w:r>
              <w:rPr>
                <w:rFonts w:eastAsia="Times New Roman" w:cs="Times New Roman"/>
                <w:sz w:val="20"/>
                <w:szCs w:val="20"/>
                <w:lang w:val="en-GB"/>
              </w:rPr>
              <w:t>.</w:t>
            </w:r>
          </w:p>
        </w:tc>
      </w:tr>
      <w:tr w:rsidR="001E0465" w:rsidRPr="00B71347" w14:paraId="3587A6D3"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7CA524FD" w14:textId="77777777" w:rsidR="001E0465" w:rsidRPr="00953164" w:rsidRDefault="001E0465" w:rsidP="00911D7B">
            <w:pPr>
              <w:jc w:val="both"/>
              <w:rPr>
                <w:sz w:val="20"/>
                <w:szCs w:val="20"/>
              </w:rPr>
            </w:pPr>
            <w:r w:rsidRPr="00953164">
              <w:rPr>
                <w:sz w:val="20"/>
                <w:szCs w:val="20"/>
              </w:rPr>
              <w:t>PSOI</w:t>
            </w:r>
          </w:p>
        </w:tc>
        <w:tc>
          <w:tcPr>
            <w:tcW w:w="679" w:type="dxa"/>
          </w:tcPr>
          <w:p w14:paraId="6688E77B"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1.1</w:t>
            </w:r>
          </w:p>
        </w:tc>
        <w:tc>
          <w:tcPr>
            <w:tcW w:w="3686" w:type="dxa"/>
          </w:tcPr>
          <w:p w14:paraId="2D255757"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sz w:val="20"/>
                <w:szCs w:val="20"/>
                <w:lang w:val="en-GB"/>
              </w:rPr>
              <w:t>1.</w:t>
            </w:r>
            <w:r w:rsidRPr="00682784">
              <w:rPr>
                <w:rFonts w:eastAsia="Times New Roman" w:cs="Times New Roman"/>
                <w:bCs/>
                <w:sz w:val="20"/>
                <w:szCs w:val="20"/>
                <w:lang w:val="en-GB"/>
              </w:rPr>
              <w:t>1.1 Number of strategies and products developed jointly to promote tourism</w:t>
            </w:r>
          </w:p>
        </w:tc>
        <w:tc>
          <w:tcPr>
            <w:tcW w:w="6025" w:type="dxa"/>
          </w:tcPr>
          <w:p w14:paraId="0C946F8A" w14:textId="77777777" w:rsidR="001E0465" w:rsidRPr="00682784" w:rsidRDefault="001E0465" w:rsidP="00CB3FCC">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953164">
              <w:rPr>
                <w:sz w:val="20"/>
                <w:szCs w:val="20"/>
                <w:lang w:val="en-GB"/>
              </w:rPr>
              <w:t>Based on data ta</w:t>
            </w:r>
            <w:r>
              <w:rPr>
                <w:sz w:val="20"/>
                <w:szCs w:val="20"/>
                <w:lang w:val="en-GB"/>
              </w:rPr>
              <w:t>ken from the project data</w:t>
            </w:r>
            <w:r w:rsidRPr="00953164">
              <w:rPr>
                <w:sz w:val="20"/>
                <w:szCs w:val="20"/>
                <w:lang w:val="en-GB"/>
              </w:rPr>
              <w:t>bases. Products to be interpreted as any deliverable (e.g. new tourism route) of the projects that can be offered to tourists directly or indirectly</w:t>
            </w:r>
            <w:r>
              <w:rPr>
                <w:sz w:val="20"/>
                <w:szCs w:val="20"/>
                <w:lang w:val="en-GB"/>
              </w:rPr>
              <w:t>.</w:t>
            </w:r>
          </w:p>
        </w:tc>
      </w:tr>
      <w:tr w:rsidR="001E0465" w:rsidRPr="00B71347" w14:paraId="6928A2A4"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3017AE24" w14:textId="77777777" w:rsidR="001E0465" w:rsidRPr="00953164" w:rsidRDefault="001E0465" w:rsidP="00911D7B">
            <w:pPr>
              <w:jc w:val="both"/>
              <w:rPr>
                <w:sz w:val="20"/>
                <w:szCs w:val="20"/>
              </w:rPr>
            </w:pPr>
            <w:r w:rsidRPr="00953164">
              <w:rPr>
                <w:sz w:val="20"/>
                <w:szCs w:val="20"/>
              </w:rPr>
              <w:t>PSOI</w:t>
            </w:r>
          </w:p>
        </w:tc>
        <w:tc>
          <w:tcPr>
            <w:tcW w:w="679" w:type="dxa"/>
          </w:tcPr>
          <w:p w14:paraId="17806B7B"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1.1</w:t>
            </w:r>
          </w:p>
        </w:tc>
        <w:tc>
          <w:tcPr>
            <w:tcW w:w="3686" w:type="dxa"/>
          </w:tcPr>
          <w:p w14:paraId="34A7FD57"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1.1.2</w:t>
            </w:r>
            <w:r w:rsidRPr="00682784">
              <w:rPr>
                <w:rFonts w:cs="Times New Roman"/>
                <w:sz w:val="20"/>
                <w:szCs w:val="20"/>
                <w:lang w:val="en-GB"/>
              </w:rPr>
              <w:t xml:space="preserve"> Number of </w:t>
            </w:r>
            <w:proofErr w:type="spellStart"/>
            <w:r w:rsidRPr="00682784">
              <w:rPr>
                <w:rFonts w:cs="Times New Roman"/>
                <w:sz w:val="20"/>
                <w:szCs w:val="20"/>
                <w:lang w:val="en-GB"/>
              </w:rPr>
              <w:t>crossborder</w:t>
            </w:r>
            <w:proofErr w:type="spellEnd"/>
            <w:r w:rsidRPr="00682784">
              <w:rPr>
                <w:rFonts w:cs="Times New Roman"/>
                <w:sz w:val="20"/>
                <w:szCs w:val="20"/>
                <w:lang w:val="en-GB"/>
              </w:rPr>
              <w:t xml:space="preserve"> tourism and cultural events organised using ENI support</w:t>
            </w:r>
            <w:r>
              <w:rPr>
                <w:rStyle w:val="FootnoteReference"/>
                <w:rFonts w:cs="Times New Roman"/>
                <w:sz w:val="20"/>
                <w:szCs w:val="20"/>
              </w:rPr>
              <w:footnoteReference w:id="64"/>
            </w:r>
            <w:r w:rsidRPr="00682784">
              <w:rPr>
                <w:rFonts w:cs="Times New Roman"/>
                <w:sz w:val="20"/>
                <w:szCs w:val="20"/>
                <w:lang w:val="en-GB"/>
              </w:rPr>
              <w:t xml:space="preserve"> </w:t>
            </w:r>
          </w:p>
        </w:tc>
        <w:tc>
          <w:tcPr>
            <w:tcW w:w="6025" w:type="dxa"/>
          </w:tcPr>
          <w:p w14:paraId="2BAEBA2A" w14:textId="77777777" w:rsidR="001E0465" w:rsidRPr="00682784" w:rsidRDefault="001E0465" w:rsidP="00CB3FC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r w:rsidRPr="00985FFD">
              <w:rPr>
                <w:sz w:val="20"/>
                <w:szCs w:val="20"/>
                <w:lang w:val="en-GB"/>
              </w:rPr>
              <w:t xml:space="preserve">Based on data taken from the project databases. </w:t>
            </w:r>
            <w:r w:rsidRPr="00682784">
              <w:rPr>
                <w:rFonts w:cs="Times New Roman"/>
                <w:sz w:val="20"/>
                <w:szCs w:val="20"/>
                <w:lang w:val="en-GB"/>
              </w:rPr>
              <w:t xml:space="preserve">Number of </w:t>
            </w:r>
            <w:proofErr w:type="spellStart"/>
            <w:r w:rsidRPr="00682784">
              <w:rPr>
                <w:rFonts w:cs="Times New Roman"/>
                <w:sz w:val="20"/>
                <w:szCs w:val="20"/>
                <w:lang w:val="en-GB"/>
              </w:rPr>
              <w:t>crossborder</w:t>
            </w:r>
            <w:proofErr w:type="spellEnd"/>
            <w:r w:rsidRPr="00682784">
              <w:rPr>
                <w:rFonts w:cs="Times New Roman"/>
                <w:sz w:val="20"/>
                <w:szCs w:val="20"/>
                <w:lang w:val="en-GB"/>
              </w:rPr>
              <w:t xml:space="preserve"> cultural events, festivals, congresses, etc. promoting tourism or culture. Event involving participants from at least two ENI CBC participating countries. </w:t>
            </w:r>
          </w:p>
        </w:tc>
      </w:tr>
      <w:tr w:rsidR="001E0465" w:rsidRPr="00953164" w14:paraId="35775990"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56F44F0F" w14:textId="77777777" w:rsidR="001E0465" w:rsidRPr="00953164" w:rsidRDefault="001E0465" w:rsidP="00911D7B">
            <w:pPr>
              <w:jc w:val="both"/>
              <w:rPr>
                <w:sz w:val="20"/>
                <w:szCs w:val="20"/>
              </w:rPr>
            </w:pPr>
            <w:r w:rsidRPr="00953164">
              <w:rPr>
                <w:sz w:val="20"/>
                <w:szCs w:val="20"/>
              </w:rPr>
              <w:t>COI</w:t>
            </w:r>
          </w:p>
        </w:tc>
        <w:tc>
          <w:tcPr>
            <w:tcW w:w="679" w:type="dxa"/>
          </w:tcPr>
          <w:p w14:paraId="7589D859"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1.1</w:t>
            </w:r>
          </w:p>
        </w:tc>
        <w:tc>
          <w:tcPr>
            <w:tcW w:w="3686" w:type="dxa"/>
          </w:tcPr>
          <w:p w14:paraId="443DCFBC"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sz w:val="20"/>
                <w:szCs w:val="20"/>
                <w:lang w:val="en-GB"/>
              </w:rPr>
              <w:t>1.1.3</w:t>
            </w:r>
            <w:r w:rsidRPr="00682784">
              <w:rPr>
                <w:rFonts w:cs="Times New Roman"/>
                <w:sz w:val="20"/>
                <w:szCs w:val="20"/>
                <w:lang w:val="en-GB"/>
              </w:rPr>
              <w:t xml:space="preserve"> Number of small scale improvements to  cultural and historical sites as a direct consequence of programme support (COI 7)</w:t>
            </w:r>
          </w:p>
        </w:tc>
        <w:tc>
          <w:tcPr>
            <w:tcW w:w="6025" w:type="dxa"/>
          </w:tcPr>
          <w:p w14:paraId="12572D73" w14:textId="77777777" w:rsidR="001E0465" w:rsidRPr="00953164" w:rsidRDefault="001E0465" w:rsidP="00CB3FCC">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sz w:val="20"/>
                <w:szCs w:val="20"/>
              </w:rPr>
            </w:pPr>
            <w:r>
              <w:rPr>
                <w:sz w:val="20"/>
                <w:szCs w:val="20"/>
                <w:lang w:val="en-GB"/>
              </w:rPr>
              <w:t xml:space="preserve">Based on project reports. </w:t>
            </w:r>
            <w:r w:rsidRPr="00953164">
              <w:rPr>
                <w:sz w:val="20"/>
                <w:szCs w:val="20"/>
                <w:lang w:val="en-GB"/>
              </w:rPr>
              <w:t>Number of cultural and historical sites being improved as a direct consequence of programme support. Valid for site improvements of e.g. buildings, landscapes, sites or structures of local, regional, or national significance, works of monumental sculpture or paintings, new acquisitions to collections or museums, etc. The improvements must be of a permanent nature.</w:t>
            </w:r>
          </w:p>
        </w:tc>
      </w:tr>
      <w:tr w:rsidR="001E0465" w:rsidRPr="00B71347" w14:paraId="674DF491"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3EB3B969" w14:textId="77777777" w:rsidR="001E0465" w:rsidRPr="00953164" w:rsidRDefault="001E0465" w:rsidP="00911D7B">
            <w:pPr>
              <w:jc w:val="both"/>
              <w:rPr>
                <w:sz w:val="20"/>
                <w:szCs w:val="20"/>
              </w:rPr>
            </w:pPr>
            <w:r w:rsidRPr="00953164">
              <w:rPr>
                <w:sz w:val="20"/>
                <w:szCs w:val="20"/>
              </w:rPr>
              <w:t>COI</w:t>
            </w:r>
          </w:p>
        </w:tc>
        <w:tc>
          <w:tcPr>
            <w:tcW w:w="679" w:type="dxa"/>
          </w:tcPr>
          <w:p w14:paraId="0FDCD1A8"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1.2</w:t>
            </w:r>
          </w:p>
        </w:tc>
        <w:tc>
          <w:tcPr>
            <w:tcW w:w="3686" w:type="dxa"/>
          </w:tcPr>
          <w:p w14:paraId="2563CBB6"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1.2.1</w:t>
            </w:r>
            <w:r w:rsidRPr="00682784">
              <w:rPr>
                <w:rFonts w:cs="Times New Roman"/>
                <w:sz w:val="20"/>
                <w:szCs w:val="20"/>
                <w:lang w:val="en-GB"/>
              </w:rPr>
              <w:t xml:space="preserve"> Number of enterprises participating in </w:t>
            </w:r>
            <w:proofErr w:type="spellStart"/>
            <w:r w:rsidRPr="00682784">
              <w:rPr>
                <w:rFonts w:cs="Times New Roman"/>
                <w:sz w:val="20"/>
                <w:szCs w:val="20"/>
                <w:lang w:val="en-GB"/>
              </w:rPr>
              <w:t>crossborder</w:t>
            </w:r>
            <w:proofErr w:type="spellEnd"/>
            <w:r w:rsidRPr="00682784">
              <w:rPr>
                <w:rFonts w:cs="Times New Roman"/>
                <w:sz w:val="20"/>
                <w:szCs w:val="20"/>
                <w:lang w:val="en-GB"/>
              </w:rPr>
              <w:t xml:space="preserve"> agricultural or agro-industrial business events (COI 3)</w:t>
            </w:r>
          </w:p>
        </w:tc>
        <w:tc>
          <w:tcPr>
            <w:tcW w:w="6025" w:type="dxa"/>
          </w:tcPr>
          <w:p w14:paraId="008AC902" w14:textId="77777777" w:rsidR="001E0465" w:rsidRPr="00682784" w:rsidRDefault="001E0465" w:rsidP="00CB3FC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953164">
              <w:rPr>
                <w:sz w:val="20"/>
                <w:szCs w:val="20"/>
                <w:lang w:val="en-GB"/>
              </w:rPr>
              <w:t>Based on d</w:t>
            </w:r>
            <w:r>
              <w:rPr>
                <w:sz w:val="20"/>
                <w:szCs w:val="20"/>
                <w:lang w:val="en-GB"/>
              </w:rPr>
              <w:t>ata taken from the project data</w:t>
            </w:r>
            <w:r w:rsidRPr="00953164">
              <w:rPr>
                <w:sz w:val="20"/>
                <w:szCs w:val="20"/>
                <w:lang w:val="en-GB"/>
              </w:rPr>
              <w:t>bases, number of enterprises participating in cross-border business events organised w</w:t>
            </w:r>
            <w:r>
              <w:rPr>
                <w:sz w:val="20"/>
                <w:szCs w:val="20"/>
                <w:lang w:val="en-GB"/>
              </w:rPr>
              <w:t xml:space="preserve">ith support from the programme, e.g. </w:t>
            </w:r>
            <w:r w:rsidRPr="003C4CEE">
              <w:rPr>
                <w:sz w:val="20"/>
                <w:szCs w:val="20"/>
                <w:lang w:val="en-GB"/>
              </w:rPr>
              <w:t xml:space="preserve">trade shows, business fairs, business fora etc. involving participants from at least two ENI CBC participating countries. </w:t>
            </w:r>
            <w:r w:rsidRPr="00D25E2A">
              <w:rPr>
                <w:sz w:val="20"/>
                <w:szCs w:val="20"/>
                <w:lang w:val="en-GB"/>
              </w:rPr>
              <w:t>The event must be a direct consequence of the support.</w:t>
            </w:r>
            <w:r w:rsidRPr="00953164">
              <w:rPr>
                <w:sz w:val="20"/>
                <w:szCs w:val="20"/>
                <w:lang w:val="en-GB"/>
              </w:rPr>
              <w:t xml:space="preserve"> </w:t>
            </w:r>
            <w:r>
              <w:rPr>
                <w:sz w:val="20"/>
                <w:szCs w:val="20"/>
                <w:lang w:val="en-GB"/>
              </w:rPr>
              <w:t>I</w:t>
            </w:r>
            <w:r w:rsidRPr="00953164">
              <w:rPr>
                <w:sz w:val="20"/>
                <w:szCs w:val="20"/>
                <w:lang w:val="en-GB"/>
              </w:rPr>
              <w:t>ndicator made more specific to target the agricultural and agro-industry sectors</w:t>
            </w:r>
            <w:r>
              <w:rPr>
                <w:sz w:val="20"/>
                <w:szCs w:val="20"/>
                <w:lang w:val="en-GB"/>
              </w:rPr>
              <w:t>.</w:t>
            </w:r>
          </w:p>
        </w:tc>
      </w:tr>
      <w:tr w:rsidR="001E0465" w:rsidRPr="00B71347" w14:paraId="39AEDFF0"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34AC4A46" w14:textId="77777777" w:rsidR="001E0465" w:rsidRPr="00953164" w:rsidRDefault="001E0465" w:rsidP="00911D7B">
            <w:pPr>
              <w:jc w:val="both"/>
              <w:rPr>
                <w:sz w:val="20"/>
                <w:szCs w:val="20"/>
              </w:rPr>
            </w:pPr>
            <w:r w:rsidRPr="00953164">
              <w:rPr>
                <w:sz w:val="20"/>
                <w:szCs w:val="20"/>
              </w:rPr>
              <w:t>COI</w:t>
            </w:r>
          </w:p>
        </w:tc>
        <w:tc>
          <w:tcPr>
            <w:tcW w:w="679" w:type="dxa"/>
          </w:tcPr>
          <w:p w14:paraId="50AA3E70"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1.2</w:t>
            </w:r>
          </w:p>
        </w:tc>
        <w:tc>
          <w:tcPr>
            <w:tcW w:w="3686" w:type="dxa"/>
          </w:tcPr>
          <w:p w14:paraId="2E2A34D1"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r w:rsidRPr="00682784">
              <w:rPr>
                <w:sz w:val="20"/>
                <w:szCs w:val="20"/>
                <w:lang w:val="en-GB"/>
              </w:rPr>
              <w:t>1.2.2.</w:t>
            </w:r>
            <w:r w:rsidRPr="00682784">
              <w:rPr>
                <w:rFonts w:cs="Times New Roman"/>
                <w:color w:val="000090"/>
                <w:sz w:val="20"/>
                <w:szCs w:val="20"/>
                <w:lang w:val="en-GB"/>
              </w:rPr>
              <w:t xml:space="preserve"> </w:t>
            </w:r>
            <w:r w:rsidRPr="00953164">
              <w:rPr>
                <w:sz w:val="20"/>
                <w:szCs w:val="20"/>
                <w:lang w:val="en-GB"/>
              </w:rPr>
              <w:t>Number of additional ICT based tools developed supporting cross-border cooperation (COI29) increasing cross-border trade opportunities for agricultural and agro-industrial products</w:t>
            </w:r>
            <w:r w:rsidRPr="00682784">
              <w:rPr>
                <w:rFonts w:cs="Times New Roman"/>
                <w:sz w:val="20"/>
                <w:szCs w:val="20"/>
                <w:lang w:val="en-GB"/>
              </w:rPr>
              <w:t xml:space="preserve"> </w:t>
            </w:r>
          </w:p>
        </w:tc>
        <w:tc>
          <w:tcPr>
            <w:tcW w:w="6025" w:type="dxa"/>
          </w:tcPr>
          <w:p w14:paraId="2438FF82" w14:textId="77777777" w:rsidR="001E0465" w:rsidRPr="00682784" w:rsidRDefault="001E0465" w:rsidP="00CB3FCC">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953164">
              <w:rPr>
                <w:sz w:val="20"/>
                <w:szCs w:val="20"/>
                <w:lang w:val="en-GB"/>
              </w:rPr>
              <w:t>Based on project reports, additional I</w:t>
            </w:r>
            <w:r>
              <w:rPr>
                <w:sz w:val="20"/>
                <w:szCs w:val="20"/>
                <w:lang w:val="en-GB"/>
              </w:rPr>
              <w:t xml:space="preserve">nformation and </w:t>
            </w:r>
            <w:r w:rsidRPr="00953164">
              <w:rPr>
                <w:sz w:val="20"/>
                <w:szCs w:val="20"/>
                <w:lang w:val="en-GB"/>
              </w:rPr>
              <w:t>C</w:t>
            </w:r>
            <w:r>
              <w:rPr>
                <w:sz w:val="20"/>
                <w:szCs w:val="20"/>
                <w:lang w:val="en-GB"/>
              </w:rPr>
              <w:t xml:space="preserve">ommunication </w:t>
            </w:r>
            <w:r w:rsidRPr="00953164">
              <w:rPr>
                <w:sz w:val="20"/>
                <w:szCs w:val="20"/>
                <w:lang w:val="en-GB"/>
              </w:rPr>
              <w:t>T</w:t>
            </w:r>
            <w:r>
              <w:rPr>
                <w:sz w:val="20"/>
                <w:szCs w:val="20"/>
                <w:lang w:val="en-GB"/>
              </w:rPr>
              <w:t>echnologies (ICT)</w:t>
            </w:r>
            <w:r w:rsidRPr="00953164">
              <w:rPr>
                <w:sz w:val="20"/>
                <w:szCs w:val="20"/>
                <w:lang w:val="en-GB"/>
              </w:rPr>
              <w:t xml:space="preserve"> based tools developed supporting cross-border cooperation. May include new joint databases, information exchange portals, other joint logistics or decision-support systems, etc. Indicator made more specific to target the agricultural and agro-industry sectors</w:t>
            </w:r>
            <w:r>
              <w:rPr>
                <w:sz w:val="20"/>
                <w:szCs w:val="20"/>
                <w:lang w:val="en-GB"/>
              </w:rPr>
              <w:t>.</w:t>
            </w:r>
          </w:p>
        </w:tc>
      </w:tr>
      <w:tr w:rsidR="001E0465" w:rsidRPr="00B71347" w14:paraId="17A4D878"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04D1DF7F" w14:textId="77777777" w:rsidR="001E0465" w:rsidRPr="00953164" w:rsidRDefault="001E0465" w:rsidP="00911D7B">
            <w:pPr>
              <w:jc w:val="both"/>
              <w:rPr>
                <w:sz w:val="20"/>
                <w:szCs w:val="20"/>
              </w:rPr>
            </w:pPr>
            <w:r w:rsidRPr="00953164">
              <w:rPr>
                <w:sz w:val="20"/>
                <w:szCs w:val="20"/>
              </w:rPr>
              <w:t>COI</w:t>
            </w:r>
          </w:p>
        </w:tc>
        <w:tc>
          <w:tcPr>
            <w:tcW w:w="679" w:type="dxa"/>
          </w:tcPr>
          <w:p w14:paraId="0277AE6F"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1.2</w:t>
            </w:r>
          </w:p>
        </w:tc>
        <w:tc>
          <w:tcPr>
            <w:tcW w:w="3686" w:type="dxa"/>
          </w:tcPr>
          <w:p w14:paraId="446B7AA4"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1.2.3</w:t>
            </w:r>
            <w:r w:rsidRPr="00953164">
              <w:rPr>
                <w:sz w:val="20"/>
                <w:szCs w:val="20"/>
                <w:lang w:val="en-GB"/>
              </w:rPr>
              <w:t xml:space="preserve"> Number of business development organisations receiving support (COI1) to promote modernisation in the agricultural or connected sectors</w:t>
            </w:r>
          </w:p>
        </w:tc>
        <w:tc>
          <w:tcPr>
            <w:tcW w:w="6025" w:type="dxa"/>
          </w:tcPr>
          <w:p w14:paraId="6A4CC6C3" w14:textId="77777777" w:rsidR="001E0465" w:rsidRPr="00697AD8" w:rsidRDefault="001E0465" w:rsidP="00CB3FC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953164">
              <w:rPr>
                <w:sz w:val="20"/>
                <w:szCs w:val="20"/>
                <w:lang w:val="en-GB"/>
              </w:rPr>
              <w:t>Based on dat</w:t>
            </w:r>
            <w:r>
              <w:rPr>
                <w:sz w:val="20"/>
                <w:szCs w:val="20"/>
                <w:lang w:val="en-GB"/>
              </w:rPr>
              <w:t>a taken from the programme data</w:t>
            </w:r>
            <w:r w:rsidRPr="00953164">
              <w:rPr>
                <w:sz w:val="20"/>
                <w:szCs w:val="20"/>
                <w:lang w:val="en-GB"/>
              </w:rPr>
              <w:t>base, number of business development organisations receiving support i</w:t>
            </w:r>
            <w:r>
              <w:rPr>
                <w:sz w:val="20"/>
                <w:szCs w:val="20"/>
                <w:lang w:val="en-GB"/>
              </w:rPr>
              <w:t xml:space="preserve">n any form from the programme. </w:t>
            </w:r>
            <w:r w:rsidRPr="00697AD8">
              <w:rPr>
                <w:sz w:val="20"/>
                <w:szCs w:val="20"/>
                <w:lang w:val="en-GB"/>
              </w:rPr>
              <w:t>Business development organisation may include chambers of commerce, business incubators, regional</w:t>
            </w:r>
          </w:p>
          <w:p w14:paraId="1E7207E0" w14:textId="77777777" w:rsidR="001E0465" w:rsidRPr="00682784" w:rsidRDefault="001E0465" w:rsidP="00CB3F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lang w:val="en-GB"/>
              </w:rPr>
            </w:pPr>
            <w:proofErr w:type="gramStart"/>
            <w:r w:rsidRPr="00697AD8">
              <w:rPr>
                <w:sz w:val="20"/>
                <w:szCs w:val="20"/>
                <w:lang w:val="en-GB"/>
              </w:rPr>
              <w:t>or</w:t>
            </w:r>
            <w:proofErr w:type="gramEnd"/>
            <w:r w:rsidRPr="00697AD8">
              <w:rPr>
                <w:sz w:val="20"/>
                <w:szCs w:val="20"/>
                <w:lang w:val="en-GB"/>
              </w:rPr>
              <w:t xml:space="preserve"> local development agencies</w:t>
            </w:r>
            <w:r>
              <w:rPr>
                <w:sz w:val="20"/>
                <w:szCs w:val="20"/>
                <w:lang w:val="en-GB"/>
              </w:rPr>
              <w:t xml:space="preserve"> and other organisations with the primary aim to develop local business. I</w:t>
            </w:r>
            <w:r w:rsidRPr="00953164">
              <w:rPr>
                <w:sz w:val="20"/>
                <w:szCs w:val="20"/>
                <w:lang w:val="en-GB"/>
              </w:rPr>
              <w:t>ndicator made more specific to target the agr</w:t>
            </w:r>
            <w:r>
              <w:rPr>
                <w:sz w:val="20"/>
                <w:szCs w:val="20"/>
                <w:lang w:val="en-GB"/>
              </w:rPr>
              <w:t>icultural and connected sectors</w:t>
            </w:r>
            <w:r w:rsidRPr="00953164">
              <w:rPr>
                <w:sz w:val="20"/>
                <w:szCs w:val="20"/>
                <w:lang w:val="en-GB"/>
              </w:rPr>
              <w:t>.</w:t>
            </w:r>
          </w:p>
        </w:tc>
      </w:tr>
      <w:tr w:rsidR="001E0465" w:rsidRPr="00953164" w14:paraId="6FB367EF"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2A1140FF" w14:textId="77777777" w:rsidR="001E0465" w:rsidRPr="00953164" w:rsidRDefault="001E0465" w:rsidP="00911D7B">
            <w:pPr>
              <w:jc w:val="both"/>
              <w:rPr>
                <w:sz w:val="20"/>
                <w:szCs w:val="20"/>
              </w:rPr>
            </w:pPr>
            <w:r w:rsidRPr="00953164">
              <w:rPr>
                <w:sz w:val="20"/>
                <w:szCs w:val="20"/>
              </w:rPr>
              <w:t>COI</w:t>
            </w:r>
          </w:p>
        </w:tc>
        <w:tc>
          <w:tcPr>
            <w:tcW w:w="679" w:type="dxa"/>
          </w:tcPr>
          <w:p w14:paraId="72F74276"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2.1</w:t>
            </w:r>
          </w:p>
        </w:tc>
        <w:tc>
          <w:tcPr>
            <w:tcW w:w="3686" w:type="dxa"/>
          </w:tcPr>
          <w:p w14:paraId="12BDA22E"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rFonts w:cs="Times New Roman"/>
                <w:sz w:val="20"/>
                <w:szCs w:val="20"/>
                <w:lang w:val="en-GB"/>
              </w:rPr>
              <w:t>2.1.1 Number of additional ICT based tools developed supporting cross-border cooperation (COI29) improving joint environmental monitoring and public availability of environmental information</w:t>
            </w:r>
          </w:p>
        </w:tc>
        <w:tc>
          <w:tcPr>
            <w:tcW w:w="6025" w:type="dxa"/>
          </w:tcPr>
          <w:p w14:paraId="10037530" w14:textId="77777777" w:rsidR="001E0465" w:rsidRPr="00953164" w:rsidRDefault="001E0465" w:rsidP="00CB3FCC">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lang w:val="en-GB"/>
              </w:rPr>
              <w:t>Based on project reports, additional ICT based tools developed supporting cross-border cooperation. May include new joint databases, information exchange portals, other joint logistics or d</w:t>
            </w:r>
            <w:r>
              <w:rPr>
                <w:sz w:val="20"/>
                <w:szCs w:val="20"/>
                <w:lang w:val="en-GB"/>
              </w:rPr>
              <w:t>ecision-support systems, etc. I</w:t>
            </w:r>
            <w:r w:rsidRPr="00953164">
              <w:rPr>
                <w:sz w:val="20"/>
                <w:szCs w:val="20"/>
                <w:lang w:val="en-GB"/>
              </w:rPr>
              <w:t>ndicator made more specific to target environmental monitoring</w:t>
            </w:r>
            <w:r>
              <w:rPr>
                <w:sz w:val="20"/>
                <w:szCs w:val="20"/>
                <w:lang w:val="en-GB"/>
              </w:rPr>
              <w:t>.</w:t>
            </w:r>
          </w:p>
        </w:tc>
      </w:tr>
      <w:tr w:rsidR="001E0465" w:rsidRPr="00953164" w14:paraId="5A6A8563"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50A73030" w14:textId="77777777" w:rsidR="001E0465" w:rsidRPr="00953164" w:rsidRDefault="001E0465" w:rsidP="00911D7B">
            <w:pPr>
              <w:jc w:val="both"/>
              <w:rPr>
                <w:sz w:val="20"/>
                <w:szCs w:val="20"/>
              </w:rPr>
            </w:pPr>
            <w:r w:rsidRPr="00953164">
              <w:rPr>
                <w:sz w:val="20"/>
                <w:szCs w:val="20"/>
              </w:rPr>
              <w:t>COI</w:t>
            </w:r>
          </w:p>
        </w:tc>
        <w:tc>
          <w:tcPr>
            <w:tcW w:w="679" w:type="dxa"/>
          </w:tcPr>
          <w:p w14:paraId="38F07EB9"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2.1</w:t>
            </w:r>
          </w:p>
        </w:tc>
        <w:tc>
          <w:tcPr>
            <w:tcW w:w="3686" w:type="dxa"/>
          </w:tcPr>
          <w:p w14:paraId="7D3A5E83"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2.1.2</w:t>
            </w:r>
            <w:r w:rsidRPr="00682784">
              <w:rPr>
                <w:rFonts w:cs="Times New Roman"/>
                <w:sz w:val="20"/>
                <w:szCs w:val="20"/>
                <w:lang w:val="en-GB"/>
              </w:rPr>
              <w:t xml:space="preserve"> Number of institutions using programme support for cooperation in </w:t>
            </w:r>
            <w:r w:rsidRPr="00682784">
              <w:rPr>
                <w:rFonts w:cs="Times New Roman"/>
                <w:sz w:val="20"/>
                <w:szCs w:val="20"/>
                <w:lang w:val="en-GB"/>
              </w:rPr>
              <w:lastRenderedPageBreak/>
              <w:t xml:space="preserve">education, R&amp;D and innovation (COI4) to improve </w:t>
            </w:r>
            <w:r w:rsidRPr="00953164">
              <w:rPr>
                <w:rFonts w:eastAsia="Times New Roman" w:cs="Times New Roman"/>
                <w:sz w:val="20"/>
                <w:szCs w:val="20"/>
                <w:lang w:val="en-GB"/>
              </w:rPr>
              <w:t xml:space="preserve">data sharing and cross-border information exchange systems on the environment </w:t>
            </w:r>
            <w:r w:rsidRPr="00682784">
              <w:rPr>
                <w:rFonts w:cs="Times New Roman"/>
                <w:sz w:val="20"/>
                <w:szCs w:val="20"/>
                <w:lang w:val="en-GB"/>
              </w:rPr>
              <w:t>within BSB</w:t>
            </w:r>
          </w:p>
        </w:tc>
        <w:tc>
          <w:tcPr>
            <w:tcW w:w="6025" w:type="dxa"/>
          </w:tcPr>
          <w:p w14:paraId="4348C997" w14:textId="77777777" w:rsidR="001E0465" w:rsidRPr="00953164" w:rsidRDefault="001E0465" w:rsidP="00CB3F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lang w:val="en-GB"/>
              </w:rPr>
              <w:lastRenderedPageBreak/>
              <w:t>Based on dat</w:t>
            </w:r>
            <w:r>
              <w:rPr>
                <w:sz w:val="20"/>
                <w:szCs w:val="20"/>
                <w:lang w:val="en-GB"/>
              </w:rPr>
              <w:t>a taken from the programme data</w:t>
            </w:r>
            <w:r w:rsidRPr="00953164">
              <w:rPr>
                <w:sz w:val="20"/>
                <w:szCs w:val="20"/>
                <w:lang w:val="en-GB"/>
              </w:rPr>
              <w:t xml:space="preserve">base, number of institutions </w:t>
            </w:r>
            <w:r>
              <w:rPr>
                <w:sz w:val="20"/>
                <w:szCs w:val="20"/>
                <w:lang w:val="en-GB"/>
              </w:rPr>
              <w:t xml:space="preserve">(universities, research institutes, etc.) </w:t>
            </w:r>
            <w:r w:rsidRPr="00953164">
              <w:rPr>
                <w:sz w:val="20"/>
                <w:szCs w:val="20"/>
                <w:lang w:val="en-GB"/>
              </w:rPr>
              <w:t xml:space="preserve">receiving support </w:t>
            </w:r>
            <w:r w:rsidRPr="00953164">
              <w:rPr>
                <w:sz w:val="20"/>
                <w:szCs w:val="20"/>
                <w:lang w:val="en-GB"/>
              </w:rPr>
              <w:lastRenderedPageBreak/>
              <w:t xml:space="preserve">in any form from the programme and using it for cooperation in </w:t>
            </w:r>
            <w:r>
              <w:rPr>
                <w:sz w:val="20"/>
                <w:szCs w:val="20"/>
                <w:lang w:val="en-GB"/>
              </w:rPr>
              <w:t>education, R&amp;D and innovation. I</w:t>
            </w:r>
            <w:r w:rsidRPr="00953164">
              <w:rPr>
                <w:sz w:val="20"/>
                <w:szCs w:val="20"/>
                <w:lang w:val="en-GB"/>
              </w:rPr>
              <w:t>ndicator made more specific to target environmental monitoring</w:t>
            </w:r>
            <w:r>
              <w:rPr>
                <w:sz w:val="20"/>
                <w:szCs w:val="20"/>
                <w:lang w:val="en-GB"/>
              </w:rPr>
              <w:t>.</w:t>
            </w:r>
          </w:p>
        </w:tc>
      </w:tr>
      <w:tr w:rsidR="001E0465" w:rsidRPr="00BF52E5" w14:paraId="4312C1AF" w14:textId="77777777" w:rsidTr="00911D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438C1782" w14:textId="77777777" w:rsidR="001E0465" w:rsidRPr="00953164" w:rsidRDefault="001E0465" w:rsidP="00911D7B">
            <w:pPr>
              <w:jc w:val="both"/>
              <w:rPr>
                <w:sz w:val="20"/>
                <w:szCs w:val="20"/>
              </w:rPr>
            </w:pPr>
            <w:r w:rsidRPr="00953164">
              <w:rPr>
                <w:sz w:val="20"/>
                <w:szCs w:val="20"/>
              </w:rPr>
              <w:lastRenderedPageBreak/>
              <w:t>COI</w:t>
            </w:r>
          </w:p>
        </w:tc>
        <w:tc>
          <w:tcPr>
            <w:tcW w:w="679" w:type="dxa"/>
          </w:tcPr>
          <w:p w14:paraId="706EA952" w14:textId="77777777" w:rsidR="001E0465" w:rsidRPr="0095316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rPr>
            </w:pPr>
            <w:r w:rsidRPr="00953164">
              <w:rPr>
                <w:sz w:val="20"/>
                <w:szCs w:val="20"/>
              </w:rPr>
              <w:t>2.2</w:t>
            </w:r>
          </w:p>
        </w:tc>
        <w:tc>
          <w:tcPr>
            <w:tcW w:w="3686" w:type="dxa"/>
          </w:tcPr>
          <w:p w14:paraId="6062997C" w14:textId="77777777" w:rsidR="001E0465" w:rsidRPr="00682784" w:rsidRDefault="001E0465" w:rsidP="00911D7B">
            <w:pPr>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682784">
              <w:rPr>
                <w:sz w:val="20"/>
                <w:szCs w:val="20"/>
                <w:lang w:val="en-GB"/>
              </w:rPr>
              <w:t>2</w:t>
            </w:r>
            <w:r w:rsidRPr="00682784">
              <w:rPr>
                <w:rFonts w:cs="Times New Roman"/>
                <w:sz w:val="20"/>
                <w:szCs w:val="20"/>
                <w:lang w:val="en-GB"/>
              </w:rPr>
              <w:t>.2.1 Number of persons actively participating in environmental actions and awareness raising activities (COI17)</w:t>
            </w:r>
          </w:p>
        </w:tc>
        <w:tc>
          <w:tcPr>
            <w:tcW w:w="6025" w:type="dxa"/>
          </w:tcPr>
          <w:p w14:paraId="41A71D10" w14:textId="77777777" w:rsidR="001E0465" w:rsidRPr="00682784" w:rsidRDefault="001E0465" w:rsidP="00CB3FCC">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sz w:val="20"/>
                <w:szCs w:val="20"/>
                <w:lang w:val="en-GB"/>
              </w:rPr>
            </w:pPr>
            <w:r w:rsidRPr="00953164">
              <w:rPr>
                <w:sz w:val="20"/>
                <w:szCs w:val="20"/>
                <w:lang w:val="en-GB"/>
              </w:rPr>
              <w:t xml:space="preserve">Based on project reports, number of citizens/students/pupils etc. actively participating in environmental actions </w:t>
            </w:r>
            <w:r>
              <w:rPr>
                <w:sz w:val="20"/>
                <w:szCs w:val="20"/>
                <w:lang w:val="en-GB"/>
              </w:rPr>
              <w:t xml:space="preserve">(e.g. clean-up campaigns) </w:t>
            </w:r>
            <w:r w:rsidRPr="00953164">
              <w:rPr>
                <w:sz w:val="20"/>
                <w:szCs w:val="20"/>
                <w:lang w:val="en-GB"/>
              </w:rPr>
              <w:t xml:space="preserve">and </w:t>
            </w:r>
            <w:proofErr w:type="gramStart"/>
            <w:r w:rsidRPr="00953164">
              <w:rPr>
                <w:sz w:val="20"/>
                <w:szCs w:val="20"/>
                <w:lang w:val="en-GB"/>
              </w:rPr>
              <w:t>awareness raising</w:t>
            </w:r>
            <w:proofErr w:type="gramEnd"/>
            <w:r w:rsidRPr="00953164">
              <w:rPr>
                <w:sz w:val="20"/>
                <w:szCs w:val="20"/>
                <w:lang w:val="en-GB"/>
              </w:rPr>
              <w:t xml:space="preserve"> activities as well as with regard to the promotion of energy efficiency.</w:t>
            </w:r>
          </w:p>
        </w:tc>
      </w:tr>
      <w:tr w:rsidR="001E0465" w:rsidRPr="00B71347" w14:paraId="3C760D50" w14:textId="77777777" w:rsidTr="00911D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419D2C5E" w14:textId="77777777" w:rsidR="001E0465" w:rsidRPr="00953164" w:rsidRDefault="001E0465" w:rsidP="00911D7B">
            <w:pPr>
              <w:jc w:val="both"/>
              <w:rPr>
                <w:sz w:val="20"/>
                <w:szCs w:val="20"/>
              </w:rPr>
            </w:pPr>
            <w:r w:rsidRPr="00953164">
              <w:rPr>
                <w:sz w:val="20"/>
                <w:szCs w:val="20"/>
              </w:rPr>
              <w:t>PSOI</w:t>
            </w:r>
          </w:p>
        </w:tc>
        <w:tc>
          <w:tcPr>
            <w:tcW w:w="679" w:type="dxa"/>
          </w:tcPr>
          <w:p w14:paraId="45BBEB2A" w14:textId="77777777" w:rsidR="001E0465" w:rsidRPr="0095316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rPr>
            </w:pPr>
            <w:r w:rsidRPr="00953164">
              <w:rPr>
                <w:sz w:val="20"/>
                <w:szCs w:val="20"/>
              </w:rPr>
              <w:t>2.2</w:t>
            </w:r>
          </w:p>
        </w:tc>
        <w:tc>
          <w:tcPr>
            <w:tcW w:w="3686" w:type="dxa"/>
          </w:tcPr>
          <w:p w14:paraId="55397C01" w14:textId="77777777" w:rsidR="001E0465" w:rsidRPr="00682784" w:rsidRDefault="001E0465" w:rsidP="00911D7B">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682784">
              <w:rPr>
                <w:sz w:val="20"/>
                <w:szCs w:val="20"/>
                <w:lang w:val="en-GB"/>
              </w:rPr>
              <w:t xml:space="preserve">2.2.2 </w:t>
            </w:r>
            <w:r w:rsidRPr="00953164">
              <w:rPr>
                <w:color w:val="000000"/>
                <w:sz w:val="20"/>
                <w:szCs w:val="20"/>
                <w:lang w:val="en-GB"/>
              </w:rPr>
              <w:t>Number of organisations using programme support to develop or improve</w:t>
            </w:r>
            <w:r w:rsidRPr="00953164">
              <w:rPr>
                <w:rFonts w:eastAsia="Times New Roman" w:cs="Times New Roman"/>
                <w:sz w:val="20"/>
                <w:szCs w:val="20"/>
                <w:lang w:val="en-GB"/>
              </w:rPr>
              <w:t xml:space="preserve"> waste management tools or small scale facilities along river banks and sea shores (including ports)</w:t>
            </w:r>
          </w:p>
        </w:tc>
        <w:tc>
          <w:tcPr>
            <w:tcW w:w="6025" w:type="dxa"/>
          </w:tcPr>
          <w:p w14:paraId="195712B9" w14:textId="77777777" w:rsidR="001E0465" w:rsidRPr="00682784" w:rsidRDefault="001E0465" w:rsidP="00CB3FCC">
            <w:pPr>
              <w:jc w:val="both"/>
              <w:cnfStyle w:val="000000100000" w:firstRow="0" w:lastRow="0" w:firstColumn="0" w:lastColumn="0" w:oddVBand="0" w:evenVBand="0" w:oddHBand="1" w:evenHBand="0" w:firstRowFirstColumn="0" w:firstRowLastColumn="0" w:lastRowFirstColumn="0" w:lastRowLastColumn="0"/>
              <w:rPr>
                <w:sz w:val="20"/>
                <w:szCs w:val="20"/>
                <w:lang w:val="en-GB"/>
              </w:rPr>
            </w:pPr>
            <w:r w:rsidRPr="00953164">
              <w:rPr>
                <w:sz w:val="20"/>
                <w:szCs w:val="20"/>
                <w:lang w:val="en-GB"/>
              </w:rPr>
              <w:t>Based on dat</w:t>
            </w:r>
            <w:r>
              <w:rPr>
                <w:sz w:val="20"/>
                <w:szCs w:val="20"/>
                <w:lang w:val="en-GB"/>
              </w:rPr>
              <w:t>a taken from the programme data</w:t>
            </w:r>
            <w:r w:rsidRPr="00953164">
              <w:rPr>
                <w:sz w:val="20"/>
                <w:szCs w:val="20"/>
                <w:lang w:val="en-GB"/>
              </w:rPr>
              <w:t xml:space="preserve">base, number of organisations of any kind </w:t>
            </w:r>
            <w:r>
              <w:rPr>
                <w:sz w:val="20"/>
                <w:szCs w:val="20"/>
                <w:lang w:val="en-GB"/>
              </w:rPr>
              <w:t xml:space="preserve">(NGOs, ports, municipal waste services, etc.) using programme support </w:t>
            </w:r>
            <w:r w:rsidRPr="00D7645D">
              <w:rPr>
                <w:sz w:val="20"/>
                <w:szCs w:val="20"/>
                <w:lang w:val="en-GB"/>
              </w:rPr>
              <w:t xml:space="preserve">to develop or improve waste management tools or </w:t>
            </w:r>
            <w:r>
              <w:rPr>
                <w:sz w:val="20"/>
                <w:szCs w:val="20"/>
                <w:lang w:val="en-GB"/>
              </w:rPr>
              <w:t xml:space="preserve">waste management </w:t>
            </w:r>
            <w:r w:rsidRPr="00D7645D">
              <w:rPr>
                <w:sz w:val="20"/>
                <w:szCs w:val="20"/>
                <w:lang w:val="en-GB"/>
              </w:rPr>
              <w:t>facilities along river banks and sea shores</w:t>
            </w:r>
            <w:r>
              <w:rPr>
                <w:sz w:val="20"/>
                <w:szCs w:val="20"/>
                <w:lang w:val="en-GB"/>
              </w:rPr>
              <w:t>.</w:t>
            </w:r>
          </w:p>
        </w:tc>
      </w:tr>
    </w:tbl>
    <w:p w14:paraId="17E98231" w14:textId="77777777" w:rsidR="00CA4EC3" w:rsidRDefault="00CA4EC3" w:rsidP="00A34868">
      <w:pPr>
        <w:spacing w:before="240" w:after="0" w:line="252" w:lineRule="auto"/>
        <w:jc w:val="both"/>
        <w:rPr>
          <w:rFonts w:ascii="Calisto MT" w:hAnsi="Calisto MT"/>
          <w:sz w:val="22"/>
          <w:szCs w:val="22"/>
          <w:lang w:val="en-GB"/>
        </w:rPr>
      </w:pPr>
      <w:r w:rsidRPr="00BF25DF">
        <w:rPr>
          <w:rFonts w:ascii="Calisto MT" w:hAnsi="Calisto MT"/>
          <w:sz w:val="22"/>
          <w:szCs w:val="22"/>
          <w:lang w:val="en-GB"/>
        </w:rPr>
        <w:t xml:space="preserve">Output indicators will be measured annually and included in the annual reporting to the EC. Their measurement at programme </w:t>
      </w:r>
      <w:r w:rsidR="001F4EEB">
        <w:rPr>
          <w:rFonts w:ascii="Calisto MT" w:hAnsi="Calisto MT"/>
          <w:sz w:val="22"/>
          <w:szCs w:val="22"/>
          <w:lang w:val="en-GB"/>
        </w:rPr>
        <w:t xml:space="preserve">level </w:t>
      </w:r>
      <w:r w:rsidRPr="00BF25DF">
        <w:rPr>
          <w:rFonts w:ascii="Calisto MT" w:hAnsi="Calisto MT"/>
          <w:sz w:val="22"/>
          <w:szCs w:val="22"/>
          <w:lang w:val="en-GB"/>
        </w:rPr>
        <w:t>will be based on an aggregation of the rel</w:t>
      </w:r>
      <w:r>
        <w:rPr>
          <w:rFonts w:ascii="Calisto MT" w:hAnsi="Calisto MT"/>
          <w:sz w:val="22"/>
          <w:szCs w:val="22"/>
          <w:lang w:val="en-GB"/>
        </w:rPr>
        <w:t>evant data from project reports and</w:t>
      </w:r>
      <w:r w:rsidR="009D631D">
        <w:rPr>
          <w:rFonts w:ascii="Calisto MT" w:hAnsi="Calisto MT"/>
          <w:sz w:val="22"/>
          <w:szCs w:val="22"/>
          <w:lang w:val="en-GB"/>
        </w:rPr>
        <w:t>/or</w:t>
      </w:r>
      <w:r>
        <w:rPr>
          <w:rFonts w:ascii="Calisto MT" w:hAnsi="Calisto MT"/>
          <w:sz w:val="22"/>
          <w:szCs w:val="22"/>
          <w:lang w:val="en-GB"/>
        </w:rPr>
        <w:t xml:space="preserve"> from the programme </w:t>
      </w:r>
      <w:r w:rsidR="002436F2" w:rsidRPr="002436F2">
        <w:rPr>
          <w:rFonts w:ascii="Calisto MT" w:hAnsi="Calisto MT"/>
          <w:sz w:val="22"/>
          <w:szCs w:val="22"/>
          <w:lang w:val="en-GB"/>
        </w:rPr>
        <w:t>database</w:t>
      </w:r>
      <w:r w:rsidR="009D631D">
        <w:rPr>
          <w:rFonts w:ascii="Calisto MT" w:hAnsi="Calisto MT"/>
          <w:sz w:val="22"/>
          <w:szCs w:val="22"/>
          <w:lang w:val="en-GB"/>
        </w:rPr>
        <w:t>,</w:t>
      </w:r>
      <w:r w:rsidR="002436F2" w:rsidRPr="002436F2">
        <w:rPr>
          <w:rFonts w:ascii="Calisto MT" w:hAnsi="Calisto MT"/>
          <w:sz w:val="22"/>
          <w:szCs w:val="22"/>
          <w:lang w:val="en-GB"/>
        </w:rPr>
        <w:t xml:space="preserve"> as relevant (information included in the programme management and information system).</w:t>
      </w:r>
      <w:r w:rsidR="00D748CB">
        <w:rPr>
          <w:rFonts w:ascii="Calisto MT" w:hAnsi="Calisto MT"/>
          <w:sz w:val="22"/>
          <w:szCs w:val="22"/>
          <w:lang w:val="en-GB"/>
        </w:rPr>
        <w:t xml:space="preserve"> The target values presented in the table below </w:t>
      </w:r>
      <w:r w:rsidR="00785C72">
        <w:rPr>
          <w:rFonts w:ascii="Calisto MT" w:hAnsi="Calisto MT"/>
          <w:sz w:val="22"/>
          <w:szCs w:val="22"/>
          <w:lang w:val="en-GB"/>
        </w:rPr>
        <w:t>have been defined</w:t>
      </w:r>
      <w:r w:rsidR="00DE7556">
        <w:rPr>
          <w:rFonts w:ascii="Calisto MT" w:hAnsi="Calisto MT"/>
          <w:sz w:val="22"/>
          <w:szCs w:val="22"/>
          <w:lang w:val="en-GB"/>
        </w:rPr>
        <w:t xml:space="preserve"> based on an indicative bu</w:t>
      </w:r>
      <w:r w:rsidR="00776A24">
        <w:rPr>
          <w:rFonts w:ascii="Calisto MT" w:hAnsi="Calisto MT"/>
          <w:sz w:val="22"/>
          <w:szCs w:val="22"/>
          <w:lang w:val="en-GB"/>
        </w:rPr>
        <w:t>dget allocation per priority,</w:t>
      </w:r>
      <w:r w:rsidR="00DE7556">
        <w:rPr>
          <w:rFonts w:ascii="Calisto MT" w:hAnsi="Calisto MT"/>
          <w:sz w:val="22"/>
          <w:szCs w:val="22"/>
          <w:lang w:val="en-GB"/>
        </w:rPr>
        <w:t xml:space="preserve"> </w:t>
      </w:r>
      <w:r w:rsidR="00785C72">
        <w:rPr>
          <w:rFonts w:ascii="Calisto MT" w:hAnsi="Calisto MT"/>
          <w:sz w:val="22"/>
          <w:szCs w:val="22"/>
          <w:lang w:val="en-GB"/>
        </w:rPr>
        <w:t xml:space="preserve">an </w:t>
      </w:r>
      <w:r w:rsidR="00B751C1">
        <w:rPr>
          <w:rFonts w:ascii="Calisto MT" w:hAnsi="Calisto MT"/>
          <w:sz w:val="22"/>
          <w:szCs w:val="22"/>
          <w:lang w:val="en-GB"/>
        </w:rPr>
        <w:t>estimation of</w:t>
      </w:r>
      <w:r w:rsidR="00DE7556">
        <w:rPr>
          <w:rFonts w:ascii="Calisto MT" w:hAnsi="Calisto MT"/>
          <w:sz w:val="22"/>
          <w:szCs w:val="22"/>
          <w:lang w:val="en-GB"/>
        </w:rPr>
        <w:t xml:space="preserve"> number of projects per priority</w:t>
      </w:r>
      <w:r w:rsidR="00B751C1">
        <w:rPr>
          <w:rFonts w:ascii="Calisto MT" w:hAnsi="Calisto MT"/>
          <w:sz w:val="22"/>
          <w:szCs w:val="22"/>
          <w:lang w:val="en-GB"/>
        </w:rPr>
        <w:t xml:space="preserve"> and of </w:t>
      </w:r>
      <w:r w:rsidR="00776A24">
        <w:rPr>
          <w:rFonts w:ascii="Calisto MT" w:hAnsi="Calisto MT"/>
          <w:sz w:val="22"/>
          <w:szCs w:val="22"/>
          <w:lang w:val="en-GB"/>
        </w:rPr>
        <w:t>number of relevant output</w:t>
      </w:r>
      <w:r w:rsidR="00D844CA">
        <w:rPr>
          <w:rFonts w:ascii="Calisto MT" w:hAnsi="Calisto MT"/>
          <w:sz w:val="22"/>
          <w:szCs w:val="22"/>
          <w:lang w:val="en-GB"/>
        </w:rPr>
        <w:t>(s)</w:t>
      </w:r>
      <w:r w:rsidR="00776A24">
        <w:rPr>
          <w:rFonts w:ascii="Calisto MT" w:hAnsi="Calisto MT"/>
          <w:sz w:val="22"/>
          <w:szCs w:val="22"/>
          <w:lang w:val="en-GB"/>
        </w:rPr>
        <w:t xml:space="preserve"> per project</w:t>
      </w:r>
      <w:r w:rsidR="00DE7556">
        <w:rPr>
          <w:rFonts w:ascii="Calisto MT" w:hAnsi="Calisto MT"/>
          <w:sz w:val="22"/>
          <w:szCs w:val="22"/>
          <w:lang w:val="en-GB"/>
        </w:rPr>
        <w:t xml:space="preserve">. </w:t>
      </w:r>
    </w:p>
    <w:p w14:paraId="74345A41" w14:textId="5ECE7792" w:rsidR="00DE7556" w:rsidRPr="00CA4EC3" w:rsidRDefault="00CA4EC3" w:rsidP="003C46A8">
      <w:pPr>
        <w:widowControl w:val="0"/>
        <w:autoSpaceDE w:val="0"/>
        <w:autoSpaceDN w:val="0"/>
        <w:adjustRightInd w:val="0"/>
        <w:spacing w:before="120" w:after="120" w:line="264" w:lineRule="auto"/>
        <w:jc w:val="both"/>
        <w:rPr>
          <w:rFonts w:ascii="Calisto MT" w:hAnsi="Calisto MT"/>
          <w:sz w:val="22"/>
          <w:szCs w:val="22"/>
          <w:lang w:val="en-GB"/>
        </w:rPr>
      </w:pPr>
      <w:r w:rsidRPr="000B2D46">
        <w:rPr>
          <w:rFonts w:ascii="Calisto MT" w:hAnsi="Calisto MT"/>
          <w:sz w:val="22"/>
          <w:szCs w:val="22"/>
          <w:lang w:val="en-GB"/>
        </w:rPr>
        <w:t xml:space="preserve">Result indicators </w:t>
      </w:r>
      <w:r w:rsidR="002537FA">
        <w:rPr>
          <w:rFonts w:ascii="Calisto MT" w:hAnsi="Calisto MT"/>
          <w:sz w:val="22"/>
          <w:szCs w:val="22"/>
          <w:lang w:val="en-GB"/>
        </w:rPr>
        <w:t>have been</w:t>
      </w:r>
      <w:r w:rsidRPr="000B2D46">
        <w:rPr>
          <w:rFonts w:ascii="Calisto MT" w:hAnsi="Calisto MT"/>
          <w:sz w:val="22"/>
          <w:szCs w:val="22"/>
          <w:lang w:val="en-GB"/>
        </w:rPr>
        <w:t xml:space="preserve"> measured before the programme is submitted to the EC (to set the baselines), and</w:t>
      </w:r>
      <w:r w:rsidR="002537FA">
        <w:rPr>
          <w:rFonts w:ascii="Calisto MT" w:hAnsi="Calisto MT"/>
          <w:sz w:val="22"/>
          <w:szCs w:val="22"/>
          <w:lang w:val="en-GB"/>
        </w:rPr>
        <w:t xml:space="preserve"> will be measured</w:t>
      </w:r>
      <w:r w:rsidRPr="000B2D46">
        <w:rPr>
          <w:rFonts w:ascii="Calisto MT" w:hAnsi="Calisto MT"/>
          <w:sz w:val="22"/>
          <w:szCs w:val="22"/>
          <w:lang w:val="en-GB"/>
        </w:rPr>
        <w:t xml:space="preserve"> after programme completion (by 2023, in order to draft the final report to the EC). Result indicators have been formulated at the level of priorities and their measurement </w:t>
      </w:r>
      <w:r w:rsidR="000D592A">
        <w:rPr>
          <w:rFonts w:ascii="Calisto MT" w:hAnsi="Calisto MT"/>
          <w:sz w:val="22"/>
          <w:szCs w:val="22"/>
          <w:lang w:val="en-GB"/>
        </w:rPr>
        <w:t>is</w:t>
      </w:r>
      <w:r w:rsidRPr="000B2D46">
        <w:rPr>
          <w:rFonts w:ascii="Calisto MT" w:hAnsi="Calisto MT"/>
          <w:sz w:val="22"/>
          <w:szCs w:val="22"/>
          <w:lang w:val="en-GB"/>
        </w:rPr>
        <w:t xml:space="preserve"> based on specific surveys among the relevant reference groups in each of the participating Black Sea countries</w:t>
      </w:r>
      <w:r w:rsidR="002537FA">
        <w:rPr>
          <w:rStyle w:val="FootnoteReference"/>
          <w:rFonts w:ascii="Calisto MT" w:hAnsi="Calisto MT"/>
          <w:sz w:val="22"/>
          <w:szCs w:val="22"/>
          <w:lang w:val="en-GB"/>
        </w:rPr>
        <w:footnoteReference w:id="65"/>
      </w:r>
      <w:r w:rsidRPr="000B2D46">
        <w:rPr>
          <w:rFonts w:ascii="Calisto MT" w:hAnsi="Calisto MT"/>
          <w:sz w:val="22"/>
          <w:szCs w:val="22"/>
          <w:lang w:val="en-GB"/>
        </w:rPr>
        <w:t xml:space="preserve">. </w:t>
      </w:r>
    </w:p>
    <w:tbl>
      <w:tblPr>
        <w:tblStyle w:val="MediumGrid3-Accent4"/>
        <w:tblW w:w="11023" w:type="dxa"/>
        <w:tblLook w:val="04A0" w:firstRow="1" w:lastRow="0" w:firstColumn="1" w:lastColumn="0" w:noHBand="0" w:noVBand="1"/>
      </w:tblPr>
      <w:tblGrid>
        <w:gridCol w:w="959"/>
        <w:gridCol w:w="1701"/>
        <w:gridCol w:w="5103"/>
        <w:gridCol w:w="1559"/>
        <w:gridCol w:w="1701"/>
      </w:tblGrid>
      <w:tr w:rsidR="00911D7B" w:rsidRPr="005D1839" w14:paraId="3B113609" w14:textId="77777777" w:rsidTr="000932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17776242" w14:textId="77777777" w:rsidR="008B6F78" w:rsidRPr="005D1839" w:rsidRDefault="008B6F78" w:rsidP="00911D7B">
            <w:pPr>
              <w:jc w:val="both"/>
              <w:rPr>
                <w:b w:val="0"/>
                <w:sz w:val="20"/>
                <w:szCs w:val="20"/>
              </w:rPr>
            </w:pPr>
            <w:r w:rsidRPr="005D1839">
              <w:rPr>
                <w:b w:val="0"/>
                <w:sz w:val="20"/>
                <w:szCs w:val="20"/>
              </w:rPr>
              <w:t>Type</w:t>
            </w:r>
          </w:p>
        </w:tc>
        <w:tc>
          <w:tcPr>
            <w:tcW w:w="1701" w:type="dxa"/>
          </w:tcPr>
          <w:p w14:paraId="5A012E27" w14:textId="77777777" w:rsidR="008B6F78" w:rsidRPr="005D1839" w:rsidRDefault="008B6F78" w:rsidP="008B6F78">
            <w:pPr>
              <w:cnfStyle w:val="100000000000" w:firstRow="1" w:lastRow="0" w:firstColumn="0" w:lastColumn="0" w:oddVBand="0" w:evenVBand="0" w:oddHBand="0" w:evenHBand="0" w:firstRowFirstColumn="0" w:firstRowLastColumn="0" w:lastRowFirstColumn="0" w:lastRowLastColumn="0"/>
              <w:rPr>
                <w:b w:val="0"/>
                <w:sz w:val="20"/>
                <w:szCs w:val="20"/>
              </w:rPr>
            </w:pPr>
            <w:proofErr w:type="spellStart"/>
            <w:r>
              <w:rPr>
                <w:b w:val="0"/>
                <w:sz w:val="20"/>
                <w:szCs w:val="20"/>
              </w:rPr>
              <w:t>Indicator</w:t>
            </w:r>
            <w:proofErr w:type="spellEnd"/>
          </w:p>
        </w:tc>
        <w:tc>
          <w:tcPr>
            <w:tcW w:w="5103" w:type="dxa"/>
          </w:tcPr>
          <w:p w14:paraId="7A548680" w14:textId="77777777" w:rsidR="008B6F78" w:rsidRPr="005D1839" w:rsidRDefault="008B6F78" w:rsidP="008B6F78">
            <w:pPr>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 xml:space="preserve">Unit of </w:t>
            </w:r>
            <w:proofErr w:type="spellStart"/>
            <w:r>
              <w:rPr>
                <w:b w:val="0"/>
                <w:sz w:val="20"/>
                <w:szCs w:val="20"/>
              </w:rPr>
              <w:t>measurement</w:t>
            </w:r>
            <w:proofErr w:type="spellEnd"/>
          </w:p>
        </w:tc>
        <w:tc>
          <w:tcPr>
            <w:tcW w:w="1559" w:type="dxa"/>
          </w:tcPr>
          <w:p w14:paraId="17B8D1C4" w14:textId="77777777" w:rsidR="008B6F78" w:rsidRDefault="008B6F78" w:rsidP="00911D7B">
            <w:pPr>
              <w:jc w:val="right"/>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Baseline</w:t>
            </w:r>
          </w:p>
        </w:tc>
        <w:tc>
          <w:tcPr>
            <w:tcW w:w="1701" w:type="dxa"/>
          </w:tcPr>
          <w:p w14:paraId="28540A05" w14:textId="77777777" w:rsidR="008B6F78" w:rsidRDefault="008B6F78" w:rsidP="00911D7B">
            <w:pPr>
              <w:jc w:val="right"/>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Target</w:t>
            </w:r>
          </w:p>
        </w:tc>
      </w:tr>
      <w:tr w:rsidR="00911D7B" w:rsidRPr="005D1839" w14:paraId="2E7479F6"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1E52D768" w14:textId="77777777" w:rsidR="008B6F78" w:rsidRPr="005D1839" w:rsidRDefault="008B6F78" w:rsidP="00911D7B">
            <w:pPr>
              <w:jc w:val="both"/>
              <w:rPr>
                <w:sz w:val="20"/>
                <w:szCs w:val="20"/>
              </w:rPr>
            </w:pPr>
            <w:r>
              <w:rPr>
                <w:sz w:val="20"/>
                <w:szCs w:val="20"/>
              </w:rPr>
              <w:t>RI</w:t>
            </w:r>
          </w:p>
        </w:tc>
        <w:tc>
          <w:tcPr>
            <w:tcW w:w="1701" w:type="dxa"/>
          </w:tcPr>
          <w:p w14:paraId="6B1E65FA" w14:textId="77777777" w:rsidR="008B6F78" w:rsidRPr="00E63876"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R1.1</w:t>
            </w:r>
          </w:p>
        </w:tc>
        <w:tc>
          <w:tcPr>
            <w:tcW w:w="5103" w:type="dxa"/>
          </w:tcPr>
          <w:p w14:paraId="083B26AD"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Likert-</w:t>
            </w:r>
            <w:proofErr w:type="spellStart"/>
            <w:r>
              <w:rPr>
                <w:sz w:val="20"/>
                <w:szCs w:val="20"/>
              </w:rPr>
              <w:t>scale</w:t>
            </w:r>
            <w:proofErr w:type="spellEnd"/>
          </w:p>
        </w:tc>
        <w:tc>
          <w:tcPr>
            <w:tcW w:w="1559" w:type="dxa"/>
          </w:tcPr>
          <w:p w14:paraId="60478241" w14:textId="295EC3A7" w:rsidR="008B6F78" w:rsidRPr="005D1839" w:rsidRDefault="002537FA"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2,50</w:t>
            </w:r>
          </w:p>
        </w:tc>
        <w:tc>
          <w:tcPr>
            <w:tcW w:w="1701" w:type="dxa"/>
          </w:tcPr>
          <w:p w14:paraId="325CD56D" w14:textId="69B4C518" w:rsidR="008B6F78" w:rsidRDefault="002537FA"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2,70</w:t>
            </w:r>
          </w:p>
        </w:tc>
      </w:tr>
      <w:tr w:rsidR="00911D7B" w:rsidRPr="005D1839" w14:paraId="786EF4FE"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45779128" w14:textId="77777777" w:rsidR="008B6F78" w:rsidRPr="005D1839" w:rsidRDefault="008B6F78" w:rsidP="00911D7B">
            <w:pPr>
              <w:jc w:val="both"/>
              <w:rPr>
                <w:sz w:val="20"/>
                <w:szCs w:val="20"/>
              </w:rPr>
            </w:pPr>
            <w:r>
              <w:rPr>
                <w:sz w:val="20"/>
                <w:szCs w:val="20"/>
              </w:rPr>
              <w:t xml:space="preserve">RI </w:t>
            </w:r>
          </w:p>
        </w:tc>
        <w:tc>
          <w:tcPr>
            <w:tcW w:w="1701" w:type="dxa"/>
          </w:tcPr>
          <w:p w14:paraId="17088D9D" w14:textId="77777777" w:rsidR="008B6F78" w:rsidRPr="00E63876"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R1.2</w:t>
            </w:r>
          </w:p>
        </w:tc>
        <w:tc>
          <w:tcPr>
            <w:tcW w:w="5103" w:type="dxa"/>
          </w:tcPr>
          <w:p w14:paraId="3E2D90F5"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Likert-</w:t>
            </w:r>
            <w:proofErr w:type="spellStart"/>
            <w:r>
              <w:rPr>
                <w:sz w:val="20"/>
                <w:szCs w:val="20"/>
              </w:rPr>
              <w:t>scale</w:t>
            </w:r>
            <w:proofErr w:type="spellEnd"/>
          </w:p>
        </w:tc>
        <w:tc>
          <w:tcPr>
            <w:tcW w:w="1559" w:type="dxa"/>
          </w:tcPr>
          <w:p w14:paraId="751EE76F" w14:textId="3384A873" w:rsidR="008B6F78" w:rsidRPr="005D1839" w:rsidRDefault="002537FA"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2,88</w:t>
            </w:r>
          </w:p>
        </w:tc>
        <w:tc>
          <w:tcPr>
            <w:tcW w:w="1701" w:type="dxa"/>
          </w:tcPr>
          <w:p w14:paraId="3DA184C3" w14:textId="5860B2C6" w:rsidR="008B6F78" w:rsidRDefault="002537FA"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3,13</w:t>
            </w:r>
          </w:p>
        </w:tc>
      </w:tr>
      <w:tr w:rsidR="00911D7B" w:rsidRPr="005D1839" w14:paraId="5A9E9986"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53B9B167" w14:textId="77777777" w:rsidR="008B6F78" w:rsidRPr="005D1839" w:rsidRDefault="008B6F78" w:rsidP="00911D7B">
            <w:pPr>
              <w:jc w:val="both"/>
              <w:rPr>
                <w:sz w:val="20"/>
                <w:szCs w:val="20"/>
              </w:rPr>
            </w:pPr>
            <w:r>
              <w:rPr>
                <w:sz w:val="20"/>
                <w:szCs w:val="20"/>
              </w:rPr>
              <w:t>RI</w:t>
            </w:r>
          </w:p>
        </w:tc>
        <w:tc>
          <w:tcPr>
            <w:tcW w:w="1701" w:type="dxa"/>
          </w:tcPr>
          <w:p w14:paraId="15D7A373" w14:textId="77777777" w:rsidR="008B6F78" w:rsidRPr="00E63876"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R2.1</w:t>
            </w:r>
          </w:p>
        </w:tc>
        <w:tc>
          <w:tcPr>
            <w:tcW w:w="5103" w:type="dxa"/>
          </w:tcPr>
          <w:p w14:paraId="0CA61CE4"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Likert-</w:t>
            </w:r>
            <w:proofErr w:type="spellStart"/>
            <w:r>
              <w:rPr>
                <w:sz w:val="20"/>
                <w:szCs w:val="20"/>
              </w:rPr>
              <w:t>scale</w:t>
            </w:r>
            <w:proofErr w:type="spellEnd"/>
          </w:p>
        </w:tc>
        <w:tc>
          <w:tcPr>
            <w:tcW w:w="1559" w:type="dxa"/>
          </w:tcPr>
          <w:p w14:paraId="5BAF0D73" w14:textId="033F01E6" w:rsidR="008B6F78" w:rsidRPr="005D1839" w:rsidRDefault="002537FA"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2,66</w:t>
            </w:r>
          </w:p>
        </w:tc>
        <w:tc>
          <w:tcPr>
            <w:tcW w:w="1701" w:type="dxa"/>
          </w:tcPr>
          <w:p w14:paraId="65A3DE93" w14:textId="39BF45F3" w:rsidR="008B6F78" w:rsidRDefault="002537FA"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w:t>
            </w:r>
            <w:r w:rsidR="009E132E">
              <w:rPr>
                <w:sz w:val="20"/>
                <w:szCs w:val="20"/>
              </w:rPr>
              <w:t>1</w:t>
            </w:r>
          </w:p>
        </w:tc>
      </w:tr>
      <w:tr w:rsidR="00911D7B" w:rsidRPr="005D1839" w14:paraId="4E30A2DC" w14:textId="77777777" w:rsidTr="0009321F">
        <w:trPr>
          <w:trHeight w:val="134"/>
        </w:trPr>
        <w:tc>
          <w:tcPr>
            <w:cnfStyle w:val="001000000000" w:firstRow="0" w:lastRow="0" w:firstColumn="1" w:lastColumn="0" w:oddVBand="0" w:evenVBand="0" w:oddHBand="0" w:evenHBand="0" w:firstRowFirstColumn="0" w:firstRowLastColumn="0" w:lastRowFirstColumn="0" w:lastRowLastColumn="0"/>
            <w:tcW w:w="959" w:type="dxa"/>
          </w:tcPr>
          <w:p w14:paraId="117487A5" w14:textId="77777777" w:rsidR="008B6F78" w:rsidRPr="005D1839" w:rsidRDefault="008B6F78" w:rsidP="00911D7B">
            <w:pPr>
              <w:jc w:val="both"/>
              <w:rPr>
                <w:sz w:val="20"/>
                <w:szCs w:val="20"/>
              </w:rPr>
            </w:pPr>
            <w:r>
              <w:rPr>
                <w:sz w:val="20"/>
                <w:szCs w:val="20"/>
              </w:rPr>
              <w:t>RI</w:t>
            </w:r>
          </w:p>
        </w:tc>
        <w:tc>
          <w:tcPr>
            <w:tcW w:w="1701" w:type="dxa"/>
          </w:tcPr>
          <w:p w14:paraId="3E846FE0"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R2.2</w:t>
            </w:r>
          </w:p>
        </w:tc>
        <w:tc>
          <w:tcPr>
            <w:tcW w:w="5103" w:type="dxa"/>
          </w:tcPr>
          <w:p w14:paraId="79C4C148"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Likert-</w:t>
            </w:r>
            <w:proofErr w:type="spellStart"/>
            <w:r>
              <w:rPr>
                <w:sz w:val="20"/>
                <w:szCs w:val="20"/>
              </w:rPr>
              <w:t>scale</w:t>
            </w:r>
            <w:proofErr w:type="spellEnd"/>
          </w:p>
        </w:tc>
        <w:tc>
          <w:tcPr>
            <w:tcW w:w="1559" w:type="dxa"/>
          </w:tcPr>
          <w:p w14:paraId="0C37F05A" w14:textId="233877EC" w:rsidR="008B6F78" w:rsidRPr="005D1839" w:rsidRDefault="002537FA"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2,50</w:t>
            </w:r>
          </w:p>
        </w:tc>
        <w:tc>
          <w:tcPr>
            <w:tcW w:w="1701" w:type="dxa"/>
          </w:tcPr>
          <w:p w14:paraId="590C76A6" w14:textId="61FD8437" w:rsidR="008B6F78" w:rsidRDefault="002537FA"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2,70</w:t>
            </w:r>
          </w:p>
        </w:tc>
      </w:tr>
      <w:tr w:rsidR="00911D7B" w:rsidRPr="005D1839" w14:paraId="0046B3D7"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3AE4A29F" w14:textId="77777777" w:rsidR="008B6F78" w:rsidRPr="005D1839" w:rsidRDefault="008B6F78" w:rsidP="00911D7B">
            <w:pPr>
              <w:jc w:val="both"/>
              <w:rPr>
                <w:sz w:val="20"/>
                <w:szCs w:val="20"/>
              </w:rPr>
            </w:pPr>
            <w:r>
              <w:rPr>
                <w:sz w:val="20"/>
                <w:szCs w:val="20"/>
              </w:rPr>
              <w:t>PSOI</w:t>
            </w:r>
          </w:p>
        </w:tc>
        <w:tc>
          <w:tcPr>
            <w:tcW w:w="1701" w:type="dxa"/>
          </w:tcPr>
          <w:p w14:paraId="703F7949"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1.1.1</w:t>
            </w:r>
          </w:p>
        </w:tc>
        <w:tc>
          <w:tcPr>
            <w:tcW w:w="5103" w:type="dxa"/>
          </w:tcPr>
          <w:p w14:paraId="4E1CE951"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w:t>
            </w:r>
            <w:proofErr w:type="spellStart"/>
            <w:r>
              <w:rPr>
                <w:sz w:val="20"/>
                <w:szCs w:val="20"/>
              </w:rPr>
              <w:t>strategies</w:t>
            </w:r>
            <w:proofErr w:type="spellEnd"/>
            <w:r>
              <w:rPr>
                <w:sz w:val="20"/>
                <w:szCs w:val="20"/>
              </w:rPr>
              <w:t>/</w:t>
            </w:r>
            <w:proofErr w:type="spellStart"/>
            <w:r>
              <w:rPr>
                <w:sz w:val="20"/>
                <w:szCs w:val="20"/>
              </w:rPr>
              <w:t>products</w:t>
            </w:r>
            <w:proofErr w:type="spellEnd"/>
          </w:p>
        </w:tc>
        <w:tc>
          <w:tcPr>
            <w:tcW w:w="1559" w:type="dxa"/>
          </w:tcPr>
          <w:p w14:paraId="462FB5BF"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701" w:type="dxa"/>
          </w:tcPr>
          <w:p w14:paraId="2F5C3AC0"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38</w:t>
            </w:r>
          </w:p>
        </w:tc>
      </w:tr>
      <w:tr w:rsidR="00911D7B" w:rsidRPr="005D1839" w14:paraId="2022BB8F"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336DFBA6" w14:textId="77777777" w:rsidR="008B6F78" w:rsidRDefault="008B6F78" w:rsidP="00911D7B">
            <w:pPr>
              <w:jc w:val="both"/>
              <w:rPr>
                <w:sz w:val="20"/>
                <w:szCs w:val="20"/>
              </w:rPr>
            </w:pPr>
            <w:r>
              <w:rPr>
                <w:sz w:val="20"/>
                <w:szCs w:val="20"/>
              </w:rPr>
              <w:t>PSOI</w:t>
            </w:r>
          </w:p>
        </w:tc>
        <w:tc>
          <w:tcPr>
            <w:tcW w:w="1701" w:type="dxa"/>
          </w:tcPr>
          <w:p w14:paraId="1D5BE028"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1.1.2</w:t>
            </w:r>
          </w:p>
        </w:tc>
        <w:tc>
          <w:tcPr>
            <w:tcW w:w="5103" w:type="dxa"/>
          </w:tcPr>
          <w:p w14:paraId="68B32004" w14:textId="77777777" w:rsidR="008B6F78" w:rsidRPr="00216E17"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w:t>
            </w:r>
            <w:proofErr w:type="spellStart"/>
            <w:r>
              <w:rPr>
                <w:sz w:val="20"/>
                <w:szCs w:val="20"/>
              </w:rPr>
              <w:t>events</w:t>
            </w:r>
            <w:proofErr w:type="spellEnd"/>
          </w:p>
        </w:tc>
        <w:tc>
          <w:tcPr>
            <w:tcW w:w="1559" w:type="dxa"/>
          </w:tcPr>
          <w:p w14:paraId="3AE03037" w14:textId="77777777" w:rsidR="008B6F78" w:rsidRPr="00AB4C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sidRPr="00AB4C39">
              <w:rPr>
                <w:sz w:val="20"/>
                <w:szCs w:val="20"/>
              </w:rPr>
              <w:t>0</w:t>
            </w:r>
          </w:p>
        </w:tc>
        <w:tc>
          <w:tcPr>
            <w:tcW w:w="1701" w:type="dxa"/>
          </w:tcPr>
          <w:p w14:paraId="45A68400" w14:textId="77777777" w:rsidR="008B6F78" w:rsidRPr="00AB4C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100</w:t>
            </w:r>
          </w:p>
        </w:tc>
      </w:tr>
      <w:tr w:rsidR="00911D7B" w:rsidRPr="005D1839" w14:paraId="7CF666A5"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6F822255" w14:textId="77777777" w:rsidR="008B6F78" w:rsidRDefault="008B6F78" w:rsidP="00911D7B">
            <w:pPr>
              <w:jc w:val="both"/>
              <w:rPr>
                <w:sz w:val="20"/>
                <w:szCs w:val="20"/>
              </w:rPr>
            </w:pPr>
            <w:r>
              <w:rPr>
                <w:sz w:val="20"/>
                <w:szCs w:val="20"/>
              </w:rPr>
              <w:t>COI</w:t>
            </w:r>
          </w:p>
        </w:tc>
        <w:tc>
          <w:tcPr>
            <w:tcW w:w="1701" w:type="dxa"/>
          </w:tcPr>
          <w:p w14:paraId="6E6BF85C"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1.1.3</w:t>
            </w:r>
          </w:p>
        </w:tc>
        <w:tc>
          <w:tcPr>
            <w:tcW w:w="5103" w:type="dxa"/>
          </w:tcPr>
          <w:p w14:paraId="3F23C766" w14:textId="77777777" w:rsidR="008B6F78" w:rsidRPr="00216E17"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sites</w:t>
            </w:r>
          </w:p>
        </w:tc>
        <w:tc>
          <w:tcPr>
            <w:tcW w:w="1559" w:type="dxa"/>
          </w:tcPr>
          <w:p w14:paraId="5AA57622"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701" w:type="dxa"/>
          </w:tcPr>
          <w:p w14:paraId="18B1EDA4"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r>
      <w:tr w:rsidR="00911D7B" w:rsidRPr="005D1839" w14:paraId="799785F1"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13CCBF61" w14:textId="77777777" w:rsidR="008B6F78" w:rsidRDefault="008B6F78" w:rsidP="00911D7B">
            <w:pPr>
              <w:jc w:val="both"/>
              <w:rPr>
                <w:sz w:val="20"/>
                <w:szCs w:val="20"/>
              </w:rPr>
            </w:pPr>
            <w:r>
              <w:rPr>
                <w:sz w:val="20"/>
                <w:szCs w:val="20"/>
              </w:rPr>
              <w:t>COI</w:t>
            </w:r>
          </w:p>
        </w:tc>
        <w:tc>
          <w:tcPr>
            <w:tcW w:w="1701" w:type="dxa"/>
          </w:tcPr>
          <w:p w14:paraId="30D6B465"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1.2.1</w:t>
            </w:r>
          </w:p>
        </w:tc>
        <w:tc>
          <w:tcPr>
            <w:tcW w:w="5103" w:type="dxa"/>
          </w:tcPr>
          <w:p w14:paraId="37D35D76" w14:textId="77777777" w:rsidR="008B6F78" w:rsidRPr="00216E17"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w:t>
            </w:r>
            <w:proofErr w:type="spellStart"/>
            <w:r>
              <w:rPr>
                <w:sz w:val="20"/>
                <w:szCs w:val="20"/>
              </w:rPr>
              <w:t>enterprises</w:t>
            </w:r>
            <w:proofErr w:type="spellEnd"/>
          </w:p>
        </w:tc>
        <w:tc>
          <w:tcPr>
            <w:tcW w:w="1559" w:type="dxa"/>
          </w:tcPr>
          <w:p w14:paraId="42B53861"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701" w:type="dxa"/>
          </w:tcPr>
          <w:p w14:paraId="3D40CA23"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600</w:t>
            </w:r>
          </w:p>
        </w:tc>
      </w:tr>
      <w:tr w:rsidR="00911D7B" w:rsidRPr="005D1839" w14:paraId="148B2655"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44FA579A" w14:textId="77777777" w:rsidR="008B6F78" w:rsidRDefault="008B6F78" w:rsidP="00911D7B">
            <w:pPr>
              <w:jc w:val="both"/>
              <w:rPr>
                <w:sz w:val="20"/>
                <w:szCs w:val="20"/>
              </w:rPr>
            </w:pPr>
            <w:r>
              <w:rPr>
                <w:sz w:val="20"/>
                <w:szCs w:val="20"/>
              </w:rPr>
              <w:t>COI</w:t>
            </w:r>
          </w:p>
        </w:tc>
        <w:tc>
          <w:tcPr>
            <w:tcW w:w="1701" w:type="dxa"/>
          </w:tcPr>
          <w:p w14:paraId="52FF7BE5"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1.2.2</w:t>
            </w:r>
          </w:p>
        </w:tc>
        <w:tc>
          <w:tcPr>
            <w:tcW w:w="5103" w:type="dxa"/>
          </w:tcPr>
          <w:p w14:paraId="2E40EEF0" w14:textId="77777777" w:rsidR="008B6F78" w:rsidRPr="00216E17"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ICT </w:t>
            </w:r>
            <w:proofErr w:type="spellStart"/>
            <w:r>
              <w:rPr>
                <w:sz w:val="20"/>
                <w:szCs w:val="20"/>
              </w:rPr>
              <w:t>tools</w:t>
            </w:r>
            <w:proofErr w:type="spellEnd"/>
          </w:p>
        </w:tc>
        <w:tc>
          <w:tcPr>
            <w:tcW w:w="1559" w:type="dxa"/>
          </w:tcPr>
          <w:p w14:paraId="0C1B3280"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701" w:type="dxa"/>
          </w:tcPr>
          <w:p w14:paraId="0A6D0CA7"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r>
      <w:tr w:rsidR="00911D7B" w:rsidRPr="005D1839" w14:paraId="0621633A"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394A3F2E" w14:textId="77777777" w:rsidR="008B6F78" w:rsidRDefault="008B6F78" w:rsidP="00911D7B">
            <w:pPr>
              <w:jc w:val="both"/>
              <w:rPr>
                <w:sz w:val="20"/>
                <w:szCs w:val="20"/>
              </w:rPr>
            </w:pPr>
            <w:r>
              <w:rPr>
                <w:sz w:val="20"/>
                <w:szCs w:val="20"/>
              </w:rPr>
              <w:t>COI</w:t>
            </w:r>
          </w:p>
        </w:tc>
        <w:tc>
          <w:tcPr>
            <w:tcW w:w="1701" w:type="dxa"/>
          </w:tcPr>
          <w:p w14:paraId="7066994E"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1.2.3</w:t>
            </w:r>
          </w:p>
        </w:tc>
        <w:tc>
          <w:tcPr>
            <w:tcW w:w="5103" w:type="dxa"/>
          </w:tcPr>
          <w:p w14:paraId="2B143E1F" w14:textId="77777777" w:rsidR="008B6F78" w:rsidRPr="00216E17"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organisations</w:t>
            </w:r>
          </w:p>
        </w:tc>
        <w:tc>
          <w:tcPr>
            <w:tcW w:w="1559" w:type="dxa"/>
          </w:tcPr>
          <w:p w14:paraId="429FFD9C"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701" w:type="dxa"/>
          </w:tcPr>
          <w:p w14:paraId="0ED1150E"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r>
      <w:tr w:rsidR="00911D7B" w:rsidRPr="005D1839" w14:paraId="1D48F9ED"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49E850D5" w14:textId="77777777" w:rsidR="008B6F78" w:rsidRDefault="008B6F78" w:rsidP="00911D7B">
            <w:pPr>
              <w:jc w:val="both"/>
              <w:rPr>
                <w:sz w:val="20"/>
                <w:szCs w:val="20"/>
              </w:rPr>
            </w:pPr>
            <w:r>
              <w:rPr>
                <w:sz w:val="20"/>
                <w:szCs w:val="20"/>
              </w:rPr>
              <w:t>COI</w:t>
            </w:r>
          </w:p>
        </w:tc>
        <w:tc>
          <w:tcPr>
            <w:tcW w:w="1701" w:type="dxa"/>
          </w:tcPr>
          <w:p w14:paraId="7071CE06"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2.1.1</w:t>
            </w:r>
          </w:p>
        </w:tc>
        <w:tc>
          <w:tcPr>
            <w:tcW w:w="5103" w:type="dxa"/>
          </w:tcPr>
          <w:p w14:paraId="58F9A36E" w14:textId="77777777" w:rsidR="008B6F78" w:rsidRPr="00216E17"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ICT </w:t>
            </w:r>
            <w:proofErr w:type="spellStart"/>
            <w:r>
              <w:rPr>
                <w:sz w:val="20"/>
                <w:szCs w:val="20"/>
              </w:rPr>
              <w:t>tools</w:t>
            </w:r>
            <w:proofErr w:type="spellEnd"/>
          </w:p>
        </w:tc>
        <w:tc>
          <w:tcPr>
            <w:tcW w:w="1559" w:type="dxa"/>
          </w:tcPr>
          <w:p w14:paraId="7BFF987C"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701" w:type="dxa"/>
          </w:tcPr>
          <w:p w14:paraId="1789D1F9"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w:t>
            </w:r>
          </w:p>
        </w:tc>
      </w:tr>
      <w:tr w:rsidR="00911D7B" w:rsidRPr="005D1839" w14:paraId="1D99D246"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13A8C2FB" w14:textId="77777777" w:rsidR="008B6F78" w:rsidRDefault="008B6F78" w:rsidP="00911D7B">
            <w:pPr>
              <w:jc w:val="both"/>
              <w:rPr>
                <w:sz w:val="20"/>
                <w:szCs w:val="20"/>
              </w:rPr>
            </w:pPr>
            <w:r>
              <w:rPr>
                <w:sz w:val="20"/>
                <w:szCs w:val="20"/>
              </w:rPr>
              <w:t>COI</w:t>
            </w:r>
          </w:p>
        </w:tc>
        <w:tc>
          <w:tcPr>
            <w:tcW w:w="1701" w:type="dxa"/>
          </w:tcPr>
          <w:p w14:paraId="4C4CCE68"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2.1.2</w:t>
            </w:r>
          </w:p>
        </w:tc>
        <w:tc>
          <w:tcPr>
            <w:tcW w:w="5103" w:type="dxa"/>
          </w:tcPr>
          <w:p w14:paraId="3997409A" w14:textId="77777777" w:rsidR="008B6F78" w:rsidRPr="00216E17"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institutions</w:t>
            </w:r>
          </w:p>
        </w:tc>
        <w:tc>
          <w:tcPr>
            <w:tcW w:w="1559" w:type="dxa"/>
          </w:tcPr>
          <w:p w14:paraId="7A961F18"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701" w:type="dxa"/>
          </w:tcPr>
          <w:p w14:paraId="6C33E309"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r>
      <w:tr w:rsidR="00911D7B" w:rsidRPr="005D1839" w14:paraId="166FFAC1" w14:textId="77777777" w:rsidTr="000932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3124809A" w14:textId="77777777" w:rsidR="008B6F78" w:rsidRDefault="008B6F78" w:rsidP="00911D7B">
            <w:pPr>
              <w:jc w:val="both"/>
              <w:rPr>
                <w:sz w:val="20"/>
                <w:szCs w:val="20"/>
              </w:rPr>
            </w:pPr>
            <w:r>
              <w:rPr>
                <w:sz w:val="20"/>
                <w:szCs w:val="20"/>
              </w:rPr>
              <w:t>COI</w:t>
            </w:r>
          </w:p>
        </w:tc>
        <w:tc>
          <w:tcPr>
            <w:tcW w:w="1701" w:type="dxa"/>
          </w:tcPr>
          <w:p w14:paraId="60665E1F" w14:textId="77777777" w:rsidR="008B6F78" w:rsidRPr="005D1839"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2.2.1</w:t>
            </w:r>
          </w:p>
        </w:tc>
        <w:tc>
          <w:tcPr>
            <w:tcW w:w="5103" w:type="dxa"/>
          </w:tcPr>
          <w:p w14:paraId="5235C4B8" w14:textId="77777777" w:rsidR="008B6F78" w:rsidRPr="00216E17" w:rsidRDefault="008B6F78" w:rsidP="008B6F78">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w:t>
            </w:r>
            <w:proofErr w:type="spellStart"/>
            <w:r>
              <w:rPr>
                <w:sz w:val="20"/>
                <w:szCs w:val="20"/>
              </w:rPr>
              <w:t>persons</w:t>
            </w:r>
            <w:proofErr w:type="spellEnd"/>
          </w:p>
        </w:tc>
        <w:tc>
          <w:tcPr>
            <w:tcW w:w="1559" w:type="dxa"/>
          </w:tcPr>
          <w:p w14:paraId="73C8B18A"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1701" w:type="dxa"/>
          </w:tcPr>
          <w:p w14:paraId="754FEE25" w14:textId="77777777" w:rsidR="008B6F78" w:rsidRPr="005D1839" w:rsidRDefault="008B6F78" w:rsidP="00911D7B">
            <w:pPr>
              <w:jc w:val="righ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3 600</w:t>
            </w:r>
          </w:p>
        </w:tc>
      </w:tr>
      <w:tr w:rsidR="00911D7B" w:rsidRPr="005D1839" w14:paraId="3009DFF2" w14:textId="77777777" w:rsidTr="0009321F">
        <w:tc>
          <w:tcPr>
            <w:cnfStyle w:val="001000000000" w:firstRow="0" w:lastRow="0" w:firstColumn="1" w:lastColumn="0" w:oddVBand="0" w:evenVBand="0" w:oddHBand="0" w:evenHBand="0" w:firstRowFirstColumn="0" w:firstRowLastColumn="0" w:lastRowFirstColumn="0" w:lastRowLastColumn="0"/>
            <w:tcW w:w="959" w:type="dxa"/>
          </w:tcPr>
          <w:p w14:paraId="60F37496" w14:textId="77777777" w:rsidR="008B6F78" w:rsidRDefault="008B6F78" w:rsidP="00911D7B">
            <w:pPr>
              <w:jc w:val="both"/>
              <w:rPr>
                <w:sz w:val="20"/>
                <w:szCs w:val="20"/>
              </w:rPr>
            </w:pPr>
            <w:r>
              <w:rPr>
                <w:sz w:val="20"/>
                <w:szCs w:val="20"/>
              </w:rPr>
              <w:t>PSOI</w:t>
            </w:r>
          </w:p>
        </w:tc>
        <w:tc>
          <w:tcPr>
            <w:tcW w:w="1701" w:type="dxa"/>
          </w:tcPr>
          <w:p w14:paraId="76CC7A5A" w14:textId="77777777" w:rsidR="008B6F78" w:rsidRPr="005D1839"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2.2.2</w:t>
            </w:r>
          </w:p>
        </w:tc>
        <w:tc>
          <w:tcPr>
            <w:tcW w:w="5103" w:type="dxa"/>
          </w:tcPr>
          <w:p w14:paraId="1D7EC310" w14:textId="77777777" w:rsidR="008B6F78" w:rsidRPr="00216E17" w:rsidRDefault="008B6F78" w:rsidP="008B6F78">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Number</w:t>
            </w:r>
            <w:proofErr w:type="spellEnd"/>
            <w:r>
              <w:rPr>
                <w:sz w:val="20"/>
                <w:szCs w:val="20"/>
              </w:rPr>
              <w:t xml:space="preserve"> of organisations</w:t>
            </w:r>
          </w:p>
        </w:tc>
        <w:tc>
          <w:tcPr>
            <w:tcW w:w="1559" w:type="dxa"/>
          </w:tcPr>
          <w:p w14:paraId="230DF3BD"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1701" w:type="dxa"/>
          </w:tcPr>
          <w:p w14:paraId="694C529A" w14:textId="77777777" w:rsidR="008B6F78" w:rsidRPr="005D1839" w:rsidRDefault="008B6F78" w:rsidP="00911D7B">
            <w:pPr>
              <w:jc w:val="righ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w:t>
            </w:r>
          </w:p>
        </w:tc>
      </w:tr>
    </w:tbl>
    <w:p w14:paraId="05E12660" w14:textId="77777777" w:rsidR="003C46A8" w:rsidRPr="003C46A8" w:rsidRDefault="003C46A8" w:rsidP="003C46A8">
      <w:pPr>
        <w:widowControl w:val="0"/>
        <w:autoSpaceDE w:val="0"/>
        <w:autoSpaceDN w:val="0"/>
        <w:adjustRightInd w:val="0"/>
        <w:spacing w:before="120" w:after="120" w:line="264" w:lineRule="auto"/>
        <w:jc w:val="both"/>
        <w:rPr>
          <w:rFonts w:cs="Times New Roman"/>
          <w:sz w:val="22"/>
          <w:szCs w:val="22"/>
          <w:lang w:val="en-GB"/>
        </w:rPr>
      </w:pPr>
      <w:bookmarkStart w:id="71" w:name="_Toc273788693"/>
      <w:bookmarkStart w:id="72" w:name="_Toc276156674"/>
      <w:r>
        <w:rPr>
          <w:sz w:val="22"/>
          <w:szCs w:val="22"/>
          <w:lang w:val="en-GB"/>
        </w:rPr>
        <w:t xml:space="preserve">Definition of the indicators and ways to measure them is </w:t>
      </w:r>
      <w:r w:rsidRPr="001D37A2">
        <w:rPr>
          <w:sz w:val="22"/>
          <w:szCs w:val="22"/>
          <w:lang w:val="en-GB"/>
        </w:rPr>
        <w:t>further described in the Monitoring and Evaluation system</w:t>
      </w:r>
      <w:r>
        <w:rPr>
          <w:sz w:val="22"/>
          <w:szCs w:val="22"/>
          <w:lang w:val="en-GB"/>
        </w:rPr>
        <w:t xml:space="preserve"> and plan</w:t>
      </w:r>
      <w:r w:rsidR="00FF0EA3">
        <w:rPr>
          <w:sz w:val="22"/>
          <w:szCs w:val="22"/>
          <w:lang w:val="en-GB"/>
        </w:rPr>
        <w:t xml:space="preserve"> (see</w:t>
      </w:r>
      <w:r>
        <w:rPr>
          <w:sz w:val="22"/>
          <w:szCs w:val="22"/>
          <w:lang w:val="en-GB"/>
        </w:rPr>
        <w:t xml:space="preserve"> in Annex 3)</w:t>
      </w:r>
      <w:r w:rsidRPr="001D37A2">
        <w:rPr>
          <w:sz w:val="22"/>
          <w:szCs w:val="22"/>
          <w:lang w:val="en-GB"/>
        </w:rPr>
        <w:t>.</w:t>
      </w:r>
    </w:p>
    <w:p w14:paraId="2989F416" w14:textId="77777777" w:rsidR="00FF1E64" w:rsidRPr="0025034F" w:rsidRDefault="00654D55" w:rsidP="0065700F">
      <w:pPr>
        <w:pStyle w:val="Heading3"/>
        <w:spacing w:before="480" w:after="240" w:line="264" w:lineRule="auto"/>
        <w:rPr>
          <w:b/>
          <w:sz w:val="28"/>
          <w:szCs w:val="28"/>
          <w:lang w:val="en-GB"/>
        </w:rPr>
      </w:pPr>
      <w:bookmarkStart w:id="73" w:name="_Toc423436290"/>
      <w:r>
        <w:rPr>
          <w:b/>
          <w:sz w:val="28"/>
          <w:szCs w:val="28"/>
          <w:lang w:val="en-GB"/>
        </w:rPr>
        <w:lastRenderedPageBreak/>
        <w:t xml:space="preserve">5.5 </w:t>
      </w:r>
      <w:r w:rsidR="00FF1E64" w:rsidRPr="0025034F">
        <w:rPr>
          <w:b/>
          <w:sz w:val="28"/>
          <w:szCs w:val="28"/>
          <w:lang w:val="en-GB"/>
        </w:rPr>
        <w:t>Risk analysis and mitigating measures</w:t>
      </w:r>
      <w:bookmarkEnd w:id="73"/>
    </w:p>
    <w:p w14:paraId="2C65C736" w14:textId="77777777" w:rsidR="009668F5" w:rsidRPr="009668F5" w:rsidRDefault="009668F5" w:rsidP="00A17136">
      <w:pPr>
        <w:spacing w:after="120" w:line="264" w:lineRule="auto"/>
        <w:jc w:val="both"/>
        <w:rPr>
          <w:sz w:val="22"/>
          <w:szCs w:val="22"/>
          <w:lang w:val="en-GB"/>
        </w:rPr>
      </w:pPr>
      <w:r w:rsidRPr="009668F5">
        <w:rPr>
          <w:sz w:val="22"/>
          <w:szCs w:val="22"/>
          <w:lang w:val="en-GB"/>
        </w:rPr>
        <w:t xml:space="preserve">The achievement of the programme objectives is subject to external influences that are beyond the direct control of the programme management bodies and may impact negatively on the programme. </w:t>
      </w:r>
    </w:p>
    <w:p w14:paraId="57982693" w14:textId="77777777" w:rsidR="009668F5" w:rsidRPr="009668F5" w:rsidRDefault="009668F5" w:rsidP="00A17136">
      <w:pPr>
        <w:spacing w:after="120" w:line="264" w:lineRule="auto"/>
        <w:jc w:val="both"/>
        <w:rPr>
          <w:sz w:val="22"/>
          <w:szCs w:val="22"/>
          <w:lang w:val="en-GB"/>
        </w:rPr>
      </w:pPr>
      <w:r w:rsidRPr="009668F5">
        <w:rPr>
          <w:sz w:val="22"/>
          <w:szCs w:val="22"/>
          <w:lang w:val="en-GB"/>
        </w:rPr>
        <w:t>Two main types of risks on programme achievement may be identified:</w:t>
      </w:r>
    </w:p>
    <w:p w14:paraId="030CCBF1" w14:textId="77777777" w:rsidR="009668F5" w:rsidRPr="009668F5" w:rsidRDefault="006F38B5" w:rsidP="0065700F">
      <w:pPr>
        <w:pStyle w:val="ListParagraph"/>
        <w:widowControl w:val="0"/>
        <w:numPr>
          <w:ilvl w:val="0"/>
          <w:numId w:val="16"/>
        </w:numPr>
        <w:autoSpaceDE w:val="0"/>
        <w:autoSpaceDN w:val="0"/>
        <w:adjustRightInd w:val="0"/>
        <w:spacing w:after="120" w:line="264" w:lineRule="auto"/>
        <w:contextualSpacing w:val="0"/>
        <w:jc w:val="both"/>
        <w:rPr>
          <w:rFonts w:cs="Times New Roman"/>
          <w:sz w:val="22"/>
          <w:szCs w:val="22"/>
          <w:lang w:val="en-GB"/>
        </w:rPr>
      </w:pPr>
      <w:r>
        <w:rPr>
          <w:rFonts w:cs="Times New Roman"/>
          <w:sz w:val="22"/>
          <w:szCs w:val="22"/>
          <w:lang w:val="en-GB"/>
        </w:rPr>
        <w:t>Contextual risks</w:t>
      </w:r>
      <w:r w:rsidR="009668F5" w:rsidRPr="009668F5">
        <w:rPr>
          <w:rFonts w:cs="Times New Roman"/>
          <w:sz w:val="22"/>
          <w:szCs w:val="22"/>
          <w:lang w:val="en-GB"/>
        </w:rPr>
        <w:t xml:space="preserve"> that cover the range of potential adverse outcomes that may arise in the BSB context (e.g. regional conflicts…)</w:t>
      </w:r>
    </w:p>
    <w:p w14:paraId="1CF89DAA" w14:textId="77777777" w:rsidR="009668F5" w:rsidRPr="009668F5" w:rsidRDefault="009668F5" w:rsidP="0065700F">
      <w:pPr>
        <w:pStyle w:val="ListParagraph"/>
        <w:widowControl w:val="0"/>
        <w:numPr>
          <w:ilvl w:val="0"/>
          <w:numId w:val="16"/>
        </w:numPr>
        <w:autoSpaceDE w:val="0"/>
        <w:autoSpaceDN w:val="0"/>
        <w:adjustRightInd w:val="0"/>
        <w:spacing w:after="120" w:line="264" w:lineRule="auto"/>
        <w:ind w:left="714" w:hanging="357"/>
        <w:contextualSpacing w:val="0"/>
        <w:jc w:val="both"/>
        <w:rPr>
          <w:rFonts w:cs="Times New Roman"/>
          <w:sz w:val="22"/>
          <w:szCs w:val="22"/>
          <w:lang w:val="en-GB"/>
        </w:rPr>
      </w:pPr>
      <w:r w:rsidRPr="009668F5">
        <w:rPr>
          <w:rFonts w:cs="Times New Roman"/>
          <w:sz w:val="22"/>
          <w:szCs w:val="22"/>
          <w:lang w:val="en-GB"/>
        </w:rPr>
        <w:t>Progr</w:t>
      </w:r>
      <w:r w:rsidR="006F38B5">
        <w:rPr>
          <w:rFonts w:cs="Times New Roman"/>
          <w:sz w:val="22"/>
          <w:szCs w:val="22"/>
          <w:lang w:val="en-GB"/>
        </w:rPr>
        <w:t>ammatic and institutional risks</w:t>
      </w:r>
      <w:r w:rsidRPr="009668F5">
        <w:rPr>
          <w:rFonts w:cs="Times New Roman"/>
          <w:sz w:val="22"/>
          <w:szCs w:val="22"/>
          <w:lang w:val="en-GB"/>
        </w:rPr>
        <w:t xml:space="preserve"> that include the potential for the programme to fail to achieve its objectives, the potential for the programme to cause harm in the external environment and ‘internal risks’ from the perspective of the EU/MA (</w:t>
      </w:r>
      <w:proofErr w:type="spellStart"/>
      <w:r w:rsidRPr="009668F5">
        <w:rPr>
          <w:rFonts w:cs="Times New Roman"/>
          <w:sz w:val="22"/>
          <w:szCs w:val="22"/>
          <w:lang w:val="en-GB"/>
        </w:rPr>
        <w:t>e.g</w:t>
      </w:r>
      <w:proofErr w:type="spellEnd"/>
      <w:r w:rsidRPr="009668F5">
        <w:rPr>
          <w:rFonts w:cs="Times New Roman"/>
          <w:sz w:val="22"/>
          <w:szCs w:val="22"/>
          <w:lang w:val="en-GB"/>
        </w:rPr>
        <w:t xml:space="preserve"> financial loss…)</w:t>
      </w:r>
    </w:p>
    <w:p w14:paraId="08C556AF" w14:textId="77777777" w:rsidR="00B26463" w:rsidRPr="00B26463" w:rsidRDefault="009668F5" w:rsidP="00B26463">
      <w:pPr>
        <w:spacing w:after="120" w:line="264" w:lineRule="auto"/>
        <w:jc w:val="both"/>
        <w:rPr>
          <w:sz w:val="22"/>
          <w:szCs w:val="22"/>
          <w:lang w:val="en-GB"/>
        </w:rPr>
      </w:pPr>
      <w:r w:rsidRPr="009668F5">
        <w:rPr>
          <w:sz w:val="22"/>
          <w:szCs w:val="22"/>
          <w:lang w:val="en-GB"/>
        </w:rPr>
        <w:t>In case of contextual risks, the programme management bodies have limited control over t</w:t>
      </w:r>
      <w:r w:rsidR="000666E5">
        <w:rPr>
          <w:sz w:val="22"/>
          <w:szCs w:val="22"/>
          <w:lang w:val="en-GB"/>
        </w:rPr>
        <w:t xml:space="preserve">he risk but </w:t>
      </w:r>
      <w:r w:rsidR="00B26463" w:rsidRPr="00B26463">
        <w:rPr>
          <w:sz w:val="22"/>
          <w:szCs w:val="22"/>
          <w:lang w:val="en-GB"/>
        </w:rPr>
        <w:t>still need to assess the adverse effect on the programme, monito</w:t>
      </w:r>
      <w:r w:rsidR="000666E5">
        <w:rPr>
          <w:sz w:val="22"/>
          <w:szCs w:val="22"/>
          <w:lang w:val="en-GB"/>
        </w:rPr>
        <w:t xml:space="preserve">r the relevant situation and </w:t>
      </w:r>
      <w:r w:rsidR="00056243">
        <w:rPr>
          <w:sz w:val="22"/>
          <w:szCs w:val="22"/>
          <w:lang w:val="en-GB"/>
        </w:rPr>
        <w:t xml:space="preserve">have a </w:t>
      </w:r>
      <w:r w:rsidR="00B26463" w:rsidRPr="00B26463">
        <w:rPr>
          <w:sz w:val="22"/>
          <w:szCs w:val="22"/>
          <w:lang w:val="en-GB"/>
        </w:rPr>
        <w:t>management plan put in place</w:t>
      </w:r>
      <w:r w:rsidR="00056243">
        <w:rPr>
          <w:sz w:val="22"/>
          <w:szCs w:val="22"/>
          <w:lang w:val="en-GB"/>
        </w:rPr>
        <w:t xml:space="preserve"> as possible</w:t>
      </w:r>
      <w:r w:rsidR="00B26463" w:rsidRPr="00B26463">
        <w:rPr>
          <w:sz w:val="22"/>
          <w:szCs w:val="22"/>
          <w:lang w:val="en-GB"/>
        </w:rPr>
        <w:t xml:space="preserve">. In case of programmatic and institutional risks relevant mitigation measures and a management plan may be put in place.   </w:t>
      </w:r>
    </w:p>
    <w:p w14:paraId="159B2C7A" w14:textId="77777777" w:rsidR="009668F5" w:rsidRPr="009668F5" w:rsidRDefault="009668F5" w:rsidP="00A17136">
      <w:pPr>
        <w:spacing w:after="120" w:line="264" w:lineRule="auto"/>
        <w:jc w:val="both"/>
        <w:rPr>
          <w:sz w:val="22"/>
          <w:szCs w:val="22"/>
          <w:lang w:val="en-GB"/>
        </w:rPr>
      </w:pPr>
      <w:r w:rsidRPr="009668F5">
        <w:rPr>
          <w:sz w:val="22"/>
          <w:szCs w:val="22"/>
          <w:lang w:val="en-GB"/>
        </w:rPr>
        <w:t xml:space="preserve">The risk management matrix </w:t>
      </w:r>
      <w:r w:rsidR="00CF13EF">
        <w:rPr>
          <w:sz w:val="22"/>
          <w:szCs w:val="22"/>
          <w:lang w:val="en-GB"/>
        </w:rPr>
        <w:t xml:space="preserve">presented </w:t>
      </w:r>
      <w:r w:rsidRPr="009668F5">
        <w:rPr>
          <w:sz w:val="22"/>
          <w:szCs w:val="22"/>
          <w:lang w:val="en-GB"/>
        </w:rPr>
        <w:t xml:space="preserve">below highlights main identified risks and the programme plans to manage </w:t>
      </w:r>
      <w:r w:rsidR="000D0083">
        <w:rPr>
          <w:sz w:val="22"/>
          <w:szCs w:val="22"/>
          <w:lang w:val="en-GB"/>
        </w:rPr>
        <w:t>or mitigate these</w:t>
      </w:r>
      <w:r w:rsidRPr="009668F5">
        <w:rPr>
          <w:sz w:val="22"/>
          <w:szCs w:val="22"/>
          <w:lang w:val="en-GB"/>
        </w:rPr>
        <w:t>. R</w:t>
      </w:r>
      <w:r w:rsidR="000D0083">
        <w:rPr>
          <w:sz w:val="22"/>
          <w:szCs w:val="22"/>
          <w:lang w:val="en-GB"/>
        </w:rPr>
        <w:t xml:space="preserve">isks have been identified </w:t>
      </w:r>
      <w:r w:rsidRPr="009668F5">
        <w:rPr>
          <w:sz w:val="22"/>
          <w:szCs w:val="22"/>
          <w:lang w:val="en-GB"/>
        </w:rPr>
        <w:t>notably</w:t>
      </w:r>
      <w:r w:rsidR="000D0083">
        <w:rPr>
          <w:sz w:val="22"/>
          <w:szCs w:val="22"/>
          <w:lang w:val="en-GB"/>
        </w:rPr>
        <w:t xml:space="preserve"> based</w:t>
      </w:r>
      <w:r w:rsidRPr="009668F5">
        <w:rPr>
          <w:sz w:val="22"/>
          <w:szCs w:val="22"/>
          <w:lang w:val="en-GB"/>
        </w:rPr>
        <w:t xml:space="preserve"> on the </w:t>
      </w:r>
      <w:r w:rsidR="000D0083">
        <w:rPr>
          <w:sz w:val="22"/>
          <w:szCs w:val="22"/>
          <w:lang w:val="en-GB"/>
        </w:rPr>
        <w:t>SWOT analysis and lessons learned</w:t>
      </w:r>
      <w:r w:rsidRPr="009668F5">
        <w:rPr>
          <w:sz w:val="22"/>
          <w:szCs w:val="22"/>
          <w:lang w:val="en-GB"/>
        </w:rPr>
        <w:t xml:space="preserve"> from the previou</w:t>
      </w:r>
      <w:r w:rsidR="000D0083">
        <w:rPr>
          <w:sz w:val="22"/>
          <w:szCs w:val="22"/>
          <w:lang w:val="en-GB"/>
        </w:rPr>
        <w:t>s (ENPI CBC) programming period</w:t>
      </w:r>
      <w:r w:rsidRPr="009668F5">
        <w:rPr>
          <w:sz w:val="22"/>
          <w:szCs w:val="22"/>
          <w:lang w:val="en-GB"/>
        </w:rPr>
        <w:t xml:space="preserve"> and are also linked to the programme intervention logic summed up in the logical framework. </w:t>
      </w:r>
    </w:p>
    <w:p w14:paraId="7D0600EF" w14:textId="77777777" w:rsidR="009668F5" w:rsidRDefault="009668F5" w:rsidP="00F674D6">
      <w:pPr>
        <w:spacing w:after="120" w:line="264" w:lineRule="auto"/>
        <w:jc w:val="both"/>
        <w:rPr>
          <w:sz w:val="22"/>
          <w:szCs w:val="22"/>
          <w:lang w:val="en-GB"/>
        </w:rPr>
      </w:pPr>
      <w:r w:rsidRPr="009668F5">
        <w:rPr>
          <w:sz w:val="22"/>
          <w:szCs w:val="22"/>
          <w:lang w:val="en-GB"/>
        </w:rPr>
        <w:t>As risk levels may evolve and new risks may emerge during programme implementation, the external environment will be monitored so to take action to mana</w:t>
      </w:r>
      <w:r w:rsidR="000D0083">
        <w:rPr>
          <w:sz w:val="22"/>
          <w:szCs w:val="22"/>
          <w:lang w:val="en-GB"/>
        </w:rPr>
        <w:t>ge or mitigate these risks when necessary and to the extent</w:t>
      </w:r>
      <w:r w:rsidRPr="009668F5">
        <w:rPr>
          <w:sz w:val="22"/>
          <w:szCs w:val="22"/>
          <w:lang w:val="en-GB"/>
        </w:rPr>
        <w:t xml:space="preserve"> possible. The pro</w:t>
      </w:r>
      <w:r w:rsidR="00C51899">
        <w:rPr>
          <w:sz w:val="22"/>
          <w:szCs w:val="22"/>
          <w:lang w:val="en-GB"/>
        </w:rPr>
        <w:t xml:space="preserve">gramme risk management matrix </w:t>
      </w:r>
      <w:r w:rsidRPr="009668F5">
        <w:rPr>
          <w:sz w:val="22"/>
          <w:szCs w:val="22"/>
          <w:lang w:val="en-GB"/>
        </w:rPr>
        <w:t>will therefore be subject to regular review and updating by the MA during programme implementation.</w:t>
      </w:r>
    </w:p>
    <w:p w14:paraId="6A5ECF00" w14:textId="77777777" w:rsidR="00D46FEE" w:rsidRDefault="00D46FEE" w:rsidP="00F674D6">
      <w:pPr>
        <w:spacing w:after="120" w:line="264" w:lineRule="auto"/>
        <w:jc w:val="both"/>
        <w:rPr>
          <w:sz w:val="22"/>
          <w:szCs w:val="22"/>
          <w:lang w:val="en-GB"/>
        </w:rPr>
      </w:pPr>
    </w:p>
    <w:p w14:paraId="52382EB5" w14:textId="77777777" w:rsidR="00F674D6" w:rsidRPr="009326D9" w:rsidRDefault="00F674D6" w:rsidP="00F674D6">
      <w:pPr>
        <w:spacing w:after="120" w:line="264" w:lineRule="auto"/>
        <w:jc w:val="both"/>
        <w:rPr>
          <w:sz w:val="8"/>
          <w:szCs w:val="8"/>
          <w:lang w:val="en-GB"/>
        </w:rPr>
      </w:pPr>
    </w:p>
    <w:tbl>
      <w:tblPr>
        <w:tblStyle w:val="LightGrid-Accent1"/>
        <w:tblW w:w="11023" w:type="dxa"/>
        <w:tblLayout w:type="fixed"/>
        <w:tblLook w:val="04A0" w:firstRow="1" w:lastRow="0" w:firstColumn="1" w:lastColumn="0" w:noHBand="0" w:noVBand="1"/>
      </w:tblPr>
      <w:tblGrid>
        <w:gridCol w:w="1968"/>
        <w:gridCol w:w="1826"/>
        <w:gridCol w:w="1276"/>
        <w:gridCol w:w="992"/>
        <w:gridCol w:w="3402"/>
        <w:gridCol w:w="1559"/>
      </w:tblGrid>
      <w:tr w:rsidR="002B1D54" w:rsidRPr="009106AA" w14:paraId="230154E4" w14:textId="77777777" w:rsidTr="001F7FD2">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968" w:type="dxa"/>
            <w:tcBorders>
              <w:right w:val="single" w:sz="4" w:space="0" w:color="FFFFFF" w:themeColor="background1"/>
            </w:tcBorders>
            <w:hideMark/>
          </w:tcPr>
          <w:p w14:paraId="5064AB52" w14:textId="77777777" w:rsidR="002B1D54" w:rsidRPr="004E68E8" w:rsidRDefault="002B1D54" w:rsidP="003615EB">
            <w:pPr>
              <w:rPr>
                <w:rFonts w:asciiTheme="minorHAnsi" w:eastAsia="Times New Roman" w:hAnsiTheme="minorHAnsi" w:cs="Times New Roman"/>
                <w:bCs w:val="0"/>
                <w:color w:val="000000"/>
                <w:sz w:val="20"/>
                <w:szCs w:val="20"/>
                <w:lang w:val="en-GB"/>
              </w:rPr>
            </w:pPr>
            <w:r w:rsidRPr="004E68E8">
              <w:rPr>
                <w:rFonts w:asciiTheme="minorHAnsi" w:eastAsia="Times New Roman" w:hAnsiTheme="minorHAnsi" w:cs="Times New Roman"/>
                <w:bCs w:val="0"/>
                <w:color w:val="000000"/>
                <w:sz w:val="20"/>
                <w:szCs w:val="20"/>
                <w:lang w:val="en-GB"/>
              </w:rPr>
              <w:t>Risk</w:t>
            </w:r>
          </w:p>
          <w:p w14:paraId="410D5343" w14:textId="77777777" w:rsidR="002B1D54" w:rsidRPr="004E68E8" w:rsidRDefault="002B1D54" w:rsidP="003615EB">
            <w:pPr>
              <w:rPr>
                <w:rFonts w:asciiTheme="minorHAnsi" w:eastAsia="Times New Roman" w:hAnsiTheme="minorHAnsi" w:cs="Times New Roman"/>
                <w:b w:val="0"/>
                <w:color w:val="000000"/>
                <w:sz w:val="20"/>
                <w:szCs w:val="20"/>
                <w:lang w:val="en-GB"/>
              </w:rPr>
            </w:pPr>
          </w:p>
        </w:tc>
        <w:tc>
          <w:tcPr>
            <w:tcW w:w="1826" w:type="dxa"/>
            <w:tcBorders>
              <w:left w:val="single" w:sz="4" w:space="0" w:color="FFFFFF" w:themeColor="background1"/>
            </w:tcBorders>
          </w:tcPr>
          <w:p w14:paraId="37400F73" w14:textId="77777777" w:rsidR="002B1D54" w:rsidRPr="00B14E1B"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B14E1B">
              <w:rPr>
                <w:rFonts w:asciiTheme="minorHAnsi" w:eastAsia="Times New Roman" w:hAnsiTheme="minorHAnsi" w:cs="Times New Roman"/>
                <w:bCs w:val="0"/>
                <w:color w:val="000000"/>
                <w:sz w:val="20"/>
                <w:szCs w:val="20"/>
                <w:lang w:val="en-GB"/>
              </w:rPr>
              <w:t>H: high</w:t>
            </w:r>
          </w:p>
          <w:p w14:paraId="2F9D8E03" w14:textId="77777777" w:rsidR="002B1D54" w:rsidRPr="00B14E1B"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B14E1B">
              <w:rPr>
                <w:rFonts w:asciiTheme="minorHAnsi" w:eastAsia="Times New Roman" w:hAnsiTheme="minorHAnsi" w:cs="Times New Roman"/>
                <w:bCs w:val="0"/>
                <w:color w:val="000000"/>
                <w:sz w:val="20"/>
                <w:szCs w:val="20"/>
                <w:lang w:val="en-GB"/>
              </w:rPr>
              <w:t>M: medium</w:t>
            </w:r>
          </w:p>
          <w:p w14:paraId="4A5DDDC2" w14:textId="77777777" w:rsidR="002B1D54" w:rsidRPr="000B084A"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B14E1B">
              <w:rPr>
                <w:rFonts w:asciiTheme="minorHAnsi" w:eastAsia="Times New Roman" w:hAnsiTheme="minorHAnsi" w:cs="Times New Roman"/>
                <w:bCs w:val="0"/>
                <w:color w:val="000000"/>
                <w:sz w:val="20"/>
                <w:szCs w:val="20"/>
                <w:lang w:val="en-GB"/>
              </w:rPr>
              <w:t>L: low</w:t>
            </w:r>
          </w:p>
        </w:tc>
        <w:tc>
          <w:tcPr>
            <w:tcW w:w="1276" w:type="dxa"/>
            <w:hideMark/>
          </w:tcPr>
          <w:p w14:paraId="0E113F0F"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Cs w:val="0"/>
                <w:color w:val="000000"/>
                <w:sz w:val="20"/>
                <w:szCs w:val="20"/>
                <w:lang w:val="en-GB"/>
              </w:rPr>
              <w:t xml:space="preserve">Likelihood </w:t>
            </w:r>
          </w:p>
          <w:p w14:paraId="46ACE549"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p>
        </w:tc>
        <w:tc>
          <w:tcPr>
            <w:tcW w:w="992" w:type="dxa"/>
            <w:hideMark/>
          </w:tcPr>
          <w:p w14:paraId="71E4FC41"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4E68E8">
              <w:rPr>
                <w:rFonts w:asciiTheme="minorHAnsi" w:eastAsia="Times New Roman" w:hAnsiTheme="minorHAnsi" w:cs="Times New Roman"/>
                <w:bCs w:val="0"/>
                <w:color w:val="000000"/>
                <w:sz w:val="20"/>
                <w:szCs w:val="20"/>
                <w:lang w:val="en-GB"/>
              </w:rPr>
              <w:t xml:space="preserve">Impact on BSB </w:t>
            </w:r>
            <w:proofErr w:type="spellStart"/>
            <w:r w:rsidRPr="004E68E8">
              <w:rPr>
                <w:rFonts w:asciiTheme="minorHAnsi" w:eastAsia="Times New Roman" w:hAnsiTheme="minorHAnsi" w:cs="Times New Roman"/>
                <w:bCs w:val="0"/>
                <w:color w:val="000000"/>
                <w:sz w:val="20"/>
                <w:szCs w:val="20"/>
                <w:lang w:val="en-GB"/>
              </w:rPr>
              <w:t>progr</w:t>
            </w:r>
            <w:proofErr w:type="spellEnd"/>
            <w:r w:rsidRPr="004E68E8">
              <w:rPr>
                <w:rFonts w:asciiTheme="minorHAnsi" w:eastAsia="Times New Roman" w:hAnsiTheme="minorHAnsi" w:cs="Times New Roman"/>
                <w:bCs w:val="0"/>
                <w:color w:val="000000"/>
                <w:sz w:val="20"/>
                <w:szCs w:val="20"/>
                <w:lang w:val="en-GB"/>
              </w:rPr>
              <w:t>.</w:t>
            </w:r>
          </w:p>
        </w:tc>
        <w:tc>
          <w:tcPr>
            <w:tcW w:w="3402" w:type="dxa"/>
            <w:hideMark/>
          </w:tcPr>
          <w:p w14:paraId="78AE488A"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4E68E8">
              <w:rPr>
                <w:rFonts w:asciiTheme="minorHAnsi" w:eastAsia="Times New Roman" w:hAnsiTheme="minorHAnsi" w:cs="Times New Roman"/>
                <w:bCs w:val="0"/>
                <w:color w:val="000000"/>
                <w:sz w:val="20"/>
                <w:szCs w:val="20"/>
                <w:lang w:val="en-GB"/>
              </w:rPr>
              <w:t>Management/mitigation measure if applicable</w:t>
            </w:r>
          </w:p>
        </w:tc>
        <w:tc>
          <w:tcPr>
            <w:tcW w:w="1559" w:type="dxa"/>
            <w:hideMark/>
          </w:tcPr>
          <w:p w14:paraId="5121CAF2"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r w:rsidRPr="004E68E8">
              <w:rPr>
                <w:rFonts w:asciiTheme="minorHAnsi" w:eastAsia="Times New Roman" w:hAnsiTheme="minorHAnsi" w:cs="Times New Roman"/>
                <w:bCs w:val="0"/>
                <w:color w:val="000000"/>
                <w:sz w:val="20"/>
                <w:szCs w:val="20"/>
                <w:lang w:val="en-GB"/>
              </w:rPr>
              <w:t>Responsibility if applicable</w:t>
            </w:r>
            <w:r w:rsidRPr="004E68E8">
              <w:rPr>
                <w:rStyle w:val="FootnoteReference"/>
                <w:rFonts w:asciiTheme="minorHAnsi" w:eastAsia="Times New Roman" w:hAnsiTheme="minorHAnsi" w:cs="Times New Roman"/>
                <w:bCs w:val="0"/>
                <w:color w:val="000000"/>
                <w:sz w:val="20"/>
                <w:szCs w:val="20"/>
                <w:lang w:val="en-GB"/>
              </w:rPr>
              <w:footnoteReference w:id="66"/>
            </w:r>
          </w:p>
          <w:p w14:paraId="187386A6" w14:textId="77777777" w:rsidR="002B1D54" w:rsidRPr="004E68E8" w:rsidRDefault="002B1D54" w:rsidP="003615EB">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Cs w:val="0"/>
                <w:color w:val="000000"/>
                <w:sz w:val="20"/>
                <w:szCs w:val="20"/>
                <w:lang w:val="en-GB"/>
              </w:rPr>
            </w:pPr>
          </w:p>
        </w:tc>
      </w:tr>
      <w:tr w:rsidR="009668F5" w:rsidRPr="009106AA" w14:paraId="13BD5507" w14:textId="77777777" w:rsidTr="00F67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3" w:type="dxa"/>
            <w:gridSpan w:val="6"/>
            <w:noWrap/>
            <w:hideMark/>
          </w:tcPr>
          <w:p w14:paraId="0522665B" w14:textId="77777777" w:rsidR="009668F5" w:rsidRPr="004E68E8" w:rsidRDefault="009668F5" w:rsidP="003615EB">
            <w:pPr>
              <w:rPr>
                <w:rFonts w:asciiTheme="minorHAnsi" w:eastAsia="Times New Roman" w:hAnsiTheme="minorHAnsi" w:cs="Times New Roman"/>
                <w:color w:val="000000"/>
                <w:sz w:val="20"/>
                <w:szCs w:val="20"/>
                <w:lang w:val="en-GB"/>
              </w:rPr>
            </w:pPr>
            <w:r w:rsidRPr="004E68E8">
              <w:rPr>
                <w:rFonts w:asciiTheme="minorHAnsi" w:eastAsia="Times New Roman" w:hAnsiTheme="minorHAnsi" w:cs="Times New Roman"/>
                <w:bCs w:val="0"/>
                <w:color w:val="000000"/>
                <w:sz w:val="20"/>
                <w:szCs w:val="20"/>
                <w:lang w:val="en-GB"/>
              </w:rPr>
              <w:t xml:space="preserve">Contextual Risks </w:t>
            </w:r>
          </w:p>
        </w:tc>
      </w:tr>
      <w:tr w:rsidR="00F674D6" w:rsidRPr="007F5FC2" w14:paraId="5C66C9A7" w14:textId="77777777" w:rsidTr="001F7FD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hideMark/>
          </w:tcPr>
          <w:p w14:paraId="6173A836" w14:textId="77777777" w:rsidR="009668F5" w:rsidRPr="004E68E8" w:rsidRDefault="009668F5" w:rsidP="003615EB">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 xml:space="preserve">Lack of political commitment </w:t>
            </w:r>
            <w:r w:rsidR="00107197" w:rsidRPr="004E68E8">
              <w:rPr>
                <w:rFonts w:asciiTheme="minorHAnsi" w:eastAsia="Times New Roman" w:hAnsiTheme="minorHAnsi" w:cs="Times New Roman"/>
                <w:b w:val="0"/>
                <w:color w:val="000000"/>
                <w:sz w:val="20"/>
                <w:szCs w:val="20"/>
                <w:lang w:val="en-GB"/>
              </w:rPr>
              <w:t>by some eligible countries to participate in the BSB programme</w:t>
            </w:r>
          </w:p>
        </w:tc>
        <w:tc>
          <w:tcPr>
            <w:tcW w:w="1276" w:type="dxa"/>
            <w:hideMark/>
          </w:tcPr>
          <w:p w14:paraId="2D090213"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H</w:t>
            </w:r>
          </w:p>
        </w:tc>
        <w:tc>
          <w:tcPr>
            <w:tcW w:w="992" w:type="dxa"/>
            <w:hideMark/>
          </w:tcPr>
          <w:p w14:paraId="4DA1604E"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 M</w:t>
            </w:r>
          </w:p>
        </w:tc>
        <w:tc>
          <w:tcPr>
            <w:tcW w:w="3402" w:type="dxa"/>
            <w:hideMark/>
          </w:tcPr>
          <w:p w14:paraId="42F85C2A" w14:textId="77777777" w:rsidR="009668F5" w:rsidRPr="004E68E8" w:rsidRDefault="009668F5" w:rsidP="00921EE2">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xml:space="preserve">The programme is still presented for adoption by the EC and will </w:t>
            </w:r>
            <w:r w:rsidR="00921EE2" w:rsidRPr="004E68E8">
              <w:rPr>
                <w:rFonts w:eastAsia="Times New Roman" w:cs="Times New Roman"/>
                <w:color w:val="000000"/>
                <w:sz w:val="20"/>
                <w:szCs w:val="20"/>
                <w:lang w:val="en-GB"/>
              </w:rPr>
              <w:t xml:space="preserve">only be implemented in those countries which have made the necessary formal commitment </w:t>
            </w:r>
            <w:r w:rsidRPr="004E68E8">
              <w:rPr>
                <w:rStyle w:val="FootnoteReference"/>
                <w:rFonts w:eastAsia="Times New Roman" w:cs="Times New Roman"/>
                <w:color w:val="000000"/>
                <w:sz w:val="20"/>
                <w:szCs w:val="20"/>
                <w:lang w:val="en-GB"/>
              </w:rPr>
              <w:footnoteReference w:id="67"/>
            </w:r>
          </w:p>
        </w:tc>
        <w:tc>
          <w:tcPr>
            <w:tcW w:w="1559" w:type="dxa"/>
            <w:hideMark/>
          </w:tcPr>
          <w:p w14:paraId="4CF48A34"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 MA, JPC, EC</w:t>
            </w:r>
          </w:p>
        </w:tc>
      </w:tr>
      <w:tr w:rsidR="009106AA" w:rsidRPr="009106AA" w14:paraId="24EB1ECF" w14:textId="77777777" w:rsidTr="001F7F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hideMark/>
          </w:tcPr>
          <w:p w14:paraId="6E52E08F" w14:textId="77777777" w:rsidR="009668F5" w:rsidRPr="004E68E8" w:rsidRDefault="009668F5" w:rsidP="003615EB">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Cross-border cooperation is hampered by</w:t>
            </w:r>
            <w:r w:rsidR="003615EB" w:rsidRPr="004E68E8">
              <w:rPr>
                <w:rFonts w:asciiTheme="minorHAnsi" w:eastAsia="Times New Roman" w:hAnsiTheme="minorHAnsi" w:cs="Times New Roman"/>
                <w:b w:val="0"/>
                <w:color w:val="000000"/>
                <w:sz w:val="20"/>
                <w:szCs w:val="20"/>
                <w:lang w:val="en-GB"/>
              </w:rPr>
              <w:t xml:space="preserve"> an</w:t>
            </w:r>
            <w:r w:rsidRPr="004E68E8">
              <w:rPr>
                <w:rFonts w:asciiTheme="minorHAnsi" w:eastAsia="Times New Roman" w:hAnsiTheme="minorHAnsi" w:cs="Times New Roman"/>
                <w:b w:val="0"/>
                <w:color w:val="000000"/>
                <w:sz w:val="20"/>
                <w:szCs w:val="20"/>
                <w:lang w:val="en-GB"/>
              </w:rPr>
              <w:t xml:space="preserve"> unstable political situation in some regions and</w:t>
            </w:r>
            <w:r w:rsidR="003615EB" w:rsidRPr="004E68E8">
              <w:rPr>
                <w:rFonts w:asciiTheme="minorHAnsi" w:eastAsia="Times New Roman" w:hAnsiTheme="minorHAnsi" w:cs="Times New Roman"/>
                <w:b w:val="0"/>
                <w:color w:val="000000"/>
                <w:sz w:val="20"/>
                <w:szCs w:val="20"/>
                <w:lang w:val="en-GB"/>
              </w:rPr>
              <w:t>/or</w:t>
            </w:r>
            <w:r w:rsidRPr="004E68E8">
              <w:rPr>
                <w:rFonts w:asciiTheme="minorHAnsi" w:eastAsia="Times New Roman" w:hAnsiTheme="minorHAnsi" w:cs="Times New Roman"/>
                <w:b w:val="0"/>
                <w:color w:val="000000"/>
                <w:sz w:val="20"/>
                <w:szCs w:val="20"/>
                <w:lang w:val="en-GB"/>
              </w:rPr>
              <w:t xml:space="preserve"> by regional conflicts </w:t>
            </w:r>
          </w:p>
        </w:tc>
        <w:tc>
          <w:tcPr>
            <w:tcW w:w="1276" w:type="dxa"/>
            <w:hideMark/>
          </w:tcPr>
          <w:p w14:paraId="7C7DC66E"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H </w:t>
            </w:r>
          </w:p>
        </w:tc>
        <w:tc>
          <w:tcPr>
            <w:tcW w:w="992" w:type="dxa"/>
            <w:hideMark/>
          </w:tcPr>
          <w:p w14:paraId="00326D2A"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 </w:t>
            </w:r>
          </w:p>
        </w:tc>
        <w:tc>
          <w:tcPr>
            <w:tcW w:w="3402" w:type="dxa"/>
            <w:hideMark/>
          </w:tcPr>
          <w:p w14:paraId="299299D5"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xml:space="preserve">Eligibility of some regions may be suspended, transfer of funds </w:t>
            </w:r>
            <w:r w:rsidR="008F75F7">
              <w:rPr>
                <w:rFonts w:eastAsia="Times New Roman" w:cs="Times New Roman"/>
                <w:color w:val="000000"/>
                <w:sz w:val="20"/>
                <w:szCs w:val="20"/>
                <w:lang w:val="en-GB"/>
              </w:rPr>
              <w:t xml:space="preserve">to some regions </w:t>
            </w:r>
            <w:r w:rsidRPr="004E68E8">
              <w:rPr>
                <w:rFonts w:eastAsia="Times New Roman" w:cs="Times New Roman"/>
                <w:color w:val="000000"/>
                <w:sz w:val="20"/>
                <w:szCs w:val="20"/>
                <w:lang w:val="en-GB"/>
              </w:rPr>
              <w:t>may be suspended</w:t>
            </w:r>
          </w:p>
        </w:tc>
        <w:tc>
          <w:tcPr>
            <w:tcW w:w="1559" w:type="dxa"/>
            <w:hideMark/>
          </w:tcPr>
          <w:p w14:paraId="78245559"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 EC, MA, NA</w:t>
            </w:r>
          </w:p>
        </w:tc>
      </w:tr>
      <w:tr w:rsidR="00F674D6" w:rsidRPr="009106AA" w14:paraId="7804BE99" w14:textId="77777777" w:rsidTr="001F7FD2">
        <w:trPr>
          <w:cnfStyle w:val="000000010000" w:firstRow="0" w:lastRow="0" w:firstColumn="0" w:lastColumn="0" w:oddVBand="0" w:evenVBand="0" w:oddHBand="0" w:evenHBand="1"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794" w:type="dxa"/>
            <w:gridSpan w:val="2"/>
          </w:tcPr>
          <w:p w14:paraId="6B09BF31" w14:textId="77777777" w:rsidR="009668F5" w:rsidRPr="004E68E8" w:rsidRDefault="00BF7AB2" w:rsidP="003615EB">
            <w:pPr>
              <w:spacing w:after="20"/>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EU sluggish growth</w:t>
            </w:r>
            <w:r w:rsidR="009668F5" w:rsidRPr="004E68E8">
              <w:rPr>
                <w:rFonts w:asciiTheme="minorHAnsi" w:eastAsia="Times New Roman" w:hAnsiTheme="minorHAnsi" w:cs="Times New Roman"/>
                <w:b w:val="0"/>
                <w:color w:val="000000"/>
                <w:sz w:val="20"/>
                <w:szCs w:val="20"/>
                <w:lang w:val="en-GB"/>
              </w:rPr>
              <w:t xml:space="preserve"> and continuing problems emanating from the debt crisis limit further economic recovery in BSB and development of business and entrepreneurship</w:t>
            </w:r>
          </w:p>
        </w:tc>
        <w:tc>
          <w:tcPr>
            <w:tcW w:w="1276" w:type="dxa"/>
          </w:tcPr>
          <w:p w14:paraId="6FF8AC64"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w:t>
            </w:r>
          </w:p>
        </w:tc>
        <w:tc>
          <w:tcPr>
            <w:tcW w:w="992" w:type="dxa"/>
          </w:tcPr>
          <w:p w14:paraId="31FA6041"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L</w:t>
            </w:r>
          </w:p>
        </w:tc>
        <w:tc>
          <w:tcPr>
            <w:tcW w:w="3402" w:type="dxa"/>
          </w:tcPr>
          <w:p w14:paraId="6D4B750D"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p>
        </w:tc>
        <w:tc>
          <w:tcPr>
            <w:tcW w:w="1559" w:type="dxa"/>
          </w:tcPr>
          <w:p w14:paraId="02D672F4"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p>
        </w:tc>
      </w:tr>
      <w:tr w:rsidR="009668F5" w:rsidRPr="009106AA" w14:paraId="48F27F74" w14:textId="77777777" w:rsidTr="00F674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23" w:type="dxa"/>
            <w:gridSpan w:val="6"/>
            <w:noWrap/>
            <w:hideMark/>
          </w:tcPr>
          <w:p w14:paraId="6910EA1E" w14:textId="77777777" w:rsidR="009668F5" w:rsidRPr="004E68E8" w:rsidRDefault="009668F5" w:rsidP="003615EB">
            <w:pPr>
              <w:rPr>
                <w:rFonts w:asciiTheme="minorHAnsi" w:eastAsia="Times New Roman" w:hAnsiTheme="minorHAnsi" w:cs="Times New Roman"/>
                <w:bCs w:val="0"/>
                <w:color w:val="000000"/>
                <w:sz w:val="20"/>
                <w:szCs w:val="20"/>
                <w:lang w:val="en-GB"/>
              </w:rPr>
            </w:pPr>
            <w:r w:rsidRPr="004E68E8">
              <w:rPr>
                <w:rFonts w:asciiTheme="minorHAnsi" w:eastAsia="Times New Roman" w:hAnsiTheme="minorHAnsi" w:cs="Times New Roman"/>
                <w:bCs w:val="0"/>
                <w:color w:val="000000"/>
                <w:sz w:val="20"/>
                <w:szCs w:val="20"/>
                <w:lang w:val="en-GB"/>
              </w:rPr>
              <w:lastRenderedPageBreak/>
              <w:t xml:space="preserve">Programmatic and Institutional Risks </w:t>
            </w:r>
          </w:p>
        </w:tc>
      </w:tr>
      <w:tr w:rsidR="00F674D6" w:rsidRPr="00B71347" w14:paraId="67AD142A" w14:textId="77777777" w:rsidTr="001F7FD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tcPr>
          <w:p w14:paraId="1A1056F7" w14:textId="77777777" w:rsidR="009668F5" w:rsidRPr="004E68E8" w:rsidRDefault="009668F5" w:rsidP="003615EB">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 xml:space="preserve">ENI CBC new management and implementation </w:t>
            </w:r>
            <w:r w:rsidR="00BF7AB2" w:rsidRPr="004E68E8">
              <w:rPr>
                <w:rFonts w:asciiTheme="minorHAnsi" w:eastAsia="Times New Roman" w:hAnsiTheme="minorHAnsi" w:cs="Times New Roman"/>
                <w:b w:val="0"/>
                <w:color w:val="000000"/>
                <w:sz w:val="20"/>
                <w:szCs w:val="20"/>
                <w:lang w:val="en-GB"/>
              </w:rPr>
              <w:t>modalities result in delays in programme start-up and implementation</w:t>
            </w:r>
          </w:p>
        </w:tc>
        <w:tc>
          <w:tcPr>
            <w:tcW w:w="1276" w:type="dxa"/>
          </w:tcPr>
          <w:p w14:paraId="7FE502B1"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H</w:t>
            </w:r>
          </w:p>
        </w:tc>
        <w:tc>
          <w:tcPr>
            <w:tcW w:w="992" w:type="dxa"/>
          </w:tcPr>
          <w:p w14:paraId="0FA52CA6"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w:t>
            </w:r>
          </w:p>
        </w:tc>
        <w:tc>
          <w:tcPr>
            <w:tcW w:w="3402" w:type="dxa"/>
          </w:tcPr>
          <w:p w14:paraId="4EAEA8F5"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xml:space="preserve">Identify </w:t>
            </w:r>
            <w:r w:rsidR="00BF7AB2" w:rsidRPr="004E68E8">
              <w:rPr>
                <w:rFonts w:eastAsia="Times New Roman" w:cs="Times New Roman"/>
                <w:color w:val="000000"/>
                <w:sz w:val="20"/>
                <w:szCs w:val="20"/>
                <w:lang w:val="en-GB"/>
              </w:rPr>
              <w:t>potential bottlenecks, then enhance capacity, ensure sufficient resources and/or support adaptation of procedures as needed to speed up programme implementation</w:t>
            </w:r>
          </w:p>
        </w:tc>
        <w:tc>
          <w:tcPr>
            <w:tcW w:w="1559" w:type="dxa"/>
          </w:tcPr>
          <w:p w14:paraId="1D9491E1" w14:textId="77777777" w:rsidR="009668F5" w:rsidRPr="00C619D3" w:rsidRDefault="000863DE" w:rsidP="003615EB">
            <w:pPr>
              <w:spacing w:after="240" w:line="276" w:lineRule="auto"/>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pl-PL"/>
              </w:rPr>
            </w:pPr>
            <w:r w:rsidRPr="00C619D3">
              <w:rPr>
                <w:rFonts w:eastAsia="Times New Roman" w:cs="Times New Roman"/>
                <w:bCs/>
                <w:color w:val="000000"/>
                <w:sz w:val="20"/>
                <w:szCs w:val="20"/>
                <w:lang w:val="pl-PL"/>
              </w:rPr>
              <w:t xml:space="preserve">AA, </w:t>
            </w:r>
            <w:r w:rsidR="00F9757C" w:rsidRPr="00C619D3">
              <w:rPr>
                <w:rFonts w:eastAsia="Times New Roman" w:cs="Times New Roman"/>
                <w:bCs/>
                <w:color w:val="000000"/>
                <w:sz w:val="20"/>
                <w:szCs w:val="20"/>
                <w:lang w:val="pl-PL"/>
              </w:rPr>
              <w:t xml:space="preserve">JMC, </w:t>
            </w:r>
            <w:r w:rsidR="009668F5" w:rsidRPr="00C619D3">
              <w:rPr>
                <w:rFonts w:eastAsia="Times New Roman" w:cs="Times New Roman"/>
                <w:bCs/>
                <w:color w:val="000000"/>
                <w:sz w:val="20"/>
                <w:szCs w:val="20"/>
                <w:lang w:val="pl-PL"/>
              </w:rPr>
              <w:t xml:space="preserve">MA, JTS, </w:t>
            </w:r>
            <w:r w:rsidR="00BF7AB2" w:rsidRPr="00C619D3">
              <w:rPr>
                <w:rFonts w:eastAsia="Times New Roman" w:cs="Times New Roman"/>
                <w:bCs/>
                <w:color w:val="000000"/>
                <w:sz w:val="20"/>
                <w:szCs w:val="20"/>
                <w:lang w:val="pl-PL"/>
              </w:rPr>
              <w:t xml:space="preserve">NA, </w:t>
            </w:r>
            <w:r w:rsidR="00C47793" w:rsidRPr="00C619D3">
              <w:rPr>
                <w:rFonts w:eastAsia="Times New Roman" w:cs="Times New Roman"/>
                <w:bCs/>
                <w:color w:val="000000"/>
                <w:sz w:val="20"/>
                <w:szCs w:val="20"/>
                <w:lang w:val="pl-PL"/>
              </w:rPr>
              <w:t>EC</w:t>
            </w:r>
          </w:p>
        </w:tc>
      </w:tr>
      <w:tr w:rsidR="009106AA" w:rsidRPr="009106AA" w14:paraId="64EB9D38" w14:textId="77777777" w:rsidTr="001F7F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hideMark/>
          </w:tcPr>
          <w:p w14:paraId="75EB8EA2" w14:textId="77777777" w:rsidR="009668F5" w:rsidRPr="004E68E8" w:rsidRDefault="009668F5" w:rsidP="00265A86">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Decreasing interest</w:t>
            </w:r>
            <w:r w:rsidR="00265A86" w:rsidRPr="004E68E8">
              <w:rPr>
                <w:rFonts w:asciiTheme="minorHAnsi" w:eastAsia="Times New Roman" w:hAnsiTheme="minorHAnsi" w:cs="Times New Roman"/>
                <w:b w:val="0"/>
                <w:color w:val="000000"/>
                <w:sz w:val="20"/>
                <w:szCs w:val="20"/>
                <w:lang w:val="en-GB"/>
              </w:rPr>
              <w:t xml:space="preserve"> from applicants in ENI CBC </w:t>
            </w:r>
            <w:r w:rsidRPr="004E68E8">
              <w:rPr>
                <w:rFonts w:asciiTheme="minorHAnsi" w:eastAsia="Times New Roman" w:hAnsiTheme="minorHAnsi" w:cs="Times New Roman"/>
                <w:b w:val="0"/>
                <w:color w:val="000000"/>
                <w:sz w:val="20"/>
                <w:szCs w:val="20"/>
                <w:lang w:val="en-GB"/>
              </w:rPr>
              <w:t>because of lengthy procedures for selection/contracting and grant payment</w:t>
            </w:r>
          </w:p>
        </w:tc>
        <w:tc>
          <w:tcPr>
            <w:tcW w:w="1276" w:type="dxa"/>
            <w:hideMark/>
          </w:tcPr>
          <w:p w14:paraId="68CBD4F6" w14:textId="77777777" w:rsidR="009668F5" w:rsidRPr="004E68E8" w:rsidRDefault="00265A86"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 L</w:t>
            </w:r>
          </w:p>
        </w:tc>
        <w:tc>
          <w:tcPr>
            <w:tcW w:w="992" w:type="dxa"/>
            <w:hideMark/>
          </w:tcPr>
          <w:p w14:paraId="6EB5C1CC"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L  </w:t>
            </w:r>
          </w:p>
        </w:tc>
        <w:tc>
          <w:tcPr>
            <w:tcW w:w="3402" w:type="dxa"/>
            <w:hideMark/>
          </w:tcPr>
          <w:p w14:paraId="4DD8A68B" w14:textId="77777777" w:rsidR="009668F5" w:rsidRPr="004E68E8" w:rsidRDefault="00914D6C"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More efficient</w:t>
            </w:r>
            <w:r w:rsidR="009668F5" w:rsidRPr="004E68E8">
              <w:rPr>
                <w:rFonts w:eastAsia="Times New Roman" w:cs="Times New Roman"/>
                <w:color w:val="000000"/>
                <w:sz w:val="20"/>
                <w:szCs w:val="20"/>
                <w:lang w:val="en-GB"/>
              </w:rPr>
              <w:t xml:space="preserve"> and timely procedures are put in place </w:t>
            </w:r>
          </w:p>
        </w:tc>
        <w:tc>
          <w:tcPr>
            <w:tcW w:w="1559" w:type="dxa"/>
            <w:hideMark/>
          </w:tcPr>
          <w:p w14:paraId="0B7A1105"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MA, JTS, JMC</w:t>
            </w:r>
          </w:p>
        </w:tc>
      </w:tr>
      <w:tr w:rsidR="00F674D6" w:rsidRPr="009106AA" w14:paraId="3C002313" w14:textId="77777777" w:rsidTr="001F7FD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tcPr>
          <w:p w14:paraId="3DFB5439" w14:textId="77777777" w:rsidR="009668F5" w:rsidRPr="004E68E8" w:rsidRDefault="009668F5" w:rsidP="003615EB">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Difficulties in finding partners limits countries balanced participation in the programme</w:t>
            </w:r>
          </w:p>
        </w:tc>
        <w:tc>
          <w:tcPr>
            <w:tcW w:w="1276" w:type="dxa"/>
          </w:tcPr>
          <w:p w14:paraId="6DDAD13E"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M</w:t>
            </w:r>
          </w:p>
        </w:tc>
        <w:tc>
          <w:tcPr>
            <w:tcW w:w="992" w:type="dxa"/>
          </w:tcPr>
          <w:p w14:paraId="7E9A1CC0"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L</w:t>
            </w:r>
          </w:p>
        </w:tc>
        <w:tc>
          <w:tcPr>
            <w:tcW w:w="3402" w:type="dxa"/>
          </w:tcPr>
          <w:p w14:paraId="794DDADF"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xml:space="preserve">Provide improved partner search tools and opportunities </w:t>
            </w:r>
          </w:p>
        </w:tc>
        <w:tc>
          <w:tcPr>
            <w:tcW w:w="1559" w:type="dxa"/>
          </w:tcPr>
          <w:p w14:paraId="3AD29738" w14:textId="77777777" w:rsidR="009668F5" w:rsidRPr="004E68E8" w:rsidRDefault="009668F5"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MA, JTS, NA</w:t>
            </w:r>
          </w:p>
        </w:tc>
      </w:tr>
      <w:tr w:rsidR="009106AA" w:rsidRPr="009106AA" w14:paraId="1FB6126E" w14:textId="77777777" w:rsidTr="001F7F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hideMark/>
          </w:tcPr>
          <w:p w14:paraId="6C4E60AC" w14:textId="77777777" w:rsidR="009668F5" w:rsidRPr="002C30C5" w:rsidRDefault="009668F5" w:rsidP="003615EB">
            <w:pPr>
              <w:rPr>
                <w:rFonts w:asciiTheme="minorHAnsi" w:eastAsia="Times New Roman" w:hAnsiTheme="minorHAnsi" w:cs="Times New Roman"/>
                <w:b w:val="0"/>
                <w:color w:val="000000"/>
                <w:sz w:val="20"/>
                <w:szCs w:val="20"/>
                <w:lang w:val="en-GB"/>
              </w:rPr>
            </w:pPr>
            <w:r w:rsidRPr="002C30C5">
              <w:rPr>
                <w:rFonts w:asciiTheme="minorHAnsi" w:eastAsia="Times New Roman" w:hAnsiTheme="minorHAnsi" w:cs="Times New Roman"/>
                <w:b w:val="0"/>
                <w:color w:val="000000"/>
                <w:sz w:val="20"/>
                <w:szCs w:val="20"/>
                <w:lang w:val="en-GB"/>
              </w:rPr>
              <w:t>Limited capacity</w:t>
            </w:r>
            <w:r w:rsidR="00240774" w:rsidRPr="002C30C5">
              <w:rPr>
                <w:rFonts w:asciiTheme="minorHAnsi" w:eastAsia="Times New Roman" w:hAnsiTheme="minorHAnsi" w:cs="Times New Roman"/>
                <w:b w:val="0"/>
                <w:color w:val="000000"/>
                <w:sz w:val="20"/>
                <w:szCs w:val="20"/>
                <w:lang w:val="en-GB"/>
              </w:rPr>
              <w:t xml:space="preserve"> (including financial)</w:t>
            </w:r>
            <w:r w:rsidRPr="002C30C5">
              <w:rPr>
                <w:rFonts w:asciiTheme="minorHAnsi" w:eastAsia="Times New Roman" w:hAnsiTheme="minorHAnsi" w:cs="Times New Roman"/>
                <w:b w:val="0"/>
                <w:color w:val="000000"/>
                <w:sz w:val="20"/>
                <w:szCs w:val="20"/>
                <w:lang w:val="en-GB"/>
              </w:rPr>
              <w:t xml:space="preserve"> of project partners hampers project implementation</w:t>
            </w:r>
          </w:p>
        </w:tc>
        <w:tc>
          <w:tcPr>
            <w:tcW w:w="1276" w:type="dxa"/>
            <w:hideMark/>
          </w:tcPr>
          <w:p w14:paraId="15DF9F59" w14:textId="77777777" w:rsidR="009668F5" w:rsidRPr="002C30C5"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GB"/>
              </w:rPr>
            </w:pPr>
            <w:r w:rsidRPr="002C30C5">
              <w:rPr>
                <w:rFonts w:eastAsia="Times New Roman" w:cs="Times New Roman"/>
                <w:color w:val="000000"/>
                <w:sz w:val="20"/>
                <w:szCs w:val="20"/>
                <w:lang w:val="en-GB"/>
              </w:rPr>
              <w:t> M</w:t>
            </w:r>
          </w:p>
        </w:tc>
        <w:tc>
          <w:tcPr>
            <w:tcW w:w="992" w:type="dxa"/>
            <w:hideMark/>
          </w:tcPr>
          <w:p w14:paraId="3EF0CC5C" w14:textId="77777777" w:rsidR="009668F5" w:rsidRPr="002C30C5"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2C30C5">
              <w:rPr>
                <w:rFonts w:eastAsia="Times New Roman" w:cs="Times New Roman"/>
                <w:bCs/>
                <w:color w:val="000000"/>
                <w:sz w:val="20"/>
                <w:szCs w:val="20"/>
                <w:lang w:val="en-GB"/>
              </w:rPr>
              <w:t>L</w:t>
            </w:r>
          </w:p>
        </w:tc>
        <w:tc>
          <w:tcPr>
            <w:tcW w:w="3402" w:type="dxa"/>
            <w:hideMark/>
          </w:tcPr>
          <w:p w14:paraId="36DCB3A6" w14:textId="77777777" w:rsidR="009668F5" w:rsidRPr="002C30C5" w:rsidRDefault="00240774" w:rsidP="00D0786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GB"/>
              </w:rPr>
            </w:pPr>
            <w:r w:rsidRPr="002C30C5">
              <w:rPr>
                <w:rFonts w:eastAsia="Times New Roman" w:cs="Times New Roman"/>
                <w:color w:val="000000"/>
                <w:sz w:val="20"/>
                <w:szCs w:val="20"/>
                <w:lang w:val="en-GB"/>
              </w:rPr>
              <w:t>C</w:t>
            </w:r>
            <w:r w:rsidR="00630A48" w:rsidRPr="002C30C5">
              <w:rPr>
                <w:rFonts w:eastAsia="Times New Roman" w:cs="Times New Roman"/>
                <w:color w:val="000000"/>
                <w:sz w:val="20"/>
                <w:szCs w:val="20"/>
                <w:lang w:val="en-GB"/>
              </w:rPr>
              <w:t>ommunication</w:t>
            </w:r>
            <w:r w:rsidRPr="002C30C5">
              <w:rPr>
                <w:rFonts w:eastAsia="Times New Roman" w:cs="Times New Roman"/>
                <w:color w:val="000000"/>
                <w:sz w:val="20"/>
                <w:szCs w:val="20"/>
                <w:lang w:val="en-GB"/>
              </w:rPr>
              <w:t xml:space="preserve"> is</w:t>
            </w:r>
            <w:r w:rsidR="00630A48" w:rsidRPr="002C30C5">
              <w:rPr>
                <w:rFonts w:eastAsia="Times New Roman" w:cs="Times New Roman"/>
                <w:color w:val="000000"/>
                <w:sz w:val="20"/>
                <w:szCs w:val="20"/>
                <w:lang w:val="en-GB"/>
              </w:rPr>
              <w:t xml:space="preserve"> strengthen</w:t>
            </w:r>
            <w:r w:rsidRPr="002C30C5">
              <w:rPr>
                <w:rFonts w:eastAsia="Times New Roman" w:cs="Times New Roman"/>
                <w:color w:val="000000"/>
                <w:sz w:val="20"/>
                <w:szCs w:val="20"/>
                <w:lang w:val="en-GB"/>
              </w:rPr>
              <w:t>ed</w:t>
            </w:r>
            <w:r w:rsidR="00E50D43" w:rsidRPr="002C30C5">
              <w:rPr>
                <w:rFonts w:eastAsia="Times New Roman" w:cs="Times New Roman"/>
                <w:color w:val="000000"/>
                <w:sz w:val="20"/>
                <w:szCs w:val="20"/>
                <w:lang w:val="en-GB"/>
              </w:rPr>
              <w:t xml:space="preserve"> and additional t</w:t>
            </w:r>
            <w:r w:rsidR="009668F5" w:rsidRPr="002C30C5">
              <w:rPr>
                <w:rFonts w:eastAsia="Times New Roman" w:cs="Times New Roman"/>
                <w:color w:val="000000"/>
                <w:sz w:val="20"/>
                <w:szCs w:val="20"/>
                <w:lang w:val="en-GB"/>
              </w:rPr>
              <w:t>rainings are provided to enhance project management capacity of partners</w:t>
            </w:r>
            <w:r w:rsidRPr="002C30C5">
              <w:rPr>
                <w:rFonts w:eastAsia="Times New Roman" w:cs="Times New Roman"/>
                <w:color w:val="000000"/>
                <w:sz w:val="20"/>
                <w:szCs w:val="20"/>
                <w:lang w:val="en-GB"/>
              </w:rPr>
              <w:t xml:space="preserve">, </w:t>
            </w:r>
            <w:r w:rsidR="00027113" w:rsidRPr="002C30C5">
              <w:rPr>
                <w:rFonts w:eastAsia="Times New Roman" w:cs="Times New Roman"/>
                <w:color w:val="000000"/>
                <w:sz w:val="20"/>
                <w:szCs w:val="20"/>
                <w:lang w:val="en-GB"/>
              </w:rPr>
              <w:t xml:space="preserve">project </w:t>
            </w:r>
            <w:r w:rsidRPr="002C30C5">
              <w:rPr>
                <w:rFonts w:eastAsia="Times New Roman" w:cs="Times New Roman"/>
                <w:color w:val="000000"/>
                <w:sz w:val="20"/>
                <w:szCs w:val="20"/>
                <w:lang w:val="en-GB"/>
              </w:rPr>
              <w:t xml:space="preserve">co-financing </w:t>
            </w:r>
            <w:r w:rsidR="0035573F" w:rsidRPr="002C30C5">
              <w:rPr>
                <w:rFonts w:eastAsia="Times New Roman" w:cs="Times New Roman"/>
                <w:color w:val="000000"/>
                <w:sz w:val="20"/>
                <w:szCs w:val="20"/>
                <w:lang w:val="en-GB"/>
              </w:rPr>
              <w:t xml:space="preserve">and adequate pre-financing </w:t>
            </w:r>
            <w:r w:rsidR="00027113" w:rsidRPr="002C30C5">
              <w:rPr>
                <w:rFonts w:eastAsia="Times New Roman" w:cs="Times New Roman"/>
                <w:color w:val="000000"/>
                <w:sz w:val="20"/>
                <w:szCs w:val="20"/>
                <w:lang w:val="en-GB"/>
              </w:rPr>
              <w:t>issue</w:t>
            </w:r>
            <w:r w:rsidR="0035573F" w:rsidRPr="002C30C5">
              <w:rPr>
                <w:rFonts w:eastAsia="Times New Roman" w:cs="Times New Roman"/>
                <w:color w:val="000000"/>
                <w:sz w:val="20"/>
                <w:szCs w:val="20"/>
                <w:lang w:val="en-GB"/>
              </w:rPr>
              <w:t>s are</w:t>
            </w:r>
            <w:r w:rsidR="00027113" w:rsidRPr="002C30C5">
              <w:rPr>
                <w:rFonts w:eastAsia="Times New Roman" w:cs="Times New Roman"/>
                <w:color w:val="000000"/>
                <w:sz w:val="20"/>
                <w:szCs w:val="20"/>
                <w:lang w:val="en-GB"/>
              </w:rPr>
              <w:t xml:space="preserve"> </w:t>
            </w:r>
            <w:r w:rsidR="00D0786C" w:rsidRPr="002C30C5">
              <w:rPr>
                <w:rFonts w:eastAsia="Times New Roman" w:cs="Times New Roman"/>
                <w:color w:val="000000"/>
                <w:sz w:val="20"/>
                <w:szCs w:val="20"/>
                <w:lang w:val="en-GB"/>
              </w:rPr>
              <w:t>addressed if</w:t>
            </w:r>
            <w:r w:rsidR="00027113" w:rsidRPr="002C30C5">
              <w:rPr>
                <w:rFonts w:eastAsia="Times New Roman" w:cs="Times New Roman"/>
                <w:color w:val="000000"/>
                <w:sz w:val="20"/>
                <w:szCs w:val="20"/>
                <w:lang w:val="en-GB"/>
              </w:rPr>
              <w:t xml:space="preserve"> necessary</w:t>
            </w:r>
            <w:r w:rsidR="009668F5" w:rsidRPr="002C30C5">
              <w:rPr>
                <w:rFonts w:eastAsia="Times New Roman" w:cs="Times New Roman"/>
                <w:color w:val="000000"/>
                <w:sz w:val="20"/>
                <w:szCs w:val="20"/>
                <w:lang w:val="en-GB"/>
              </w:rPr>
              <w:t xml:space="preserve"> </w:t>
            </w:r>
          </w:p>
        </w:tc>
        <w:tc>
          <w:tcPr>
            <w:tcW w:w="1559" w:type="dxa"/>
            <w:hideMark/>
          </w:tcPr>
          <w:p w14:paraId="4BE4B30F"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2C30C5">
              <w:rPr>
                <w:rFonts w:eastAsia="Times New Roman" w:cs="Times New Roman"/>
                <w:bCs/>
                <w:color w:val="000000"/>
                <w:sz w:val="20"/>
                <w:szCs w:val="20"/>
                <w:lang w:val="en-GB"/>
              </w:rPr>
              <w:t>MA, JTS</w:t>
            </w:r>
            <w:r w:rsidR="00E50D43" w:rsidRPr="002C30C5">
              <w:rPr>
                <w:rFonts w:eastAsia="Times New Roman" w:cs="Times New Roman"/>
                <w:bCs/>
                <w:color w:val="000000"/>
                <w:sz w:val="20"/>
                <w:szCs w:val="20"/>
                <w:lang w:val="en-GB"/>
              </w:rPr>
              <w:t>, NA</w:t>
            </w:r>
            <w:r w:rsidR="00027113" w:rsidRPr="002C30C5">
              <w:rPr>
                <w:rFonts w:eastAsia="Times New Roman" w:cs="Times New Roman"/>
                <w:bCs/>
                <w:color w:val="000000"/>
                <w:sz w:val="20"/>
                <w:szCs w:val="20"/>
                <w:lang w:val="en-GB"/>
              </w:rPr>
              <w:t>, JMC</w:t>
            </w:r>
          </w:p>
        </w:tc>
      </w:tr>
      <w:tr w:rsidR="00117B32" w:rsidRPr="00265A86" w14:paraId="0B5132A4" w14:textId="77777777" w:rsidTr="001F7FD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tcPr>
          <w:p w14:paraId="26EDC07B" w14:textId="77777777" w:rsidR="00117B32" w:rsidRPr="004E68E8" w:rsidRDefault="00F467BB" w:rsidP="00313828">
            <w:pPr>
              <w:rPr>
                <w:rFonts w:asciiTheme="minorHAnsi" w:eastAsia="Times New Roman" w:hAnsiTheme="minorHAnsi" w:cs="Times New Roman"/>
                <w:b w:val="0"/>
                <w:color w:val="000000"/>
                <w:sz w:val="20"/>
                <w:szCs w:val="20"/>
                <w:lang w:val="en-GB"/>
              </w:rPr>
            </w:pPr>
            <w:r>
              <w:rPr>
                <w:rFonts w:asciiTheme="minorHAnsi" w:eastAsia="Times New Roman" w:hAnsiTheme="minorHAnsi" w:cs="Times New Roman"/>
                <w:b w:val="0"/>
                <w:color w:val="000000"/>
                <w:sz w:val="20"/>
                <w:szCs w:val="20"/>
                <w:lang w:val="en-GB"/>
              </w:rPr>
              <w:t xml:space="preserve">Projects </w:t>
            </w:r>
            <w:r w:rsidR="00D94AE5">
              <w:rPr>
                <w:rFonts w:asciiTheme="minorHAnsi" w:eastAsia="Times New Roman" w:hAnsiTheme="minorHAnsi" w:cs="Times New Roman"/>
                <w:b w:val="0"/>
                <w:color w:val="000000"/>
                <w:sz w:val="20"/>
                <w:szCs w:val="20"/>
                <w:lang w:val="en-GB"/>
              </w:rPr>
              <w:t xml:space="preserve">partners </w:t>
            </w:r>
            <w:r w:rsidR="00557A36" w:rsidRPr="004E68E8">
              <w:rPr>
                <w:rFonts w:asciiTheme="minorHAnsi" w:eastAsia="Times New Roman" w:hAnsiTheme="minorHAnsi" w:cs="Times New Roman"/>
                <w:b w:val="0"/>
                <w:color w:val="000000"/>
                <w:sz w:val="20"/>
                <w:szCs w:val="20"/>
                <w:lang w:val="en-GB"/>
              </w:rPr>
              <w:t xml:space="preserve">face implementation difficulties because of </w:t>
            </w:r>
            <w:r w:rsidR="00313828" w:rsidRPr="004E68E8">
              <w:rPr>
                <w:rFonts w:asciiTheme="minorHAnsi" w:eastAsia="Times New Roman" w:hAnsiTheme="minorHAnsi" w:cs="Times New Roman"/>
                <w:b w:val="0"/>
                <w:color w:val="000000"/>
                <w:sz w:val="20"/>
                <w:szCs w:val="20"/>
                <w:lang w:val="en-GB"/>
              </w:rPr>
              <w:t>s</w:t>
            </w:r>
            <w:r w:rsidR="00117B32" w:rsidRPr="004E68E8">
              <w:rPr>
                <w:rFonts w:asciiTheme="minorHAnsi" w:eastAsia="Times New Roman" w:hAnsiTheme="minorHAnsi" w:cs="Times New Roman"/>
                <w:b w:val="0"/>
                <w:color w:val="000000"/>
                <w:sz w:val="20"/>
                <w:szCs w:val="20"/>
                <w:lang w:val="en-GB"/>
              </w:rPr>
              <w:t>low</w:t>
            </w:r>
            <w:r w:rsidR="00A743E8">
              <w:rPr>
                <w:rFonts w:asciiTheme="minorHAnsi" w:eastAsia="Times New Roman" w:hAnsiTheme="minorHAnsi" w:cs="Times New Roman"/>
                <w:b w:val="0"/>
                <w:color w:val="000000"/>
                <w:sz w:val="20"/>
                <w:szCs w:val="20"/>
                <w:lang w:val="en-GB"/>
              </w:rPr>
              <w:t xml:space="preserve"> </w:t>
            </w:r>
            <w:r w:rsidR="001E482B" w:rsidRPr="004E68E8">
              <w:rPr>
                <w:rFonts w:asciiTheme="minorHAnsi" w:eastAsia="Times New Roman" w:hAnsiTheme="minorHAnsi" w:cs="Times New Roman"/>
                <w:b w:val="0"/>
                <w:color w:val="000000"/>
                <w:sz w:val="20"/>
                <w:szCs w:val="20"/>
                <w:lang w:val="en-GB"/>
              </w:rPr>
              <w:t>grant</w:t>
            </w:r>
            <w:r w:rsidR="00117B32" w:rsidRPr="004E68E8">
              <w:rPr>
                <w:rFonts w:asciiTheme="minorHAnsi" w:eastAsia="Times New Roman" w:hAnsiTheme="minorHAnsi" w:cs="Times New Roman"/>
                <w:b w:val="0"/>
                <w:color w:val="000000"/>
                <w:sz w:val="20"/>
                <w:szCs w:val="20"/>
                <w:lang w:val="en-GB"/>
              </w:rPr>
              <w:t xml:space="preserve"> payment procedures </w:t>
            </w:r>
          </w:p>
        </w:tc>
        <w:tc>
          <w:tcPr>
            <w:tcW w:w="1276" w:type="dxa"/>
          </w:tcPr>
          <w:p w14:paraId="09FE0335" w14:textId="77777777" w:rsidR="00117B32" w:rsidRPr="004E68E8" w:rsidRDefault="00117B32"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color w:val="000000"/>
                <w:sz w:val="20"/>
                <w:szCs w:val="20"/>
                <w:lang w:val="en-GB"/>
              </w:rPr>
              <w:t>M</w:t>
            </w:r>
          </w:p>
        </w:tc>
        <w:tc>
          <w:tcPr>
            <w:tcW w:w="992" w:type="dxa"/>
          </w:tcPr>
          <w:p w14:paraId="70CDB788" w14:textId="77777777" w:rsidR="00117B32" w:rsidRPr="004E68E8" w:rsidRDefault="003D353A"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Pr>
                <w:rFonts w:eastAsia="Times New Roman" w:cs="Times New Roman"/>
                <w:bCs/>
                <w:color w:val="000000"/>
                <w:sz w:val="20"/>
                <w:szCs w:val="20"/>
                <w:lang w:val="en-GB"/>
              </w:rPr>
              <w:t>M</w:t>
            </w:r>
          </w:p>
        </w:tc>
        <w:tc>
          <w:tcPr>
            <w:tcW w:w="3402" w:type="dxa"/>
          </w:tcPr>
          <w:p w14:paraId="1F06CDDA" w14:textId="77777777" w:rsidR="00117B32" w:rsidRPr="004E68E8" w:rsidRDefault="00117B32" w:rsidP="00630A48">
            <w:pP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 xml:space="preserve">Procedures are revised and improved </w:t>
            </w:r>
          </w:p>
        </w:tc>
        <w:tc>
          <w:tcPr>
            <w:tcW w:w="1559" w:type="dxa"/>
          </w:tcPr>
          <w:p w14:paraId="6313D7F8" w14:textId="77777777" w:rsidR="00117B32" w:rsidRPr="004E68E8" w:rsidRDefault="00117B32" w:rsidP="003615EB">
            <w:pPr>
              <w:cnfStyle w:val="000000010000" w:firstRow="0" w:lastRow="0" w:firstColumn="0" w:lastColumn="0" w:oddVBand="0" w:evenVBand="0" w:oddHBand="0" w:evenHBand="1"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MA, JTS, NA, CCP</w:t>
            </w:r>
          </w:p>
        </w:tc>
      </w:tr>
      <w:tr w:rsidR="00F674D6" w:rsidRPr="00B71347" w14:paraId="285DA636" w14:textId="77777777" w:rsidTr="001F7FD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4" w:type="dxa"/>
            <w:gridSpan w:val="2"/>
            <w:hideMark/>
          </w:tcPr>
          <w:p w14:paraId="4510867C" w14:textId="77777777" w:rsidR="009668F5" w:rsidRPr="004E68E8" w:rsidRDefault="009668F5" w:rsidP="00630A48">
            <w:pPr>
              <w:rPr>
                <w:rFonts w:asciiTheme="minorHAnsi" w:eastAsia="Times New Roman" w:hAnsiTheme="minorHAnsi" w:cs="Times New Roman"/>
                <w:b w:val="0"/>
                <w:color w:val="000000"/>
                <w:sz w:val="20"/>
                <w:szCs w:val="20"/>
                <w:lang w:val="en-GB"/>
              </w:rPr>
            </w:pPr>
            <w:r w:rsidRPr="004E68E8">
              <w:rPr>
                <w:rFonts w:asciiTheme="minorHAnsi" w:eastAsia="Times New Roman" w:hAnsiTheme="minorHAnsi" w:cs="Times New Roman"/>
                <w:b w:val="0"/>
                <w:color w:val="000000"/>
                <w:sz w:val="20"/>
                <w:szCs w:val="20"/>
                <w:lang w:val="en-GB"/>
              </w:rPr>
              <w:t>Financial losses at programme level resulting from</w:t>
            </w:r>
            <w:r w:rsidR="00A8698E">
              <w:rPr>
                <w:rFonts w:asciiTheme="minorHAnsi" w:eastAsia="Times New Roman" w:hAnsiTheme="minorHAnsi" w:cs="Times New Roman"/>
                <w:b w:val="0"/>
                <w:color w:val="000000"/>
                <w:sz w:val="20"/>
                <w:szCs w:val="20"/>
                <w:lang w:val="en-GB"/>
              </w:rPr>
              <w:t xml:space="preserve"> fraud or</w:t>
            </w:r>
            <w:r w:rsidRPr="004E68E8">
              <w:rPr>
                <w:rFonts w:asciiTheme="minorHAnsi" w:eastAsia="Times New Roman" w:hAnsiTheme="minorHAnsi" w:cs="Times New Roman"/>
                <w:b w:val="0"/>
                <w:color w:val="000000"/>
                <w:sz w:val="20"/>
                <w:szCs w:val="20"/>
                <w:lang w:val="en-GB"/>
              </w:rPr>
              <w:t xml:space="preserve"> financial mismanagement</w:t>
            </w:r>
          </w:p>
        </w:tc>
        <w:tc>
          <w:tcPr>
            <w:tcW w:w="1276" w:type="dxa"/>
            <w:hideMark/>
          </w:tcPr>
          <w:p w14:paraId="260412C6"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 M</w:t>
            </w:r>
          </w:p>
        </w:tc>
        <w:tc>
          <w:tcPr>
            <w:tcW w:w="992" w:type="dxa"/>
            <w:hideMark/>
          </w:tcPr>
          <w:p w14:paraId="0550F399" w14:textId="77777777" w:rsidR="009668F5" w:rsidRPr="004E68E8" w:rsidRDefault="009668F5"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en-GB"/>
              </w:rPr>
            </w:pPr>
            <w:r w:rsidRPr="004E68E8">
              <w:rPr>
                <w:rFonts w:eastAsia="Times New Roman" w:cs="Times New Roman"/>
                <w:bCs/>
                <w:color w:val="000000"/>
                <w:sz w:val="20"/>
                <w:szCs w:val="20"/>
                <w:lang w:val="en-GB"/>
              </w:rPr>
              <w:t>L </w:t>
            </w:r>
          </w:p>
        </w:tc>
        <w:tc>
          <w:tcPr>
            <w:tcW w:w="3402" w:type="dxa"/>
            <w:hideMark/>
          </w:tcPr>
          <w:p w14:paraId="0D9DFADE" w14:textId="77777777" w:rsidR="009668F5" w:rsidRPr="004E68E8" w:rsidRDefault="00BC7599" w:rsidP="003615EB">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lang w:val="en-GB"/>
              </w:rPr>
            </w:pPr>
            <w:r w:rsidRPr="004E68E8">
              <w:rPr>
                <w:rFonts w:eastAsia="Times New Roman" w:cs="Times New Roman"/>
                <w:color w:val="000000"/>
                <w:sz w:val="20"/>
                <w:szCs w:val="20"/>
                <w:lang w:val="en-GB"/>
              </w:rPr>
              <w:t>Monitor an</w:t>
            </w:r>
            <w:r w:rsidR="00265A86" w:rsidRPr="004E68E8">
              <w:rPr>
                <w:rFonts w:eastAsia="Times New Roman" w:cs="Times New Roman"/>
                <w:color w:val="000000"/>
                <w:sz w:val="20"/>
                <w:szCs w:val="20"/>
                <w:lang w:val="en-GB"/>
              </w:rPr>
              <w:t>d ensure that anti</w:t>
            </w:r>
            <w:r w:rsidRPr="004E68E8">
              <w:rPr>
                <w:rFonts w:eastAsia="Times New Roman" w:cs="Times New Roman"/>
                <w:color w:val="000000"/>
                <w:sz w:val="20"/>
                <w:szCs w:val="20"/>
                <w:lang w:val="en-GB"/>
              </w:rPr>
              <w:t>-fraud mechanisms put in plac</w:t>
            </w:r>
            <w:r w:rsidR="00281922">
              <w:rPr>
                <w:rFonts w:eastAsia="Times New Roman" w:cs="Times New Roman"/>
                <w:color w:val="000000"/>
                <w:sz w:val="20"/>
                <w:szCs w:val="20"/>
                <w:lang w:val="en-GB"/>
              </w:rPr>
              <w:t>e</w:t>
            </w:r>
            <w:r w:rsidRPr="004E68E8">
              <w:rPr>
                <w:rFonts w:eastAsia="Times New Roman" w:cs="Times New Roman"/>
                <w:color w:val="000000"/>
                <w:sz w:val="20"/>
                <w:szCs w:val="20"/>
                <w:lang w:val="en-GB"/>
              </w:rPr>
              <w:t xml:space="preserve"> and programme audit and control measures function effectively</w:t>
            </w:r>
            <w:r w:rsidR="00E50D43" w:rsidRPr="004E68E8">
              <w:rPr>
                <w:rFonts w:eastAsia="Times New Roman" w:cs="Times New Roman"/>
                <w:color w:val="000000"/>
                <w:sz w:val="20"/>
                <w:szCs w:val="20"/>
                <w:lang w:val="en-GB"/>
              </w:rPr>
              <w:t>, improve them as necessary</w:t>
            </w:r>
            <w:r w:rsidRPr="004E68E8">
              <w:rPr>
                <w:rFonts w:eastAsia="Times New Roman" w:cs="Times New Roman"/>
                <w:color w:val="000000"/>
                <w:sz w:val="20"/>
                <w:szCs w:val="20"/>
                <w:lang w:val="en-GB"/>
              </w:rPr>
              <w:t xml:space="preserve"> </w:t>
            </w:r>
          </w:p>
        </w:tc>
        <w:tc>
          <w:tcPr>
            <w:tcW w:w="1559" w:type="dxa"/>
            <w:hideMark/>
          </w:tcPr>
          <w:p w14:paraId="00ADD8AA" w14:textId="77777777" w:rsidR="009668F5" w:rsidRPr="00C619D3" w:rsidRDefault="009668F5" w:rsidP="003615EB">
            <w:pPr>
              <w:spacing w:after="24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szCs w:val="20"/>
                <w:lang w:val="pl-PL"/>
              </w:rPr>
            </w:pPr>
            <w:r w:rsidRPr="00C619D3">
              <w:rPr>
                <w:rFonts w:eastAsia="Times New Roman" w:cs="Times New Roman"/>
                <w:bCs/>
                <w:color w:val="000000"/>
                <w:sz w:val="20"/>
                <w:szCs w:val="20"/>
                <w:lang w:val="pl-PL"/>
              </w:rPr>
              <w:t xml:space="preserve">MA, </w:t>
            </w:r>
            <w:r w:rsidR="00914D6C" w:rsidRPr="00C619D3">
              <w:rPr>
                <w:rFonts w:eastAsia="Times New Roman" w:cs="Times New Roman"/>
                <w:bCs/>
                <w:color w:val="000000"/>
                <w:sz w:val="20"/>
                <w:szCs w:val="20"/>
                <w:lang w:val="pl-PL"/>
              </w:rPr>
              <w:t xml:space="preserve">AA, </w:t>
            </w:r>
            <w:r w:rsidRPr="00C619D3">
              <w:rPr>
                <w:rFonts w:eastAsia="Times New Roman" w:cs="Times New Roman"/>
                <w:bCs/>
                <w:color w:val="000000"/>
                <w:sz w:val="20"/>
                <w:szCs w:val="20"/>
                <w:lang w:val="pl-PL"/>
              </w:rPr>
              <w:t>JTS, NA</w:t>
            </w:r>
            <w:r w:rsidR="00914D6C" w:rsidRPr="00C619D3">
              <w:rPr>
                <w:rFonts w:eastAsia="Times New Roman" w:cs="Times New Roman"/>
                <w:bCs/>
                <w:color w:val="000000"/>
                <w:sz w:val="20"/>
                <w:szCs w:val="20"/>
                <w:lang w:val="pl-PL"/>
              </w:rPr>
              <w:t>, EC</w:t>
            </w:r>
          </w:p>
        </w:tc>
      </w:tr>
    </w:tbl>
    <w:p w14:paraId="2BBE1ECA" w14:textId="77777777" w:rsidR="00FF1E64" w:rsidRPr="00C619D3" w:rsidRDefault="00FF1E64" w:rsidP="004F6447">
      <w:pPr>
        <w:pStyle w:val="Heading3"/>
        <w:spacing w:before="240" w:after="240" w:line="264" w:lineRule="auto"/>
        <w:rPr>
          <w:sz w:val="16"/>
          <w:szCs w:val="16"/>
          <w:highlight w:val="yellow"/>
          <w:lang w:val="pl-PL"/>
        </w:rPr>
      </w:pPr>
    </w:p>
    <w:p w14:paraId="37B00110" w14:textId="77777777" w:rsidR="00F16F0A" w:rsidRPr="0025034F" w:rsidRDefault="00654D55" w:rsidP="004F6447">
      <w:pPr>
        <w:pStyle w:val="Heading3"/>
        <w:spacing w:before="240" w:after="240" w:line="264" w:lineRule="auto"/>
        <w:rPr>
          <w:b/>
          <w:sz w:val="28"/>
          <w:szCs w:val="28"/>
          <w:lang w:val="en-GB"/>
        </w:rPr>
      </w:pPr>
      <w:bookmarkStart w:id="74" w:name="_Toc423436291"/>
      <w:r>
        <w:rPr>
          <w:b/>
          <w:sz w:val="28"/>
          <w:szCs w:val="28"/>
          <w:lang w:val="en-GB"/>
        </w:rPr>
        <w:t xml:space="preserve">5.6 </w:t>
      </w:r>
      <w:r w:rsidR="00F16F0A" w:rsidRPr="0025034F">
        <w:rPr>
          <w:b/>
          <w:sz w:val="28"/>
          <w:szCs w:val="28"/>
          <w:lang w:val="en-GB"/>
        </w:rPr>
        <w:t>Programme logical frame</w:t>
      </w:r>
      <w:bookmarkEnd w:id="71"/>
      <w:r w:rsidR="00F16F0A" w:rsidRPr="0025034F">
        <w:rPr>
          <w:b/>
          <w:sz w:val="28"/>
          <w:szCs w:val="28"/>
          <w:lang w:val="en-GB"/>
        </w:rPr>
        <w:t>work</w:t>
      </w:r>
      <w:bookmarkEnd w:id="72"/>
      <w:bookmarkEnd w:id="74"/>
    </w:p>
    <w:p w14:paraId="7625A48E" w14:textId="77777777" w:rsidR="00E41641" w:rsidRDefault="002B2426" w:rsidP="00834481">
      <w:pPr>
        <w:spacing w:before="120" w:after="0" w:line="264" w:lineRule="auto"/>
        <w:jc w:val="both"/>
        <w:rPr>
          <w:sz w:val="22"/>
          <w:szCs w:val="22"/>
          <w:lang w:val="en-GB"/>
        </w:rPr>
      </w:pPr>
      <w:r w:rsidRPr="00FB7481">
        <w:rPr>
          <w:sz w:val="22"/>
          <w:szCs w:val="22"/>
          <w:lang w:val="en-GB"/>
        </w:rPr>
        <w:t xml:space="preserve">The </w:t>
      </w:r>
      <w:r w:rsidR="00CF3A02">
        <w:rPr>
          <w:sz w:val="22"/>
          <w:szCs w:val="22"/>
          <w:lang w:val="en-GB"/>
        </w:rPr>
        <w:t xml:space="preserve">BSB </w:t>
      </w:r>
      <w:r w:rsidRPr="00FB7481">
        <w:rPr>
          <w:sz w:val="22"/>
          <w:szCs w:val="22"/>
          <w:lang w:val="en-GB"/>
        </w:rPr>
        <w:t xml:space="preserve">programme logical framework </w:t>
      </w:r>
      <w:r w:rsidR="00CF3A02">
        <w:rPr>
          <w:sz w:val="22"/>
          <w:szCs w:val="22"/>
          <w:lang w:val="en-GB"/>
        </w:rPr>
        <w:t>presented</w:t>
      </w:r>
      <w:r w:rsidR="003D4949">
        <w:rPr>
          <w:sz w:val="22"/>
          <w:szCs w:val="22"/>
          <w:lang w:val="en-GB"/>
        </w:rPr>
        <w:t xml:space="preserve"> in the following pages</w:t>
      </w:r>
      <w:r w:rsidR="00630F10">
        <w:rPr>
          <w:sz w:val="22"/>
          <w:szCs w:val="22"/>
          <w:lang w:val="en-GB"/>
        </w:rPr>
        <w:t xml:space="preserve"> provid</w:t>
      </w:r>
      <w:r w:rsidR="00CF3A02">
        <w:rPr>
          <w:sz w:val="22"/>
          <w:szCs w:val="22"/>
          <w:lang w:val="en-GB"/>
        </w:rPr>
        <w:t>es an overview of</w:t>
      </w:r>
      <w:r w:rsidR="001674E2" w:rsidRPr="00FB7481">
        <w:rPr>
          <w:sz w:val="22"/>
          <w:szCs w:val="22"/>
          <w:lang w:val="en-GB"/>
        </w:rPr>
        <w:t xml:space="preserve"> the</w:t>
      </w:r>
      <w:r w:rsidR="009561E9" w:rsidRPr="00FB7481">
        <w:rPr>
          <w:sz w:val="22"/>
          <w:szCs w:val="22"/>
          <w:lang w:val="en-GB"/>
        </w:rPr>
        <w:t xml:space="preserve"> strategy </w:t>
      </w:r>
      <w:proofErr w:type="spellStart"/>
      <w:r w:rsidR="009561E9" w:rsidRPr="00FB7481">
        <w:rPr>
          <w:sz w:val="22"/>
          <w:szCs w:val="22"/>
          <w:lang w:val="en-GB"/>
        </w:rPr>
        <w:t>defi</w:t>
      </w:r>
      <w:r w:rsidR="00AA5D7F">
        <w:rPr>
          <w:sz w:val="22"/>
          <w:szCs w:val="22"/>
          <w:lang w:val="en-GB"/>
        </w:rPr>
        <w:t>s</w:t>
      </w:r>
      <w:r w:rsidR="009561E9" w:rsidRPr="00FB7481">
        <w:rPr>
          <w:sz w:val="22"/>
          <w:szCs w:val="22"/>
          <w:lang w:val="en-GB"/>
        </w:rPr>
        <w:t>nitio</w:t>
      </w:r>
      <w:r w:rsidR="005357A0">
        <w:rPr>
          <w:sz w:val="22"/>
          <w:szCs w:val="22"/>
          <w:lang w:val="en-GB"/>
        </w:rPr>
        <w:t>n</w:t>
      </w:r>
      <w:proofErr w:type="spellEnd"/>
      <w:r w:rsidR="005357A0">
        <w:rPr>
          <w:sz w:val="22"/>
          <w:szCs w:val="22"/>
          <w:lang w:val="en-GB"/>
        </w:rPr>
        <w:t>, including programme</w:t>
      </w:r>
      <w:r w:rsidR="00501D1D">
        <w:rPr>
          <w:sz w:val="22"/>
          <w:szCs w:val="22"/>
          <w:lang w:val="en-GB"/>
        </w:rPr>
        <w:t xml:space="preserve"> intervention logic, indic</w:t>
      </w:r>
      <w:r w:rsidR="003B368B">
        <w:rPr>
          <w:sz w:val="22"/>
          <w:szCs w:val="22"/>
          <w:lang w:val="en-GB"/>
        </w:rPr>
        <w:t>ators of achievement and risks.</w:t>
      </w:r>
    </w:p>
    <w:p w14:paraId="1D26C6BC" w14:textId="77777777" w:rsidR="003B368B" w:rsidRDefault="003B368B" w:rsidP="00834481">
      <w:pPr>
        <w:spacing w:before="120" w:after="0" w:line="264" w:lineRule="auto"/>
        <w:jc w:val="both"/>
        <w:rPr>
          <w:sz w:val="22"/>
          <w:szCs w:val="22"/>
          <w:lang w:val="en-GB"/>
        </w:rPr>
        <w:sectPr w:rsidR="003B368B" w:rsidSect="00EE4D6C">
          <w:headerReference w:type="default" r:id="rId65"/>
          <w:footerReference w:type="default" r:id="rId66"/>
          <w:headerReference w:type="first" r:id="rId67"/>
          <w:footerReference w:type="first" r:id="rId68"/>
          <w:footnotePr>
            <w:numFmt w:val="lowerRoman"/>
            <w:numRestart w:val="eachPage"/>
          </w:footnotePr>
          <w:endnotePr>
            <w:numFmt w:val="decimal"/>
          </w:endnotePr>
          <w:pgSz w:w="12240" w:h="15840" w:code="1"/>
          <w:pgMar w:top="794" w:right="1183" w:bottom="794" w:left="760" w:header="794" w:footer="567" w:gutter="0"/>
          <w:pgNumType w:start="1"/>
          <w:cols w:space="720"/>
          <w:titlePg/>
          <w:docGrid w:linePitch="360"/>
        </w:sectPr>
      </w:pPr>
    </w:p>
    <w:p w14:paraId="73A2EA8B" w14:textId="77777777" w:rsidR="002A26C5" w:rsidRDefault="002A26C5" w:rsidP="002A26C5">
      <w:pPr>
        <w:spacing w:after="0"/>
        <w:rPr>
          <w:b/>
          <w:lang w:val="en-GB"/>
        </w:rPr>
      </w:pPr>
      <w:r w:rsidRPr="00FA4C4D">
        <w:rPr>
          <w:b/>
          <w:lang w:val="en-GB"/>
        </w:rPr>
        <w:lastRenderedPageBreak/>
        <w:t>Logical Framework for the Black Sea Basin ENI CBC Programme 2014-2020</w:t>
      </w:r>
    </w:p>
    <w:p w14:paraId="4C0CC4F1" w14:textId="77777777" w:rsidR="00FA4C4D" w:rsidRPr="00FA4C4D" w:rsidRDefault="00FA4C4D" w:rsidP="002A26C5">
      <w:pPr>
        <w:spacing w:after="0"/>
        <w:rPr>
          <w:lang w:val="en-GB"/>
        </w:rPr>
      </w:pPr>
    </w:p>
    <w:tbl>
      <w:tblPr>
        <w:tblStyle w:val="MediumGrid2-Accent4"/>
        <w:tblW w:w="14743" w:type="dxa"/>
        <w:tblLayout w:type="fixed"/>
        <w:tblLook w:val="04A0" w:firstRow="1" w:lastRow="0" w:firstColumn="1" w:lastColumn="0" w:noHBand="0" w:noVBand="1"/>
      </w:tblPr>
      <w:tblGrid>
        <w:gridCol w:w="1135"/>
        <w:gridCol w:w="7053"/>
        <w:gridCol w:w="2977"/>
        <w:gridCol w:w="1276"/>
        <w:gridCol w:w="2302"/>
      </w:tblGrid>
      <w:tr w:rsidR="00931D5C" w:rsidRPr="007F5FC2" w14:paraId="551B27EF" w14:textId="77777777" w:rsidTr="002C454E">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100" w:firstRow="0" w:lastRow="0" w:firstColumn="1" w:lastColumn="0" w:oddVBand="0" w:evenVBand="0" w:oddHBand="0" w:evenHBand="0" w:firstRowFirstColumn="1" w:firstRowLastColumn="0" w:lastRowFirstColumn="0" w:lastRowLastColumn="0"/>
            <w:tcW w:w="1135" w:type="dxa"/>
            <w:shd w:val="clear" w:color="auto" w:fill="auto"/>
            <w:noWrap/>
            <w:hideMark/>
          </w:tcPr>
          <w:p w14:paraId="20EC2180" w14:textId="77777777" w:rsidR="002A26C5" w:rsidRPr="007F5FC2" w:rsidRDefault="002A26C5" w:rsidP="003615EB">
            <w:pPr>
              <w:jc w:val="center"/>
              <w:rPr>
                <w:rFonts w:asciiTheme="minorHAnsi" w:hAnsiTheme="minorHAnsi"/>
                <w:b w:val="0"/>
                <w:bCs w:val="0"/>
                <w:color w:val="auto"/>
                <w:sz w:val="18"/>
                <w:szCs w:val="18"/>
                <w:lang w:val="en-GB"/>
              </w:rPr>
            </w:pPr>
          </w:p>
        </w:tc>
        <w:tc>
          <w:tcPr>
            <w:tcW w:w="7053" w:type="dxa"/>
            <w:shd w:val="clear" w:color="auto" w:fill="auto"/>
            <w:noWrap/>
            <w:hideMark/>
          </w:tcPr>
          <w:p w14:paraId="1DCDFE13" w14:textId="77777777" w:rsidR="002A26C5" w:rsidRPr="007F5FC2" w:rsidRDefault="002A26C5" w:rsidP="003615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rPr>
            </w:pPr>
            <w:r w:rsidRPr="007F5FC2">
              <w:rPr>
                <w:rFonts w:asciiTheme="minorHAnsi" w:hAnsiTheme="minorHAnsi"/>
                <w:color w:val="auto"/>
                <w:sz w:val="18"/>
                <w:szCs w:val="18"/>
              </w:rPr>
              <w:t xml:space="preserve">Intervention </w:t>
            </w:r>
            <w:proofErr w:type="spellStart"/>
            <w:r w:rsidRPr="007F5FC2">
              <w:rPr>
                <w:rFonts w:asciiTheme="minorHAnsi" w:hAnsiTheme="minorHAnsi"/>
                <w:color w:val="auto"/>
                <w:sz w:val="18"/>
                <w:szCs w:val="18"/>
              </w:rPr>
              <w:t>logic</w:t>
            </w:r>
            <w:proofErr w:type="spellEnd"/>
          </w:p>
        </w:tc>
        <w:tc>
          <w:tcPr>
            <w:tcW w:w="2977" w:type="dxa"/>
            <w:shd w:val="clear" w:color="auto" w:fill="auto"/>
            <w:hideMark/>
          </w:tcPr>
          <w:p w14:paraId="0298D8D3" w14:textId="77777777" w:rsidR="002A26C5" w:rsidRPr="007F5FC2" w:rsidRDefault="002A26C5" w:rsidP="003615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lang w:val="en-GB"/>
              </w:rPr>
            </w:pPr>
            <w:r w:rsidRPr="007F5FC2">
              <w:rPr>
                <w:rFonts w:asciiTheme="minorHAnsi" w:hAnsiTheme="minorHAnsi"/>
                <w:color w:val="auto"/>
                <w:sz w:val="18"/>
                <w:szCs w:val="18"/>
                <w:lang w:val="en-GB"/>
              </w:rPr>
              <w:t>Objectively verifiable indicators of achievement</w:t>
            </w:r>
            <w:r w:rsidRPr="007F5FC2">
              <w:rPr>
                <w:rStyle w:val="FootnoteReference"/>
                <w:rFonts w:asciiTheme="minorHAnsi" w:hAnsiTheme="minorHAnsi"/>
                <w:color w:val="auto"/>
                <w:sz w:val="18"/>
                <w:szCs w:val="18"/>
              </w:rPr>
              <w:footnoteReference w:id="68"/>
            </w:r>
          </w:p>
        </w:tc>
        <w:tc>
          <w:tcPr>
            <w:tcW w:w="1276" w:type="dxa"/>
            <w:shd w:val="clear" w:color="auto" w:fill="auto"/>
          </w:tcPr>
          <w:p w14:paraId="3CC2D9CA" w14:textId="77777777" w:rsidR="002A26C5" w:rsidRPr="007F5FC2" w:rsidRDefault="002A26C5" w:rsidP="003615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18"/>
                <w:szCs w:val="18"/>
                <w:lang w:val="en-GB"/>
              </w:rPr>
            </w:pPr>
            <w:r w:rsidRPr="007F5FC2">
              <w:rPr>
                <w:rFonts w:asciiTheme="minorHAnsi" w:hAnsiTheme="minorHAnsi"/>
                <w:color w:val="auto"/>
                <w:sz w:val="18"/>
                <w:szCs w:val="18"/>
                <w:lang w:val="en-GB"/>
              </w:rPr>
              <w:t>Sources of verific</w:t>
            </w:r>
            <w:r w:rsidR="00DA0E31" w:rsidRPr="007F5FC2">
              <w:rPr>
                <w:rFonts w:asciiTheme="minorHAnsi" w:hAnsiTheme="minorHAnsi"/>
                <w:color w:val="auto"/>
                <w:sz w:val="18"/>
                <w:szCs w:val="18"/>
                <w:lang w:val="en-GB"/>
              </w:rPr>
              <w:t>ation</w:t>
            </w:r>
          </w:p>
        </w:tc>
        <w:tc>
          <w:tcPr>
            <w:tcW w:w="2302" w:type="dxa"/>
            <w:shd w:val="clear" w:color="auto" w:fill="auto"/>
          </w:tcPr>
          <w:p w14:paraId="1A29EAA3" w14:textId="77777777" w:rsidR="002A26C5" w:rsidRPr="00872F5D" w:rsidRDefault="002A26C5" w:rsidP="003615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auto"/>
                <w:sz w:val="18"/>
                <w:szCs w:val="18"/>
                <w:lang w:val="en-GB"/>
              </w:rPr>
            </w:pPr>
            <w:r w:rsidRPr="00872F5D">
              <w:rPr>
                <w:rFonts w:asciiTheme="minorHAnsi" w:hAnsiTheme="minorHAnsi"/>
                <w:color w:val="auto"/>
                <w:sz w:val="18"/>
                <w:szCs w:val="18"/>
                <w:lang w:val="en-GB"/>
              </w:rPr>
              <w:t>Risks</w:t>
            </w:r>
          </w:p>
        </w:tc>
      </w:tr>
      <w:tr w:rsidR="006D53F8" w:rsidRPr="00B71347" w14:paraId="414DA637" w14:textId="77777777" w:rsidTr="00A571B2">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135" w:type="dxa"/>
            <w:hideMark/>
          </w:tcPr>
          <w:p w14:paraId="0DD7E8EC" w14:textId="77777777" w:rsidR="002A26C5" w:rsidRPr="007F5FC2" w:rsidRDefault="002A26C5" w:rsidP="003615EB">
            <w:pPr>
              <w:spacing w:after="20"/>
              <w:jc w:val="right"/>
              <w:rPr>
                <w:rFonts w:asciiTheme="minorHAnsi" w:hAnsiTheme="minorHAnsi"/>
                <w:b w:val="0"/>
                <w:bCs w:val="0"/>
                <w:color w:val="auto"/>
                <w:sz w:val="18"/>
                <w:szCs w:val="18"/>
              </w:rPr>
            </w:pPr>
            <w:proofErr w:type="spellStart"/>
            <w:r w:rsidRPr="007F5FC2">
              <w:rPr>
                <w:rFonts w:asciiTheme="minorHAnsi" w:hAnsiTheme="minorHAnsi"/>
                <w:color w:val="auto"/>
                <w:sz w:val="18"/>
                <w:szCs w:val="18"/>
              </w:rPr>
              <w:t>Overall</w:t>
            </w:r>
            <w:proofErr w:type="spellEnd"/>
            <w:r w:rsidRPr="007F5FC2">
              <w:rPr>
                <w:rFonts w:asciiTheme="minorHAnsi" w:hAnsiTheme="minorHAnsi"/>
                <w:color w:val="auto"/>
                <w:sz w:val="18"/>
                <w:szCs w:val="18"/>
              </w:rPr>
              <w:t xml:space="preserve"> Objective</w:t>
            </w:r>
          </w:p>
        </w:tc>
        <w:tc>
          <w:tcPr>
            <w:tcW w:w="7053" w:type="dxa"/>
            <w:shd w:val="clear" w:color="auto" w:fill="E6DEC9" w:themeFill="accent4" w:themeFillTint="66"/>
            <w:hideMark/>
          </w:tcPr>
          <w:p w14:paraId="2F0F6B32" w14:textId="77777777" w:rsidR="002A26C5" w:rsidRPr="007F5FC2" w:rsidRDefault="002A26C5"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Improve the welfare of the people in the Black Sea basin regions through sustainable growth and joint environmental protection</w:t>
            </w:r>
          </w:p>
        </w:tc>
        <w:tc>
          <w:tcPr>
            <w:tcW w:w="2977" w:type="dxa"/>
            <w:shd w:val="clear" w:color="auto" w:fill="E6DEC9" w:themeFill="accent4" w:themeFillTint="66"/>
            <w:hideMark/>
          </w:tcPr>
          <w:p w14:paraId="7D901F3F" w14:textId="77777777" w:rsidR="002A26C5" w:rsidRPr="007F5FC2" w:rsidRDefault="002A26C5"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color w:val="FFFFFF" w:themeColor="background1"/>
                <w:sz w:val="18"/>
                <w:szCs w:val="18"/>
                <w:lang w:val="en-GB"/>
              </w:rPr>
              <w:t> </w:t>
            </w:r>
          </w:p>
        </w:tc>
        <w:tc>
          <w:tcPr>
            <w:tcW w:w="1276" w:type="dxa"/>
            <w:shd w:val="clear" w:color="auto" w:fill="E6DEC9" w:themeFill="accent4" w:themeFillTint="66"/>
          </w:tcPr>
          <w:p w14:paraId="1D0BBC09" w14:textId="77777777" w:rsidR="002A26C5" w:rsidRPr="007F5FC2" w:rsidRDefault="002A26C5"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sz w:val="18"/>
                <w:szCs w:val="18"/>
                <w:lang w:val="en-GB"/>
              </w:rPr>
            </w:pPr>
            <w:r w:rsidRPr="007F5FC2">
              <w:rPr>
                <w:rFonts w:asciiTheme="minorHAnsi" w:hAnsiTheme="minorHAnsi"/>
                <w:sz w:val="18"/>
                <w:szCs w:val="18"/>
                <w:lang w:val="en-GB"/>
              </w:rPr>
              <w:t> </w:t>
            </w:r>
          </w:p>
        </w:tc>
        <w:tc>
          <w:tcPr>
            <w:tcW w:w="2302" w:type="dxa"/>
            <w:shd w:val="clear" w:color="auto" w:fill="E6DEC9" w:themeFill="accent4" w:themeFillTint="66"/>
          </w:tcPr>
          <w:p w14:paraId="66395A64" w14:textId="77777777" w:rsidR="002A26C5" w:rsidRPr="00DE4272" w:rsidRDefault="002A26C5"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iCs/>
                <w:sz w:val="18"/>
                <w:szCs w:val="18"/>
                <w:lang w:val="en-GB"/>
              </w:rPr>
            </w:pPr>
          </w:p>
        </w:tc>
      </w:tr>
      <w:tr w:rsidR="00D65763" w:rsidRPr="00B71347" w14:paraId="2028A466" w14:textId="77777777" w:rsidTr="00A571B2">
        <w:trPr>
          <w:trHeight w:val="704"/>
        </w:trPr>
        <w:tc>
          <w:tcPr>
            <w:cnfStyle w:val="001000000000" w:firstRow="0" w:lastRow="0" w:firstColumn="1" w:lastColumn="0" w:oddVBand="0" w:evenVBand="0" w:oddHBand="0" w:evenHBand="0" w:firstRowFirstColumn="0" w:firstRowLastColumn="0" w:lastRowFirstColumn="0" w:lastRowLastColumn="0"/>
            <w:tcW w:w="1135" w:type="dxa"/>
            <w:noWrap/>
            <w:hideMark/>
          </w:tcPr>
          <w:p w14:paraId="5AEE576F" w14:textId="77777777" w:rsidR="00D65763" w:rsidRPr="007F5FC2" w:rsidRDefault="00D65763" w:rsidP="003615EB">
            <w:pPr>
              <w:spacing w:after="20"/>
              <w:jc w:val="right"/>
              <w:rPr>
                <w:rFonts w:asciiTheme="minorHAnsi" w:hAnsiTheme="minorHAnsi"/>
                <w:b w:val="0"/>
                <w:bCs w:val="0"/>
                <w:color w:val="auto"/>
                <w:sz w:val="18"/>
                <w:szCs w:val="18"/>
              </w:rPr>
            </w:pPr>
            <w:proofErr w:type="spellStart"/>
            <w:r w:rsidRPr="007F5FC2">
              <w:rPr>
                <w:rFonts w:asciiTheme="minorHAnsi" w:hAnsiTheme="minorHAnsi"/>
                <w:color w:val="auto"/>
                <w:sz w:val="18"/>
                <w:szCs w:val="18"/>
              </w:rPr>
              <w:t>Specific</w:t>
            </w:r>
            <w:proofErr w:type="spellEnd"/>
            <w:r w:rsidRPr="007F5FC2">
              <w:rPr>
                <w:rFonts w:asciiTheme="minorHAnsi" w:hAnsiTheme="minorHAnsi"/>
                <w:color w:val="auto"/>
                <w:sz w:val="18"/>
                <w:szCs w:val="18"/>
              </w:rPr>
              <w:t xml:space="preserve"> Objectives</w:t>
            </w:r>
          </w:p>
        </w:tc>
        <w:tc>
          <w:tcPr>
            <w:tcW w:w="7053" w:type="dxa"/>
            <w:hideMark/>
          </w:tcPr>
          <w:p w14:paraId="049D13CC" w14:textId="77777777" w:rsidR="00D65763" w:rsidRPr="007F5FC2" w:rsidRDefault="00D65763" w:rsidP="00755E63">
            <w:pPr>
              <w:pStyle w:val="ListParagraph"/>
              <w:numPr>
                <w:ilvl w:val="0"/>
                <w:numId w:val="65"/>
              </w:num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Promote business and entrepreneurship within the Black Sea basin</w:t>
            </w:r>
          </w:p>
          <w:p w14:paraId="190D1DC1" w14:textId="77777777" w:rsidR="00D65763" w:rsidRPr="007F5FC2" w:rsidRDefault="00D65763" w:rsidP="003615EB">
            <w:pPr>
              <w:pStyle w:val="ListParagraph"/>
              <w:spacing w:after="20"/>
              <w:ind w:left="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p w14:paraId="273B21C6" w14:textId="77777777" w:rsidR="00D65763" w:rsidRPr="007F5FC2" w:rsidRDefault="00D65763" w:rsidP="008F28CF">
            <w:pPr>
              <w:pStyle w:val="ListParagraph"/>
              <w:numPr>
                <w:ilvl w:val="0"/>
                <w:numId w:val="65"/>
              </w:num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 xml:space="preserve">Promote coordination of environmental protection and joint reduction of marine litter in the Black Sea basin </w:t>
            </w:r>
          </w:p>
        </w:tc>
        <w:tc>
          <w:tcPr>
            <w:tcW w:w="2977" w:type="dxa"/>
            <w:hideMark/>
          </w:tcPr>
          <w:p w14:paraId="228B664C"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 </w:t>
            </w:r>
          </w:p>
        </w:tc>
        <w:tc>
          <w:tcPr>
            <w:tcW w:w="1276" w:type="dxa"/>
          </w:tcPr>
          <w:p w14:paraId="58E04262"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 </w:t>
            </w:r>
          </w:p>
        </w:tc>
        <w:tc>
          <w:tcPr>
            <w:tcW w:w="2302" w:type="dxa"/>
          </w:tcPr>
          <w:p w14:paraId="2E5F7C19" w14:textId="77777777" w:rsidR="00D65763" w:rsidRPr="00DE427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GB"/>
              </w:rPr>
            </w:pPr>
          </w:p>
        </w:tc>
      </w:tr>
      <w:tr w:rsidR="00D65763" w:rsidRPr="00B71347" w14:paraId="32435443" w14:textId="77777777" w:rsidTr="00A571B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35" w:type="dxa"/>
            <w:vMerge w:val="restart"/>
            <w:shd w:val="clear" w:color="auto" w:fill="auto"/>
            <w:noWrap/>
            <w:hideMark/>
          </w:tcPr>
          <w:p w14:paraId="5237A450" w14:textId="77777777" w:rsidR="00D65763" w:rsidRPr="007F5FC2" w:rsidRDefault="00D65763" w:rsidP="003615EB">
            <w:pPr>
              <w:spacing w:after="20"/>
              <w:jc w:val="right"/>
              <w:rPr>
                <w:rFonts w:asciiTheme="minorHAnsi" w:hAnsiTheme="minorHAnsi"/>
                <w:b w:val="0"/>
                <w:bCs w:val="0"/>
                <w:color w:val="auto"/>
                <w:sz w:val="18"/>
                <w:szCs w:val="18"/>
              </w:rPr>
            </w:pPr>
            <w:proofErr w:type="spellStart"/>
            <w:r w:rsidRPr="007F5FC2">
              <w:rPr>
                <w:rFonts w:asciiTheme="minorHAnsi" w:hAnsiTheme="minorHAnsi"/>
                <w:color w:val="auto"/>
                <w:sz w:val="18"/>
                <w:szCs w:val="18"/>
              </w:rPr>
              <w:t>Expected</w:t>
            </w:r>
            <w:proofErr w:type="spellEnd"/>
            <w:r w:rsidRPr="007F5FC2">
              <w:rPr>
                <w:rFonts w:asciiTheme="minorHAnsi" w:hAnsiTheme="minorHAnsi"/>
                <w:color w:val="auto"/>
                <w:sz w:val="18"/>
                <w:szCs w:val="18"/>
              </w:rPr>
              <w:t xml:space="preserve"> </w:t>
            </w:r>
            <w:proofErr w:type="spellStart"/>
            <w:r w:rsidRPr="007F5FC2">
              <w:rPr>
                <w:rFonts w:asciiTheme="minorHAnsi" w:hAnsiTheme="minorHAnsi"/>
                <w:color w:val="auto"/>
                <w:sz w:val="18"/>
                <w:szCs w:val="18"/>
              </w:rPr>
              <w:t>results</w:t>
            </w:r>
            <w:proofErr w:type="spellEnd"/>
          </w:p>
        </w:tc>
        <w:tc>
          <w:tcPr>
            <w:tcW w:w="7053" w:type="dxa"/>
            <w:shd w:val="clear" w:color="auto" w:fill="E6DEC9" w:themeFill="accent4" w:themeFillTint="66"/>
            <w:noWrap/>
            <w:hideMark/>
          </w:tcPr>
          <w:p w14:paraId="3BA760F0" w14:textId="77777777" w:rsidR="00D65763" w:rsidRPr="007F5FC2" w:rsidRDefault="00D65763" w:rsidP="00EE745F">
            <w:pPr>
              <w:pStyle w:val="ListParagraph"/>
              <w:numPr>
                <w:ilvl w:val="1"/>
                <w:numId w:val="25"/>
              </w:num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Stronger cross-border business opportunities in the tourism and cultural sectors in BSB</w:t>
            </w:r>
          </w:p>
        </w:tc>
        <w:tc>
          <w:tcPr>
            <w:tcW w:w="2977" w:type="dxa"/>
            <w:shd w:val="clear" w:color="auto" w:fill="E6DEC9" w:themeFill="accent4" w:themeFillTint="66"/>
            <w:hideMark/>
          </w:tcPr>
          <w:p w14:paraId="1F3EA2CB" w14:textId="77777777" w:rsidR="00D65763" w:rsidRPr="007F5FC2" w:rsidRDefault="00D65763"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bCs/>
                <w:sz w:val="18"/>
                <w:szCs w:val="18"/>
                <w:lang w:val="en-GB"/>
              </w:rPr>
            </w:pPr>
            <w:r w:rsidRPr="007F5FC2">
              <w:rPr>
                <w:rFonts w:asciiTheme="minorHAnsi" w:hAnsiTheme="minorHAnsi"/>
                <w:sz w:val="18"/>
                <w:szCs w:val="18"/>
                <w:lang w:val="en-GB"/>
              </w:rPr>
              <w:t>R1.1</w:t>
            </w:r>
            <w:r w:rsidRPr="007F5FC2">
              <w:rPr>
                <w:rFonts w:asciiTheme="minorHAnsi" w:eastAsia="Times New Roman" w:hAnsiTheme="minorHAnsi" w:cs="Times New Roman"/>
                <w:bCs/>
                <w:sz w:val="18"/>
                <w:szCs w:val="18"/>
                <w:lang w:val="en-GB"/>
              </w:rPr>
              <w:t xml:space="preserve"> Strength of cross-border business opportunities in the tourism and cultural sectors</w:t>
            </w:r>
          </w:p>
        </w:tc>
        <w:tc>
          <w:tcPr>
            <w:tcW w:w="1276" w:type="dxa"/>
            <w:shd w:val="clear" w:color="auto" w:fill="E6DEC9" w:themeFill="accent4" w:themeFillTint="66"/>
          </w:tcPr>
          <w:p w14:paraId="40F803C9"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F5FC2">
              <w:rPr>
                <w:rFonts w:asciiTheme="minorHAnsi" w:hAnsiTheme="minorHAnsi"/>
                <w:sz w:val="18"/>
                <w:szCs w:val="18"/>
                <w:lang w:val="en-GB"/>
              </w:rPr>
              <w:t> </w:t>
            </w:r>
            <w:r w:rsidRPr="007F5FC2">
              <w:rPr>
                <w:rFonts w:asciiTheme="minorHAnsi" w:hAnsiTheme="minorHAnsi"/>
                <w:sz w:val="18"/>
                <w:szCs w:val="18"/>
              </w:rPr>
              <w:t>Survey</w:t>
            </w:r>
          </w:p>
          <w:p w14:paraId="05B61F26"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p>
        </w:tc>
        <w:tc>
          <w:tcPr>
            <w:tcW w:w="2302" w:type="dxa"/>
            <w:vMerge w:val="restart"/>
            <w:shd w:val="clear" w:color="auto" w:fill="E6DEC9" w:themeFill="accent4" w:themeFillTint="66"/>
          </w:tcPr>
          <w:p w14:paraId="36D5A236" w14:textId="77777777" w:rsidR="00D65763" w:rsidRPr="00DE4272" w:rsidRDefault="00D90357"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DE4272">
              <w:rPr>
                <w:rFonts w:asciiTheme="minorHAnsi" w:eastAsia="Times New Roman" w:hAnsiTheme="minorHAnsi" w:cs="Times New Roman"/>
                <w:color w:val="000000"/>
                <w:sz w:val="18"/>
                <w:szCs w:val="18"/>
                <w:lang w:val="en-GB"/>
              </w:rPr>
              <w:t xml:space="preserve">- </w:t>
            </w:r>
            <w:r w:rsidRPr="00DE4272">
              <w:rPr>
                <w:rFonts w:asciiTheme="minorHAnsi" w:hAnsiTheme="minorHAnsi"/>
                <w:sz w:val="18"/>
                <w:szCs w:val="18"/>
                <w:lang w:val="en-GB"/>
              </w:rPr>
              <w:t xml:space="preserve">EU sluggish growth and continuing problems emanating from the debt crisis limit further economic recovery in BSB and development of business and entrepreneurship </w:t>
            </w:r>
          </w:p>
          <w:p w14:paraId="3CBCCE4E" w14:textId="77777777" w:rsidR="005A4E8E" w:rsidRPr="00DE4272" w:rsidRDefault="00D90357"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DE4272">
              <w:rPr>
                <w:rFonts w:asciiTheme="minorHAnsi" w:hAnsiTheme="minorHAnsi"/>
                <w:sz w:val="18"/>
                <w:szCs w:val="18"/>
                <w:lang w:val="en-GB"/>
              </w:rPr>
              <w:t xml:space="preserve"> </w:t>
            </w:r>
          </w:p>
        </w:tc>
      </w:tr>
      <w:tr w:rsidR="00D65763" w:rsidRPr="007F5FC2" w14:paraId="70EB6D31" w14:textId="77777777" w:rsidTr="00A571B2">
        <w:trPr>
          <w:trHeight w:val="368"/>
        </w:trPr>
        <w:tc>
          <w:tcPr>
            <w:cnfStyle w:val="001000000000" w:firstRow="0" w:lastRow="0" w:firstColumn="1" w:lastColumn="0" w:oddVBand="0" w:evenVBand="0" w:oddHBand="0" w:evenHBand="0" w:firstRowFirstColumn="0" w:firstRowLastColumn="0" w:lastRowFirstColumn="0" w:lastRowLastColumn="0"/>
            <w:tcW w:w="1135" w:type="dxa"/>
            <w:vMerge/>
            <w:shd w:val="clear" w:color="auto" w:fill="auto"/>
            <w:noWrap/>
          </w:tcPr>
          <w:p w14:paraId="5C046495" w14:textId="77777777" w:rsidR="00D65763" w:rsidRPr="007F5FC2" w:rsidRDefault="00D65763" w:rsidP="003615EB">
            <w:pPr>
              <w:spacing w:after="20"/>
              <w:jc w:val="right"/>
              <w:rPr>
                <w:rFonts w:asciiTheme="minorHAnsi" w:hAnsiTheme="minorHAnsi"/>
                <w:b w:val="0"/>
                <w:bCs w:val="0"/>
                <w:color w:val="auto"/>
                <w:sz w:val="18"/>
                <w:szCs w:val="18"/>
                <w:lang w:val="en-GB"/>
              </w:rPr>
            </w:pPr>
          </w:p>
        </w:tc>
        <w:tc>
          <w:tcPr>
            <w:tcW w:w="7053" w:type="dxa"/>
            <w:shd w:val="clear" w:color="auto" w:fill="E6DEC9" w:themeFill="accent4" w:themeFillTint="66"/>
            <w:noWrap/>
          </w:tcPr>
          <w:p w14:paraId="2F938497" w14:textId="77777777" w:rsidR="00D65763" w:rsidRPr="007F5FC2" w:rsidRDefault="00D65763" w:rsidP="00EE745F">
            <w:pPr>
              <w:pStyle w:val="ListParagraph"/>
              <w:numPr>
                <w:ilvl w:val="1"/>
                <w:numId w:val="25"/>
              </w:num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Increased cross-border links for trade and modernisation in the agricultural and connected sectors in BSB</w:t>
            </w:r>
          </w:p>
        </w:tc>
        <w:tc>
          <w:tcPr>
            <w:tcW w:w="2977" w:type="dxa"/>
            <w:shd w:val="clear" w:color="auto" w:fill="E6DEC9" w:themeFill="accent4" w:themeFillTint="66"/>
          </w:tcPr>
          <w:p w14:paraId="4952743D" w14:textId="77777777" w:rsidR="00D65763" w:rsidRPr="007F5FC2" w:rsidRDefault="00D65763" w:rsidP="0017725C">
            <w:pPr>
              <w:spacing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R1.2 St</w:t>
            </w:r>
            <w:r w:rsidRPr="007F5FC2">
              <w:rPr>
                <w:rFonts w:asciiTheme="minorHAnsi" w:eastAsia="Times New Roman" w:hAnsiTheme="minorHAnsi" w:cs="Times New Roman"/>
                <w:bCs/>
                <w:sz w:val="18"/>
                <w:szCs w:val="18"/>
                <w:lang w:val="en-GB"/>
              </w:rPr>
              <w:t>rength of cross-border links for trade and modernisation in the agricultural and connected sectors</w:t>
            </w:r>
          </w:p>
        </w:tc>
        <w:tc>
          <w:tcPr>
            <w:tcW w:w="1276" w:type="dxa"/>
            <w:shd w:val="clear" w:color="auto" w:fill="E6DEC9" w:themeFill="accent4" w:themeFillTint="66"/>
          </w:tcPr>
          <w:p w14:paraId="7B422AC3"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F5FC2">
              <w:rPr>
                <w:rFonts w:asciiTheme="minorHAnsi" w:hAnsiTheme="minorHAnsi"/>
                <w:sz w:val="18"/>
                <w:szCs w:val="18"/>
                <w:lang w:val="en-GB"/>
              </w:rPr>
              <w:t> </w:t>
            </w:r>
            <w:r w:rsidRPr="007F5FC2">
              <w:rPr>
                <w:rFonts w:asciiTheme="minorHAnsi" w:hAnsiTheme="minorHAnsi"/>
                <w:sz w:val="18"/>
                <w:szCs w:val="18"/>
              </w:rPr>
              <w:t>Survey</w:t>
            </w:r>
          </w:p>
          <w:p w14:paraId="346F7C8B"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c>
          <w:tcPr>
            <w:tcW w:w="2302" w:type="dxa"/>
            <w:vMerge/>
            <w:shd w:val="clear" w:color="auto" w:fill="E6DEC9" w:themeFill="accent4" w:themeFillTint="66"/>
          </w:tcPr>
          <w:p w14:paraId="3409A428" w14:textId="77777777" w:rsidR="00D65763" w:rsidRPr="00DE427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r>
      <w:tr w:rsidR="00D65763" w:rsidRPr="007F5FC2" w14:paraId="2C441343" w14:textId="77777777" w:rsidTr="00A571B2">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35" w:type="dxa"/>
            <w:vMerge/>
            <w:shd w:val="clear" w:color="auto" w:fill="auto"/>
            <w:noWrap/>
          </w:tcPr>
          <w:p w14:paraId="12C8E8C4" w14:textId="77777777" w:rsidR="00D65763" w:rsidRPr="007F5FC2" w:rsidRDefault="00D65763" w:rsidP="003615EB">
            <w:pPr>
              <w:spacing w:after="20"/>
              <w:jc w:val="right"/>
              <w:rPr>
                <w:rFonts w:asciiTheme="minorHAnsi" w:hAnsiTheme="minorHAnsi"/>
                <w:b w:val="0"/>
                <w:bCs w:val="0"/>
                <w:color w:val="auto"/>
                <w:sz w:val="18"/>
                <w:szCs w:val="18"/>
                <w:lang w:val="en-GB"/>
              </w:rPr>
            </w:pPr>
          </w:p>
        </w:tc>
        <w:tc>
          <w:tcPr>
            <w:tcW w:w="7053" w:type="dxa"/>
            <w:shd w:val="clear" w:color="auto" w:fill="E6DEC9" w:themeFill="accent4" w:themeFillTint="66"/>
            <w:noWrap/>
          </w:tcPr>
          <w:p w14:paraId="40965356" w14:textId="77777777" w:rsidR="00D65763" w:rsidRPr="007F5FC2" w:rsidRDefault="00D65763" w:rsidP="00EE745F">
            <w:pPr>
              <w:pStyle w:val="ListParagraph"/>
              <w:numPr>
                <w:ilvl w:val="1"/>
                <w:numId w:val="26"/>
              </w:num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Improved availability of cross-border compatible environmental monitoring data and information within BSB</w:t>
            </w:r>
          </w:p>
        </w:tc>
        <w:tc>
          <w:tcPr>
            <w:tcW w:w="2977" w:type="dxa"/>
            <w:shd w:val="clear" w:color="auto" w:fill="E6DEC9" w:themeFill="accent4" w:themeFillTint="66"/>
          </w:tcPr>
          <w:p w14:paraId="6207E38E" w14:textId="77777777" w:rsidR="00D65763" w:rsidRPr="007F5FC2" w:rsidRDefault="00D65763"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 xml:space="preserve">R2.1 </w:t>
            </w:r>
            <w:r w:rsidRPr="007F5FC2">
              <w:rPr>
                <w:rFonts w:asciiTheme="minorHAnsi" w:eastAsia="Times New Roman" w:hAnsiTheme="minorHAnsi" w:cs="Times New Roman"/>
                <w:sz w:val="18"/>
                <w:szCs w:val="18"/>
                <w:lang w:val="en-GB"/>
              </w:rPr>
              <w:t>Level of availability of cross-border compatible environmental monitoring data and information</w:t>
            </w:r>
          </w:p>
        </w:tc>
        <w:tc>
          <w:tcPr>
            <w:tcW w:w="1276" w:type="dxa"/>
            <w:shd w:val="clear" w:color="auto" w:fill="E6DEC9" w:themeFill="accent4" w:themeFillTint="66"/>
          </w:tcPr>
          <w:p w14:paraId="63B1AC34"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F5FC2">
              <w:rPr>
                <w:rFonts w:asciiTheme="minorHAnsi" w:hAnsiTheme="minorHAnsi"/>
                <w:sz w:val="18"/>
                <w:szCs w:val="18"/>
                <w:lang w:val="en-GB"/>
              </w:rPr>
              <w:t> </w:t>
            </w:r>
            <w:r w:rsidRPr="007F5FC2">
              <w:rPr>
                <w:rFonts w:asciiTheme="minorHAnsi" w:hAnsiTheme="minorHAnsi"/>
                <w:sz w:val="18"/>
                <w:szCs w:val="18"/>
              </w:rPr>
              <w:t>Survey</w:t>
            </w:r>
          </w:p>
          <w:p w14:paraId="32283D21"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p>
        </w:tc>
        <w:tc>
          <w:tcPr>
            <w:tcW w:w="2302" w:type="dxa"/>
            <w:vMerge/>
            <w:shd w:val="clear" w:color="auto" w:fill="E6DEC9" w:themeFill="accent4" w:themeFillTint="66"/>
          </w:tcPr>
          <w:p w14:paraId="4CBDE697" w14:textId="77777777" w:rsidR="00D65763" w:rsidRPr="00DE427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p>
        </w:tc>
      </w:tr>
      <w:tr w:rsidR="00D65763" w:rsidRPr="007F5FC2" w14:paraId="2CD6102B" w14:textId="77777777" w:rsidTr="00A571B2">
        <w:trPr>
          <w:trHeight w:val="368"/>
        </w:trPr>
        <w:tc>
          <w:tcPr>
            <w:cnfStyle w:val="001000000000" w:firstRow="0" w:lastRow="0" w:firstColumn="1" w:lastColumn="0" w:oddVBand="0" w:evenVBand="0" w:oddHBand="0" w:evenHBand="0" w:firstRowFirstColumn="0" w:firstRowLastColumn="0" w:lastRowFirstColumn="0" w:lastRowLastColumn="0"/>
            <w:tcW w:w="1135" w:type="dxa"/>
            <w:vMerge/>
            <w:shd w:val="clear" w:color="auto" w:fill="auto"/>
            <w:noWrap/>
          </w:tcPr>
          <w:p w14:paraId="4AA3B41A" w14:textId="77777777" w:rsidR="00D65763" w:rsidRPr="007F5FC2" w:rsidRDefault="00D65763" w:rsidP="003615EB">
            <w:pPr>
              <w:spacing w:after="20"/>
              <w:jc w:val="right"/>
              <w:rPr>
                <w:rFonts w:asciiTheme="minorHAnsi" w:hAnsiTheme="minorHAnsi"/>
                <w:b w:val="0"/>
                <w:bCs w:val="0"/>
                <w:color w:val="auto"/>
                <w:sz w:val="18"/>
                <w:szCs w:val="18"/>
                <w:lang w:val="en-GB"/>
              </w:rPr>
            </w:pPr>
          </w:p>
        </w:tc>
        <w:tc>
          <w:tcPr>
            <w:tcW w:w="7053" w:type="dxa"/>
            <w:shd w:val="clear" w:color="auto" w:fill="E6DEC9" w:themeFill="accent4" w:themeFillTint="66"/>
            <w:noWrap/>
          </w:tcPr>
          <w:p w14:paraId="05411D38" w14:textId="77777777" w:rsidR="00D65763" w:rsidRPr="007F5FC2" w:rsidRDefault="00D65763" w:rsidP="00EE745F">
            <w:pPr>
              <w:pStyle w:val="ListParagraph"/>
              <w:numPr>
                <w:ilvl w:val="1"/>
                <w:numId w:val="26"/>
              </w:num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eastAsia="Times New Roman" w:hAnsiTheme="minorHAnsi" w:cs="Times New Roman"/>
                <w:sz w:val="18"/>
                <w:szCs w:val="18"/>
                <w:lang w:val="en-GB"/>
              </w:rPr>
              <w:t>Increased awareness on environmental challenges and good waste management practices related to river and marine litter within BSB</w:t>
            </w:r>
          </w:p>
        </w:tc>
        <w:tc>
          <w:tcPr>
            <w:tcW w:w="2977" w:type="dxa"/>
            <w:shd w:val="clear" w:color="auto" w:fill="E6DEC9" w:themeFill="accent4" w:themeFillTint="66"/>
          </w:tcPr>
          <w:p w14:paraId="2E0AA3AB" w14:textId="77777777" w:rsidR="00D65763" w:rsidRPr="007F5FC2" w:rsidRDefault="00D65763" w:rsidP="0017725C">
            <w:pPr>
              <w:spacing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 xml:space="preserve">R2.2 </w:t>
            </w:r>
            <w:r w:rsidRPr="007F5FC2">
              <w:rPr>
                <w:rFonts w:asciiTheme="minorHAnsi" w:eastAsia="Times New Roman" w:hAnsiTheme="minorHAnsi" w:cs="Times New Roman"/>
                <w:sz w:val="18"/>
                <w:szCs w:val="18"/>
                <w:lang w:val="en-GB"/>
              </w:rPr>
              <w:t>Level of awareness on environmental challenges and good waste management practices related to river and marine litter</w:t>
            </w:r>
          </w:p>
        </w:tc>
        <w:tc>
          <w:tcPr>
            <w:tcW w:w="1276" w:type="dxa"/>
            <w:shd w:val="clear" w:color="auto" w:fill="E6DEC9" w:themeFill="accent4" w:themeFillTint="66"/>
          </w:tcPr>
          <w:p w14:paraId="6935A50B"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F5FC2">
              <w:rPr>
                <w:rFonts w:asciiTheme="minorHAnsi" w:hAnsiTheme="minorHAnsi"/>
                <w:sz w:val="18"/>
                <w:szCs w:val="18"/>
                <w:lang w:val="en-GB"/>
              </w:rPr>
              <w:t> </w:t>
            </w:r>
            <w:r w:rsidRPr="007F5FC2">
              <w:rPr>
                <w:rFonts w:asciiTheme="minorHAnsi" w:hAnsiTheme="minorHAnsi"/>
                <w:sz w:val="18"/>
                <w:szCs w:val="18"/>
              </w:rPr>
              <w:t>Survey</w:t>
            </w:r>
          </w:p>
          <w:p w14:paraId="4A09939A"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c>
          <w:tcPr>
            <w:tcW w:w="2302" w:type="dxa"/>
            <w:vMerge/>
            <w:shd w:val="clear" w:color="auto" w:fill="E6DEC9" w:themeFill="accent4" w:themeFillTint="66"/>
          </w:tcPr>
          <w:p w14:paraId="6C705768" w14:textId="77777777" w:rsidR="00D65763" w:rsidRPr="00DE427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r>
      <w:tr w:rsidR="00D65763" w:rsidRPr="00B71347" w14:paraId="70C507FB" w14:textId="77777777" w:rsidTr="00A571B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35" w:type="dxa"/>
            <w:vMerge w:val="restart"/>
            <w:noWrap/>
            <w:hideMark/>
          </w:tcPr>
          <w:p w14:paraId="2B36FDF1" w14:textId="77777777" w:rsidR="00D65763" w:rsidRPr="007F5FC2" w:rsidRDefault="00D65763" w:rsidP="003615EB">
            <w:pPr>
              <w:spacing w:after="20"/>
              <w:jc w:val="right"/>
              <w:rPr>
                <w:rFonts w:asciiTheme="minorHAnsi" w:hAnsiTheme="minorHAnsi"/>
                <w:b w:val="0"/>
                <w:bCs w:val="0"/>
                <w:color w:val="auto"/>
                <w:sz w:val="18"/>
                <w:szCs w:val="18"/>
              </w:rPr>
            </w:pPr>
            <w:r w:rsidRPr="007F5FC2">
              <w:rPr>
                <w:rFonts w:asciiTheme="minorHAnsi" w:hAnsiTheme="minorHAnsi"/>
                <w:color w:val="auto"/>
                <w:sz w:val="18"/>
                <w:szCs w:val="18"/>
              </w:rPr>
              <w:t xml:space="preserve">Indicative </w:t>
            </w:r>
            <w:proofErr w:type="spellStart"/>
            <w:r w:rsidRPr="007F5FC2">
              <w:rPr>
                <w:rFonts w:asciiTheme="minorHAnsi" w:hAnsiTheme="minorHAnsi"/>
                <w:color w:val="auto"/>
                <w:sz w:val="18"/>
                <w:szCs w:val="18"/>
              </w:rPr>
              <w:t>activities</w:t>
            </w:r>
            <w:proofErr w:type="spellEnd"/>
          </w:p>
        </w:tc>
        <w:tc>
          <w:tcPr>
            <w:tcW w:w="7053" w:type="dxa"/>
            <w:vMerge w:val="restart"/>
            <w:shd w:val="clear" w:color="auto" w:fill="F2EEE4" w:themeFill="accent4" w:themeFillTint="33"/>
            <w:hideMark/>
          </w:tcPr>
          <w:p w14:paraId="77B8C27E"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.a</w:t>
            </w:r>
            <w:proofErr w:type="gramEnd"/>
            <w:r w:rsidRPr="007F5FC2">
              <w:rPr>
                <w:rFonts w:asciiTheme="minorHAnsi" w:hAnsiTheme="minorHAnsi"/>
                <w:sz w:val="18"/>
                <w:szCs w:val="18"/>
                <w:lang w:val="en-GB"/>
              </w:rPr>
              <w:t xml:space="preserve"> Develop cross-border tourism products and transnational thematic itineraries. </w:t>
            </w:r>
          </w:p>
          <w:p w14:paraId="060A419B"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.b</w:t>
            </w:r>
            <w:proofErr w:type="gramEnd"/>
            <w:r w:rsidRPr="007F5FC2">
              <w:rPr>
                <w:rFonts w:asciiTheme="minorHAnsi" w:hAnsiTheme="minorHAnsi"/>
                <w:sz w:val="18"/>
                <w:szCs w:val="18"/>
                <w:lang w:val="en-GB"/>
              </w:rPr>
              <w:t xml:space="preserve"> Promote networking and connectivity among tourism and cultural actors within BSB. </w:t>
            </w:r>
          </w:p>
          <w:p w14:paraId="52838517"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.c</w:t>
            </w:r>
            <w:proofErr w:type="gramEnd"/>
            <w:r w:rsidRPr="007F5FC2">
              <w:rPr>
                <w:rFonts w:asciiTheme="minorHAnsi" w:hAnsiTheme="minorHAnsi"/>
                <w:sz w:val="18"/>
                <w:szCs w:val="18"/>
                <w:lang w:val="en-GB"/>
              </w:rPr>
              <w:t xml:space="preserve"> Develop jointly targeted tourism packages for specific markets and more innovative tourism products.</w:t>
            </w:r>
          </w:p>
          <w:p w14:paraId="1A959C86"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.d</w:t>
            </w:r>
            <w:proofErr w:type="gramEnd"/>
            <w:r w:rsidRPr="007F5FC2">
              <w:rPr>
                <w:rFonts w:asciiTheme="minorHAnsi" w:hAnsiTheme="minorHAnsi"/>
                <w:sz w:val="18"/>
                <w:szCs w:val="18"/>
                <w:lang w:val="en-GB"/>
              </w:rPr>
              <w:t xml:space="preserve"> Jointly enhance the openness of the Black Sea Region to international and non-European tourism.</w:t>
            </w:r>
          </w:p>
          <w:p w14:paraId="78A279FF"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.e</w:t>
            </w:r>
            <w:proofErr w:type="gramEnd"/>
            <w:r w:rsidRPr="007F5FC2">
              <w:rPr>
                <w:rFonts w:asciiTheme="minorHAnsi" w:hAnsiTheme="minorHAnsi"/>
                <w:sz w:val="18"/>
                <w:szCs w:val="18"/>
                <w:lang w:val="en-GB"/>
              </w:rPr>
              <w:t xml:space="preserve"> Encourage networking and share good experience in strengthening cultural and creative industries.</w:t>
            </w:r>
          </w:p>
          <w:p w14:paraId="0C2F2A1F"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.f</w:t>
            </w:r>
            <w:proofErr w:type="gramEnd"/>
            <w:r w:rsidRPr="007F5FC2">
              <w:rPr>
                <w:rFonts w:asciiTheme="minorHAnsi" w:hAnsiTheme="minorHAnsi"/>
                <w:sz w:val="18"/>
                <w:szCs w:val="18"/>
                <w:lang w:val="en-GB"/>
              </w:rPr>
              <w:t xml:space="preserve"> Exchange best practices on the development of environmentally friendly tourism strategies. </w:t>
            </w:r>
          </w:p>
          <w:p w14:paraId="086F8BC1"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.g</w:t>
            </w:r>
            <w:proofErr w:type="gramEnd"/>
            <w:r w:rsidRPr="007F5FC2">
              <w:rPr>
                <w:rFonts w:asciiTheme="minorHAnsi" w:hAnsiTheme="minorHAnsi"/>
                <w:sz w:val="18"/>
                <w:szCs w:val="18"/>
                <w:lang w:val="en-GB"/>
              </w:rPr>
              <w:t xml:space="preserve"> Promote historical heritage and support its preservation for tourism development.</w:t>
            </w:r>
          </w:p>
          <w:p w14:paraId="3A513033"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.h</w:t>
            </w:r>
            <w:proofErr w:type="gramEnd"/>
            <w:r w:rsidRPr="007F5FC2">
              <w:rPr>
                <w:rFonts w:asciiTheme="minorHAnsi" w:hAnsiTheme="minorHAnsi"/>
                <w:sz w:val="18"/>
                <w:szCs w:val="18"/>
                <w:lang w:val="en-GB"/>
              </w:rPr>
              <w:t>. Jointly promote cultural products and events.</w:t>
            </w:r>
          </w:p>
          <w:p w14:paraId="57B2DA22"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en-GB"/>
              </w:rPr>
            </w:pPr>
            <w:r w:rsidRPr="007F5FC2">
              <w:rPr>
                <w:rFonts w:asciiTheme="minorHAnsi" w:hAnsiTheme="minorHAnsi"/>
                <w:sz w:val="18"/>
                <w:szCs w:val="18"/>
                <w:lang w:val="en-GB"/>
              </w:rPr>
              <w:t>1.1</w:t>
            </w:r>
            <w:proofErr w:type="gramStart"/>
            <w:r w:rsidRPr="007F5FC2">
              <w:rPr>
                <w:rFonts w:asciiTheme="minorHAnsi" w:hAnsiTheme="minorHAnsi"/>
                <w:sz w:val="18"/>
                <w:szCs w:val="18"/>
                <w:lang w:val="en-GB"/>
              </w:rPr>
              <w:t>.i</w:t>
            </w:r>
            <w:proofErr w:type="gramEnd"/>
            <w:r w:rsidRPr="007F5FC2">
              <w:rPr>
                <w:rFonts w:asciiTheme="minorHAnsi" w:hAnsiTheme="minorHAnsi"/>
                <w:sz w:val="18"/>
                <w:szCs w:val="18"/>
                <w:lang w:val="en-GB"/>
              </w:rPr>
              <w:t xml:space="preserve">. Improve tourism services and promote the upgrade of skills (e.g. through exchange </w:t>
            </w:r>
            <w:r w:rsidRPr="007F5FC2">
              <w:rPr>
                <w:rFonts w:asciiTheme="minorHAnsi" w:hAnsiTheme="minorHAnsi"/>
                <w:sz w:val="18"/>
                <w:szCs w:val="18"/>
                <w:lang w:val="en-GB"/>
              </w:rPr>
              <w:lastRenderedPageBreak/>
              <w:t>programmes between educational institutions or the joint creation of open online courses).</w:t>
            </w:r>
          </w:p>
        </w:tc>
        <w:tc>
          <w:tcPr>
            <w:tcW w:w="2977" w:type="dxa"/>
            <w:shd w:val="clear" w:color="auto" w:fill="F2EEE4" w:themeFill="accent4" w:themeFillTint="33"/>
            <w:noWrap/>
            <w:hideMark/>
          </w:tcPr>
          <w:p w14:paraId="036740BE" w14:textId="77777777" w:rsidR="00D65763" w:rsidRPr="007F5FC2" w:rsidRDefault="00D65763"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bCs/>
                <w:sz w:val="18"/>
                <w:szCs w:val="18"/>
                <w:lang w:val="en-GB"/>
              </w:rPr>
            </w:pPr>
            <w:r w:rsidRPr="007F5FC2">
              <w:rPr>
                <w:rFonts w:asciiTheme="minorHAnsi" w:hAnsiTheme="minorHAnsi"/>
                <w:bCs/>
                <w:iCs/>
                <w:sz w:val="18"/>
                <w:szCs w:val="18"/>
                <w:lang w:val="en-GB"/>
              </w:rPr>
              <w:lastRenderedPageBreak/>
              <w:t>O</w:t>
            </w:r>
            <w:r w:rsidRPr="007F5FC2">
              <w:rPr>
                <w:rFonts w:asciiTheme="minorHAnsi" w:eastAsia="Times New Roman" w:hAnsiTheme="minorHAnsi" w:cs="Times New Roman"/>
                <w:bCs/>
                <w:sz w:val="18"/>
                <w:szCs w:val="18"/>
                <w:lang w:val="en-GB"/>
              </w:rPr>
              <w:t>1.1.1 – Number of strategies and products developed jointly to promote tourism</w:t>
            </w:r>
          </w:p>
          <w:p w14:paraId="2B2B6C33" w14:textId="77777777" w:rsidR="00D65763" w:rsidRPr="007F5FC2" w:rsidRDefault="00D65763"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i/>
                <w:iCs/>
                <w:sz w:val="18"/>
                <w:szCs w:val="18"/>
                <w:lang w:val="en-GB"/>
              </w:rPr>
            </w:pPr>
          </w:p>
        </w:tc>
        <w:tc>
          <w:tcPr>
            <w:tcW w:w="1276" w:type="dxa"/>
            <w:shd w:val="clear" w:color="auto" w:fill="F2EEE4" w:themeFill="accent4" w:themeFillTint="33"/>
          </w:tcPr>
          <w:p w14:paraId="3BE2BCB1"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lang w:val="en-GB"/>
              </w:rPr>
            </w:pPr>
            <w:r w:rsidRPr="007F5FC2">
              <w:rPr>
                <w:rFonts w:asciiTheme="minorHAnsi" w:hAnsiTheme="minorHAnsi"/>
                <w:bCs/>
                <w:iCs/>
                <w:sz w:val="18"/>
                <w:szCs w:val="18"/>
              </w:rPr>
              <w:t>Project reports</w:t>
            </w:r>
          </w:p>
        </w:tc>
        <w:tc>
          <w:tcPr>
            <w:tcW w:w="2302" w:type="dxa"/>
            <w:vMerge w:val="restart"/>
            <w:shd w:val="clear" w:color="auto" w:fill="F2EEE4" w:themeFill="accent4" w:themeFillTint="33"/>
          </w:tcPr>
          <w:p w14:paraId="046D95D1" w14:textId="77777777" w:rsidR="00EF16CC" w:rsidRPr="00EF16CC" w:rsidRDefault="00EF16CC" w:rsidP="0017725C">
            <w:pPr>
              <w:spacing w:after="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GB"/>
              </w:rPr>
            </w:pPr>
            <w:r w:rsidRPr="00EF16CC">
              <w:rPr>
                <w:rFonts w:eastAsia="Times New Roman" w:cs="Times New Roman"/>
                <w:color w:val="000000"/>
                <w:sz w:val="18"/>
                <w:szCs w:val="18"/>
                <w:lang w:val="en-GB"/>
              </w:rPr>
              <w:t>-</w:t>
            </w:r>
            <w:r>
              <w:rPr>
                <w:rFonts w:eastAsia="Times New Roman" w:cs="Times New Roman"/>
                <w:color w:val="000000"/>
                <w:sz w:val="18"/>
                <w:szCs w:val="18"/>
                <w:lang w:val="en-GB"/>
              </w:rPr>
              <w:t xml:space="preserve"> </w:t>
            </w:r>
            <w:r w:rsidR="00C54666">
              <w:rPr>
                <w:rFonts w:eastAsia="Times New Roman" w:cs="Times New Roman"/>
                <w:color w:val="000000"/>
                <w:sz w:val="18"/>
                <w:szCs w:val="18"/>
                <w:lang w:val="en-GB"/>
              </w:rPr>
              <w:t xml:space="preserve">Lack of political commitment by some eligible countries to </w:t>
            </w:r>
            <w:r w:rsidRPr="00EF16CC">
              <w:rPr>
                <w:rFonts w:eastAsia="Times New Roman" w:cs="Times New Roman"/>
                <w:color w:val="000000"/>
                <w:sz w:val="18"/>
                <w:szCs w:val="18"/>
                <w:lang w:val="en-GB"/>
              </w:rPr>
              <w:t>participate in the BSB programme</w:t>
            </w:r>
          </w:p>
          <w:p w14:paraId="7B191949" w14:textId="77777777" w:rsidR="00EF16CC" w:rsidRDefault="00EF16CC" w:rsidP="00EF16CC">
            <w:pPr>
              <w:cnfStyle w:val="000000100000" w:firstRow="0" w:lastRow="0" w:firstColumn="0" w:lastColumn="0" w:oddVBand="0" w:evenVBand="0" w:oddHBand="1" w:evenHBand="0" w:firstRowFirstColumn="0" w:firstRowLastColumn="0" w:lastRowFirstColumn="0" w:lastRowLastColumn="0"/>
              <w:rPr>
                <w:lang w:val="en-GB"/>
              </w:rPr>
            </w:pPr>
          </w:p>
          <w:p w14:paraId="0CEC05BA" w14:textId="77777777" w:rsidR="00EF16CC" w:rsidRPr="00EF16CC" w:rsidRDefault="00EF16CC" w:rsidP="00EF16CC">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DE4272">
              <w:rPr>
                <w:rFonts w:asciiTheme="minorHAnsi" w:hAnsiTheme="minorHAnsi"/>
                <w:sz w:val="18"/>
                <w:szCs w:val="18"/>
                <w:lang w:val="en-GB"/>
              </w:rPr>
              <w:t>- Cross-border cooperation is hampered by an unstable political situation in some regions and/or by regional conflicts</w:t>
            </w:r>
          </w:p>
          <w:p w14:paraId="55A45BF4" w14:textId="77777777" w:rsidR="00EF16CC" w:rsidRDefault="00EF16CC"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1D688000" w14:textId="77777777" w:rsidR="00D65763" w:rsidRPr="00DE4272" w:rsidRDefault="004F588F"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r>
              <w:rPr>
                <w:rFonts w:asciiTheme="minorHAnsi" w:eastAsia="Times New Roman" w:hAnsiTheme="minorHAnsi" w:cs="Times New Roman"/>
                <w:color w:val="000000"/>
                <w:sz w:val="18"/>
                <w:szCs w:val="18"/>
                <w:lang w:val="en-GB"/>
              </w:rPr>
              <w:t xml:space="preserve">- </w:t>
            </w:r>
            <w:r w:rsidR="005A4E8E" w:rsidRPr="00DE4272">
              <w:rPr>
                <w:rFonts w:asciiTheme="minorHAnsi" w:eastAsia="Times New Roman" w:hAnsiTheme="minorHAnsi" w:cs="Times New Roman"/>
                <w:color w:val="000000"/>
                <w:sz w:val="18"/>
                <w:szCs w:val="18"/>
                <w:lang w:val="en-GB"/>
              </w:rPr>
              <w:t xml:space="preserve">ENI CBC new management and </w:t>
            </w:r>
            <w:r w:rsidR="005A4E8E" w:rsidRPr="00DE4272">
              <w:rPr>
                <w:rFonts w:asciiTheme="minorHAnsi" w:eastAsia="Times New Roman" w:hAnsiTheme="minorHAnsi" w:cs="Times New Roman"/>
                <w:color w:val="000000"/>
                <w:sz w:val="18"/>
                <w:szCs w:val="18"/>
                <w:lang w:val="en-GB"/>
              </w:rPr>
              <w:lastRenderedPageBreak/>
              <w:t>implementation modalities result in delays in programme start-up and implementation</w:t>
            </w:r>
          </w:p>
          <w:p w14:paraId="4D034A1B" w14:textId="77777777" w:rsidR="004F588F" w:rsidRDefault="004F588F"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123EB9F0" w14:textId="77777777" w:rsidR="004F588F"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r>
              <w:rPr>
                <w:rFonts w:asciiTheme="minorHAnsi" w:eastAsia="Times New Roman" w:hAnsiTheme="minorHAnsi" w:cs="Times New Roman"/>
                <w:color w:val="000000"/>
                <w:sz w:val="18"/>
                <w:szCs w:val="18"/>
                <w:lang w:val="en-GB"/>
              </w:rPr>
              <w:t xml:space="preserve">- </w:t>
            </w:r>
            <w:r w:rsidR="005A4E8E" w:rsidRPr="00DE4272">
              <w:rPr>
                <w:rFonts w:asciiTheme="minorHAnsi" w:eastAsia="Times New Roman" w:hAnsiTheme="minorHAnsi" w:cs="Times New Roman"/>
                <w:color w:val="000000"/>
                <w:sz w:val="18"/>
                <w:szCs w:val="18"/>
                <w:lang w:val="en-GB"/>
              </w:rPr>
              <w:t>Decreasing interest from applicants in ENI CBC because of lengthy procedures for selection/contracting and grant payment</w:t>
            </w:r>
          </w:p>
          <w:p w14:paraId="0B6FF4A6" w14:textId="77777777" w:rsidR="004F588F"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61092A37" w14:textId="77777777" w:rsidR="00D65763" w:rsidRPr="00DE4272"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r>
              <w:rPr>
                <w:rFonts w:asciiTheme="minorHAnsi" w:eastAsia="Times New Roman" w:hAnsiTheme="minorHAnsi" w:cs="Times New Roman"/>
                <w:color w:val="000000"/>
                <w:sz w:val="18"/>
                <w:szCs w:val="18"/>
                <w:lang w:val="en-GB"/>
              </w:rPr>
              <w:t xml:space="preserve">- </w:t>
            </w:r>
            <w:r w:rsidR="005A4E8E" w:rsidRPr="00DE4272">
              <w:rPr>
                <w:rFonts w:asciiTheme="minorHAnsi" w:eastAsia="Times New Roman" w:hAnsiTheme="minorHAnsi" w:cs="Times New Roman"/>
                <w:color w:val="000000"/>
                <w:sz w:val="18"/>
                <w:szCs w:val="18"/>
                <w:lang w:val="en-GB"/>
              </w:rPr>
              <w:t>Difficulties in finding partners limits countries balanced participation in the programme</w:t>
            </w:r>
          </w:p>
          <w:p w14:paraId="37A57CBD" w14:textId="77777777" w:rsidR="004F588F"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62AF22B1" w14:textId="77777777" w:rsidR="005A4E8E" w:rsidRPr="00DE4272"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r>
              <w:rPr>
                <w:rFonts w:asciiTheme="minorHAnsi" w:eastAsia="Times New Roman" w:hAnsiTheme="minorHAnsi" w:cs="Times New Roman"/>
                <w:color w:val="000000"/>
                <w:sz w:val="18"/>
                <w:szCs w:val="18"/>
                <w:lang w:val="en-GB"/>
              </w:rPr>
              <w:t xml:space="preserve">- </w:t>
            </w:r>
            <w:r w:rsidR="005A4E8E" w:rsidRPr="00DE4272">
              <w:rPr>
                <w:rFonts w:asciiTheme="minorHAnsi" w:eastAsia="Times New Roman" w:hAnsiTheme="minorHAnsi" w:cs="Times New Roman"/>
                <w:color w:val="000000"/>
                <w:sz w:val="18"/>
                <w:szCs w:val="18"/>
                <w:lang w:val="en-GB"/>
              </w:rPr>
              <w:t xml:space="preserve">Limited capacity </w:t>
            </w:r>
            <w:r w:rsidR="00607D00">
              <w:rPr>
                <w:rFonts w:asciiTheme="minorHAnsi" w:eastAsia="Times New Roman" w:hAnsiTheme="minorHAnsi" w:cs="Times New Roman"/>
                <w:color w:val="000000"/>
                <w:sz w:val="18"/>
                <w:szCs w:val="18"/>
                <w:lang w:val="en-GB"/>
              </w:rPr>
              <w:t xml:space="preserve">(including financial) </w:t>
            </w:r>
            <w:r w:rsidR="005A4E8E" w:rsidRPr="00DE4272">
              <w:rPr>
                <w:rFonts w:asciiTheme="minorHAnsi" w:eastAsia="Times New Roman" w:hAnsiTheme="minorHAnsi" w:cs="Times New Roman"/>
                <w:color w:val="000000"/>
                <w:sz w:val="18"/>
                <w:szCs w:val="18"/>
                <w:lang w:val="en-GB"/>
              </w:rPr>
              <w:t>of project partners hampers project implementation</w:t>
            </w:r>
          </w:p>
          <w:p w14:paraId="73D2DDCE" w14:textId="77777777" w:rsidR="004F588F"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7B940B30" w14:textId="77777777" w:rsidR="00AE79B7" w:rsidRDefault="004F588F"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r>
              <w:rPr>
                <w:rFonts w:asciiTheme="minorHAnsi" w:eastAsia="Times New Roman" w:hAnsiTheme="minorHAnsi" w:cs="Times New Roman"/>
                <w:color w:val="000000"/>
                <w:sz w:val="18"/>
                <w:szCs w:val="18"/>
                <w:lang w:val="en-GB"/>
              </w:rPr>
              <w:t xml:space="preserve">- </w:t>
            </w:r>
            <w:r w:rsidR="005A4E8E" w:rsidRPr="00DE4272">
              <w:rPr>
                <w:rFonts w:asciiTheme="minorHAnsi" w:eastAsia="Times New Roman" w:hAnsiTheme="minorHAnsi" w:cs="Times New Roman"/>
                <w:color w:val="000000"/>
                <w:sz w:val="18"/>
                <w:szCs w:val="18"/>
                <w:lang w:val="en-GB"/>
              </w:rPr>
              <w:t>Projects partners face implementation difficulties because of slow grant payment procedures</w:t>
            </w:r>
          </w:p>
          <w:p w14:paraId="797E2B3E" w14:textId="77777777" w:rsidR="00AE79B7" w:rsidRDefault="00AE79B7"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GB"/>
              </w:rPr>
            </w:pPr>
          </w:p>
          <w:p w14:paraId="784DDEA2" w14:textId="77777777" w:rsidR="005A4E8E" w:rsidRPr="00AE79B7" w:rsidRDefault="00AE79B7" w:rsidP="0017725C">
            <w:pPr>
              <w:spacing w:after="2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GB"/>
              </w:rPr>
            </w:pPr>
            <w:r w:rsidRPr="00AE79B7">
              <w:rPr>
                <w:rFonts w:eastAsia="Times New Roman" w:cs="Times New Roman"/>
                <w:color w:val="000000"/>
                <w:sz w:val="18"/>
                <w:szCs w:val="18"/>
                <w:lang w:val="en-GB"/>
              </w:rPr>
              <w:t>-</w:t>
            </w:r>
            <w:r>
              <w:rPr>
                <w:rFonts w:eastAsia="Times New Roman" w:cs="Times New Roman"/>
                <w:color w:val="000000"/>
                <w:sz w:val="18"/>
                <w:szCs w:val="18"/>
                <w:lang w:val="en-GB"/>
              </w:rPr>
              <w:t xml:space="preserve"> </w:t>
            </w:r>
            <w:r w:rsidR="005A4E8E" w:rsidRPr="00AE79B7">
              <w:rPr>
                <w:rFonts w:eastAsia="Times New Roman" w:cs="Times New Roman"/>
                <w:color w:val="000000"/>
                <w:sz w:val="18"/>
                <w:szCs w:val="18"/>
                <w:lang w:val="en-GB"/>
              </w:rPr>
              <w:t>Financial losses at programme</w:t>
            </w:r>
            <w:r w:rsidR="00607D00">
              <w:rPr>
                <w:rFonts w:eastAsia="Times New Roman" w:cs="Times New Roman"/>
                <w:color w:val="000000"/>
                <w:sz w:val="18"/>
                <w:szCs w:val="18"/>
                <w:lang w:val="en-GB"/>
              </w:rPr>
              <w:t xml:space="preserve"> level resulting from fraud</w:t>
            </w:r>
            <w:r w:rsidR="005A4E8E" w:rsidRPr="00AE79B7">
              <w:rPr>
                <w:rFonts w:eastAsia="Times New Roman" w:cs="Times New Roman"/>
                <w:color w:val="000000"/>
                <w:sz w:val="18"/>
                <w:szCs w:val="18"/>
                <w:lang w:val="en-GB"/>
              </w:rPr>
              <w:t xml:space="preserve"> or financial mismanagement</w:t>
            </w:r>
          </w:p>
          <w:p w14:paraId="5E62E975" w14:textId="77777777" w:rsidR="00AE79B7" w:rsidRPr="00AE79B7" w:rsidRDefault="00AE79B7" w:rsidP="00AE79B7">
            <w:pPr>
              <w:cnfStyle w:val="000000100000" w:firstRow="0" w:lastRow="0" w:firstColumn="0" w:lastColumn="0" w:oddVBand="0" w:evenVBand="0" w:oddHBand="1" w:evenHBand="0" w:firstRowFirstColumn="0" w:firstRowLastColumn="0" w:lastRowFirstColumn="0" w:lastRowLastColumn="0"/>
              <w:rPr>
                <w:lang w:val="en-GB"/>
              </w:rPr>
            </w:pPr>
          </w:p>
          <w:p w14:paraId="13A30A0B" w14:textId="77777777" w:rsidR="00AE79B7" w:rsidRPr="00AE79B7" w:rsidRDefault="00AE79B7" w:rsidP="00AE79B7">
            <w:pPr>
              <w:spacing w:after="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val="en-GB"/>
              </w:rPr>
            </w:pPr>
          </w:p>
        </w:tc>
      </w:tr>
      <w:tr w:rsidR="00D65763" w:rsidRPr="007F5FC2" w14:paraId="1E69183A" w14:textId="77777777" w:rsidTr="00A571B2">
        <w:trPr>
          <w:trHeight w:val="928"/>
        </w:trPr>
        <w:tc>
          <w:tcPr>
            <w:cnfStyle w:val="001000000000" w:firstRow="0" w:lastRow="0" w:firstColumn="1" w:lastColumn="0" w:oddVBand="0" w:evenVBand="0" w:oddHBand="0" w:evenHBand="0" w:firstRowFirstColumn="0" w:firstRowLastColumn="0" w:lastRowFirstColumn="0" w:lastRowLastColumn="0"/>
            <w:tcW w:w="1135" w:type="dxa"/>
            <w:vMerge/>
            <w:noWrap/>
          </w:tcPr>
          <w:p w14:paraId="51D02D08" w14:textId="77777777" w:rsidR="00D65763" w:rsidRPr="007F5FC2" w:rsidRDefault="00D65763" w:rsidP="003615EB">
            <w:pPr>
              <w:spacing w:after="20"/>
              <w:jc w:val="right"/>
              <w:rPr>
                <w:rFonts w:asciiTheme="minorHAnsi" w:hAnsiTheme="minorHAnsi"/>
                <w:b w:val="0"/>
                <w:bCs w:val="0"/>
                <w:color w:val="auto"/>
                <w:sz w:val="18"/>
                <w:szCs w:val="18"/>
                <w:lang w:val="en-GB"/>
              </w:rPr>
            </w:pPr>
          </w:p>
        </w:tc>
        <w:tc>
          <w:tcPr>
            <w:tcW w:w="7053" w:type="dxa"/>
            <w:vMerge/>
            <w:shd w:val="clear" w:color="auto" w:fill="F2EEE4" w:themeFill="accent4" w:themeFillTint="33"/>
          </w:tcPr>
          <w:p w14:paraId="3A5C67B2"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c>
          <w:tcPr>
            <w:tcW w:w="2977" w:type="dxa"/>
            <w:shd w:val="clear" w:color="auto" w:fill="F2EEE4" w:themeFill="accent4" w:themeFillTint="33"/>
            <w:noWrap/>
          </w:tcPr>
          <w:p w14:paraId="0602DEB3" w14:textId="77777777" w:rsidR="00D65763" w:rsidRPr="007F5FC2" w:rsidRDefault="00D65763" w:rsidP="0017725C">
            <w:pPr>
              <w:widowControl w:val="0"/>
              <w:autoSpaceDE w:val="0"/>
              <w:autoSpaceDN w:val="0"/>
              <w:adjustRightInd w:val="0"/>
              <w:spacing w:after="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cs="Times New Roman"/>
                <w:sz w:val="18"/>
                <w:szCs w:val="18"/>
                <w:lang w:val="en-GB"/>
              </w:rPr>
              <w:t xml:space="preserve">O1.1.2 - Number of </w:t>
            </w:r>
            <w:proofErr w:type="spellStart"/>
            <w:r w:rsidRPr="007F5FC2">
              <w:rPr>
                <w:rFonts w:asciiTheme="minorHAnsi" w:hAnsiTheme="minorHAnsi" w:cs="Times New Roman"/>
                <w:sz w:val="18"/>
                <w:szCs w:val="18"/>
                <w:lang w:val="en-GB"/>
              </w:rPr>
              <w:t>crossborder</w:t>
            </w:r>
            <w:proofErr w:type="spellEnd"/>
            <w:r w:rsidRPr="007F5FC2">
              <w:rPr>
                <w:rFonts w:asciiTheme="minorHAnsi" w:hAnsiTheme="minorHAnsi" w:cs="Times New Roman"/>
                <w:sz w:val="18"/>
                <w:szCs w:val="18"/>
                <w:lang w:val="en-GB"/>
              </w:rPr>
              <w:t xml:space="preserve"> tourism and cultural events organised using ENI CBC support </w:t>
            </w:r>
          </w:p>
        </w:tc>
        <w:tc>
          <w:tcPr>
            <w:tcW w:w="1276" w:type="dxa"/>
            <w:shd w:val="clear" w:color="auto" w:fill="F2EEE4" w:themeFill="accent4" w:themeFillTint="33"/>
          </w:tcPr>
          <w:p w14:paraId="372633FF" w14:textId="77777777" w:rsidR="00D65763" w:rsidRPr="007F5FC2" w:rsidRDefault="00D65763"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bCs/>
                <w:iCs/>
                <w:sz w:val="18"/>
                <w:szCs w:val="18"/>
              </w:rPr>
              <w:t>Project reports</w:t>
            </w:r>
          </w:p>
        </w:tc>
        <w:tc>
          <w:tcPr>
            <w:tcW w:w="2302" w:type="dxa"/>
            <w:vMerge/>
            <w:shd w:val="clear" w:color="auto" w:fill="F2EEE4" w:themeFill="accent4" w:themeFillTint="33"/>
          </w:tcPr>
          <w:p w14:paraId="4FA5959A" w14:textId="77777777" w:rsidR="00D65763" w:rsidRPr="00DE4272" w:rsidRDefault="00D65763"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p>
        </w:tc>
      </w:tr>
      <w:tr w:rsidR="00D65763" w:rsidRPr="007F5FC2" w14:paraId="722ED5A1" w14:textId="77777777" w:rsidTr="00A571B2">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135" w:type="dxa"/>
            <w:vMerge/>
            <w:noWrap/>
          </w:tcPr>
          <w:p w14:paraId="40D33666" w14:textId="77777777" w:rsidR="00D65763" w:rsidRPr="007F5FC2" w:rsidRDefault="00D65763" w:rsidP="003615EB">
            <w:pPr>
              <w:spacing w:after="20"/>
              <w:jc w:val="right"/>
              <w:rPr>
                <w:rFonts w:asciiTheme="minorHAnsi" w:hAnsiTheme="minorHAnsi"/>
                <w:b w:val="0"/>
                <w:bCs w:val="0"/>
                <w:color w:val="auto"/>
                <w:sz w:val="18"/>
                <w:szCs w:val="18"/>
                <w:lang w:val="en-GB"/>
              </w:rPr>
            </w:pPr>
          </w:p>
        </w:tc>
        <w:tc>
          <w:tcPr>
            <w:tcW w:w="7053" w:type="dxa"/>
            <w:vMerge/>
            <w:shd w:val="clear" w:color="auto" w:fill="F2EEE4" w:themeFill="accent4" w:themeFillTint="33"/>
          </w:tcPr>
          <w:p w14:paraId="01DAABEB"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p>
        </w:tc>
        <w:tc>
          <w:tcPr>
            <w:tcW w:w="2977" w:type="dxa"/>
            <w:shd w:val="clear" w:color="auto" w:fill="F2EEE4" w:themeFill="accent4" w:themeFillTint="33"/>
            <w:noWrap/>
          </w:tcPr>
          <w:p w14:paraId="3D020713" w14:textId="77777777" w:rsidR="00D65763" w:rsidRPr="007F5FC2" w:rsidRDefault="00D65763" w:rsidP="0017725C">
            <w:pPr>
              <w:spacing w:after="20"/>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i/>
                <w:iCs/>
                <w:sz w:val="18"/>
                <w:szCs w:val="18"/>
                <w:lang w:val="en-GB"/>
              </w:rPr>
            </w:pPr>
            <w:r w:rsidRPr="00B16CF4">
              <w:rPr>
                <w:rFonts w:cs="Times New Roman"/>
                <w:sz w:val="18"/>
                <w:szCs w:val="18"/>
                <w:lang w:val="en-GB"/>
              </w:rPr>
              <w:t xml:space="preserve">O1.1.3 - Number of improved cultural and historical sites as a direct consequence of programme support </w:t>
            </w:r>
            <w:r w:rsidRPr="00366A9C">
              <w:rPr>
                <w:rFonts w:cs="Times New Roman"/>
                <w:i/>
                <w:color w:val="auto"/>
                <w:sz w:val="18"/>
                <w:szCs w:val="18"/>
                <w:lang w:val="en-GB"/>
              </w:rPr>
              <w:t>(COI 7)</w:t>
            </w:r>
          </w:p>
        </w:tc>
        <w:tc>
          <w:tcPr>
            <w:tcW w:w="1276" w:type="dxa"/>
            <w:shd w:val="clear" w:color="auto" w:fill="F2EEE4" w:themeFill="accent4" w:themeFillTint="33"/>
          </w:tcPr>
          <w:p w14:paraId="11D6404B"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bCs/>
                <w:iCs/>
                <w:sz w:val="18"/>
                <w:szCs w:val="18"/>
              </w:rPr>
              <w:t>Project reports</w:t>
            </w:r>
          </w:p>
        </w:tc>
        <w:tc>
          <w:tcPr>
            <w:tcW w:w="2302" w:type="dxa"/>
            <w:vMerge/>
            <w:shd w:val="clear" w:color="auto" w:fill="F2EEE4" w:themeFill="accent4" w:themeFillTint="33"/>
          </w:tcPr>
          <w:p w14:paraId="636D464D" w14:textId="77777777" w:rsidR="00D65763" w:rsidRPr="00DE427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p>
        </w:tc>
      </w:tr>
      <w:tr w:rsidR="00D65763" w:rsidRPr="007F5FC2" w14:paraId="5014B44C" w14:textId="77777777" w:rsidTr="00A571B2">
        <w:trPr>
          <w:trHeight w:val="972"/>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09C683A4"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val="restart"/>
            <w:shd w:val="clear" w:color="auto" w:fill="F2EEE4" w:themeFill="accent4" w:themeFillTint="33"/>
          </w:tcPr>
          <w:p w14:paraId="1FB4F1B0"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.a</w:t>
            </w:r>
            <w:proofErr w:type="gramEnd"/>
            <w:r w:rsidRPr="007F5FC2">
              <w:rPr>
                <w:rFonts w:asciiTheme="minorHAnsi" w:hAnsiTheme="minorHAnsi"/>
                <w:sz w:val="18"/>
                <w:szCs w:val="18"/>
                <w:lang w:val="en-GB"/>
              </w:rPr>
              <w:t xml:space="preserve"> Promote international trade links, sectoral and cross-sectoral networks and partnerships within BSB, support internationalisation of exchanges.</w:t>
            </w:r>
          </w:p>
          <w:p w14:paraId="7BA8AEDF"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.b</w:t>
            </w:r>
            <w:proofErr w:type="gramEnd"/>
            <w:r w:rsidRPr="007F5FC2">
              <w:rPr>
                <w:rFonts w:asciiTheme="minorHAnsi" w:hAnsiTheme="minorHAnsi"/>
                <w:sz w:val="18"/>
                <w:szCs w:val="18"/>
                <w:lang w:val="en-GB"/>
              </w:rPr>
              <w:t>. Strengthen internet connectivity, cross-border business information exchange systems, market and logistics information with greater use of ICT.</w:t>
            </w:r>
          </w:p>
          <w:p w14:paraId="11499B39"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.c</w:t>
            </w:r>
            <w:proofErr w:type="gramEnd"/>
            <w:r w:rsidRPr="007F5FC2">
              <w:rPr>
                <w:rFonts w:asciiTheme="minorHAnsi" w:hAnsiTheme="minorHAnsi"/>
                <w:sz w:val="18"/>
                <w:szCs w:val="18"/>
                <w:lang w:val="en-GB"/>
              </w:rPr>
              <w:t xml:space="preserve">. Exchange good practice in modern and innovative marketing and trade strategies, electronic marketing tools, develop joint strategies. </w:t>
            </w:r>
          </w:p>
          <w:p w14:paraId="4FD49713"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.d</w:t>
            </w:r>
            <w:proofErr w:type="gramEnd"/>
            <w:r w:rsidRPr="007F5FC2">
              <w:rPr>
                <w:rFonts w:asciiTheme="minorHAnsi" w:hAnsiTheme="minorHAnsi"/>
                <w:sz w:val="18"/>
                <w:szCs w:val="18"/>
                <w:lang w:val="en-GB"/>
              </w:rPr>
              <w:t xml:space="preserve">. Support innovation, logistic and joint development of good practices in producing quality agricultural products. </w:t>
            </w:r>
          </w:p>
          <w:p w14:paraId="29B484AD"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.e</w:t>
            </w:r>
            <w:proofErr w:type="gramEnd"/>
            <w:r w:rsidRPr="007F5FC2">
              <w:rPr>
                <w:rFonts w:asciiTheme="minorHAnsi" w:hAnsiTheme="minorHAnsi"/>
                <w:sz w:val="18"/>
                <w:szCs w:val="18"/>
                <w:lang w:val="en-GB"/>
              </w:rPr>
              <w:t>. Introduction of innovative technologies for sectoral development, including exchange of experience and small-scale investments in pilot projects.</w:t>
            </w:r>
          </w:p>
          <w:p w14:paraId="0D52B359"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.f</w:t>
            </w:r>
            <w:proofErr w:type="gramEnd"/>
            <w:r w:rsidRPr="007F5FC2">
              <w:rPr>
                <w:rFonts w:asciiTheme="minorHAnsi" w:hAnsiTheme="minorHAnsi"/>
                <w:sz w:val="18"/>
                <w:szCs w:val="18"/>
                <w:lang w:val="en-GB"/>
              </w:rPr>
              <w:t>. Exchange of good practice on the practical introduction of standards (e.g. food safety).</w:t>
            </w:r>
          </w:p>
          <w:p w14:paraId="38B71049"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.g</w:t>
            </w:r>
            <w:proofErr w:type="gramEnd"/>
            <w:r w:rsidRPr="007F5FC2">
              <w:rPr>
                <w:rFonts w:asciiTheme="minorHAnsi" w:hAnsiTheme="minorHAnsi"/>
                <w:sz w:val="18"/>
                <w:szCs w:val="18"/>
                <w:lang w:val="en-GB"/>
              </w:rPr>
              <w:t>. Joint actions to support productive use of migrant remittances in the modernisation of agriculture, aquaculture and food industry.</w:t>
            </w:r>
          </w:p>
          <w:p w14:paraId="61F887C6"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1.2</w:t>
            </w:r>
            <w:proofErr w:type="gramStart"/>
            <w:r w:rsidRPr="007F5FC2">
              <w:rPr>
                <w:rFonts w:asciiTheme="minorHAnsi" w:hAnsiTheme="minorHAnsi"/>
                <w:sz w:val="18"/>
                <w:szCs w:val="18"/>
                <w:lang w:val="en-GB"/>
              </w:rPr>
              <w:t>.h</w:t>
            </w:r>
            <w:proofErr w:type="gramEnd"/>
            <w:r w:rsidRPr="007F5FC2">
              <w:rPr>
                <w:rFonts w:asciiTheme="minorHAnsi" w:hAnsiTheme="minorHAnsi"/>
                <w:sz w:val="18"/>
                <w:szCs w:val="18"/>
                <w:lang w:val="en-GB"/>
              </w:rPr>
              <w:t>. Support entrepreneurial culture through teaching and training for young people working in agricultural and connected sectors; share good practices in this field.</w:t>
            </w:r>
          </w:p>
        </w:tc>
        <w:tc>
          <w:tcPr>
            <w:tcW w:w="2977" w:type="dxa"/>
            <w:shd w:val="clear" w:color="auto" w:fill="F2EEE4" w:themeFill="accent4" w:themeFillTint="33"/>
            <w:noWrap/>
          </w:tcPr>
          <w:p w14:paraId="167DAD2B" w14:textId="77777777" w:rsidR="00D65763" w:rsidRPr="00366A9C" w:rsidRDefault="00D65763" w:rsidP="0017725C">
            <w:pPr>
              <w:widowControl w:val="0"/>
              <w:autoSpaceDE w:val="0"/>
              <w:autoSpaceDN w:val="0"/>
              <w:adjustRightInd w:val="0"/>
              <w:spacing w:after="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18"/>
                <w:lang w:val="en-GB"/>
              </w:rPr>
            </w:pPr>
            <w:r w:rsidRPr="00B16CF4">
              <w:rPr>
                <w:rFonts w:cs="Times New Roman"/>
                <w:sz w:val="18"/>
                <w:szCs w:val="18"/>
                <w:lang w:val="en-GB"/>
              </w:rPr>
              <w:t xml:space="preserve">O1.2.1 - Number of enterprises participating in </w:t>
            </w:r>
            <w:proofErr w:type="spellStart"/>
            <w:r w:rsidRPr="00366A9C">
              <w:rPr>
                <w:rFonts w:cs="Times New Roman"/>
                <w:color w:val="auto"/>
                <w:sz w:val="18"/>
                <w:szCs w:val="18"/>
                <w:lang w:val="en-GB"/>
              </w:rPr>
              <w:t>crossborder</w:t>
            </w:r>
            <w:proofErr w:type="spellEnd"/>
            <w:r w:rsidRPr="00B16CF4">
              <w:rPr>
                <w:rFonts w:cs="Times New Roman"/>
                <w:sz w:val="18"/>
                <w:szCs w:val="18"/>
                <w:lang w:val="en-GB"/>
              </w:rPr>
              <w:t xml:space="preserve"> agricultural or agro-industrial business events </w:t>
            </w:r>
            <w:r w:rsidRPr="00366A9C">
              <w:rPr>
                <w:rFonts w:cs="Times New Roman"/>
                <w:i/>
                <w:color w:val="auto"/>
                <w:sz w:val="18"/>
                <w:szCs w:val="18"/>
                <w:lang w:val="en-GB"/>
              </w:rPr>
              <w:t>(COI3)</w:t>
            </w:r>
          </w:p>
        </w:tc>
        <w:tc>
          <w:tcPr>
            <w:tcW w:w="1276" w:type="dxa"/>
            <w:shd w:val="clear" w:color="auto" w:fill="F2EEE4" w:themeFill="accent4" w:themeFillTint="33"/>
          </w:tcPr>
          <w:p w14:paraId="6E691639" w14:textId="77777777" w:rsidR="00D65763" w:rsidRPr="007F5FC2" w:rsidRDefault="00D65763"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bCs/>
                <w:iCs/>
                <w:sz w:val="18"/>
                <w:szCs w:val="18"/>
              </w:rPr>
              <w:t>Project reports</w:t>
            </w:r>
          </w:p>
        </w:tc>
        <w:tc>
          <w:tcPr>
            <w:tcW w:w="2302" w:type="dxa"/>
            <w:vMerge/>
            <w:shd w:val="clear" w:color="auto" w:fill="F2EEE4" w:themeFill="accent4" w:themeFillTint="33"/>
          </w:tcPr>
          <w:p w14:paraId="50866D1C" w14:textId="77777777" w:rsidR="00D65763" w:rsidRPr="00DE4272" w:rsidRDefault="00D65763"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p>
        </w:tc>
      </w:tr>
      <w:tr w:rsidR="00D65763" w:rsidRPr="007F5FC2" w14:paraId="79299C37" w14:textId="77777777" w:rsidTr="00A571B2">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45559B61"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shd w:val="clear" w:color="auto" w:fill="F2EEE4" w:themeFill="accent4" w:themeFillTint="33"/>
          </w:tcPr>
          <w:p w14:paraId="0036B4EE"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lang w:val="en-GB"/>
              </w:rPr>
            </w:pPr>
          </w:p>
        </w:tc>
        <w:tc>
          <w:tcPr>
            <w:tcW w:w="2977" w:type="dxa"/>
            <w:shd w:val="clear" w:color="auto" w:fill="F2EEE4" w:themeFill="accent4" w:themeFillTint="33"/>
            <w:noWrap/>
          </w:tcPr>
          <w:p w14:paraId="4DC7B606" w14:textId="77777777" w:rsidR="00D65763" w:rsidRPr="00366A9C" w:rsidRDefault="00D65763" w:rsidP="0017725C">
            <w:pPr>
              <w:spacing w:after="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i/>
                <w:iCs/>
                <w:color w:val="auto"/>
                <w:sz w:val="18"/>
                <w:szCs w:val="18"/>
                <w:lang w:val="en-GB"/>
              </w:rPr>
            </w:pPr>
            <w:r w:rsidRPr="00B16CF4">
              <w:rPr>
                <w:rFonts w:cs="Times New Roman"/>
                <w:sz w:val="18"/>
                <w:szCs w:val="18"/>
                <w:lang w:val="en-GB"/>
              </w:rPr>
              <w:t xml:space="preserve">O1.2.2 - Number of additional ICT based tools developed supporting cross-border cooperation </w:t>
            </w:r>
            <w:r w:rsidRPr="00366A9C">
              <w:rPr>
                <w:rFonts w:cs="Times New Roman"/>
                <w:i/>
                <w:color w:val="auto"/>
                <w:sz w:val="18"/>
                <w:szCs w:val="18"/>
                <w:lang w:val="en-GB"/>
              </w:rPr>
              <w:t>(COI29)</w:t>
            </w:r>
            <w:r w:rsidRPr="00B16CF4">
              <w:rPr>
                <w:rFonts w:cs="Times New Roman"/>
                <w:sz w:val="18"/>
                <w:szCs w:val="18"/>
                <w:lang w:val="en-GB"/>
              </w:rPr>
              <w:t xml:space="preserve"> increasing cross-border trade opportunities for agricultural and agro-industrial products</w:t>
            </w:r>
            <w:r w:rsidRPr="00B16CF4">
              <w:rPr>
                <w:i/>
                <w:sz w:val="18"/>
                <w:szCs w:val="18"/>
                <w:lang w:val="en-GB"/>
              </w:rPr>
              <w:t xml:space="preserve">  </w:t>
            </w:r>
          </w:p>
        </w:tc>
        <w:tc>
          <w:tcPr>
            <w:tcW w:w="1276" w:type="dxa"/>
            <w:shd w:val="clear" w:color="auto" w:fill="F2EEE4" w:themeFill="accent4" w:themeFillTint="33"/>
          </w:tcPr>
          <w:p w14:paraId="019EDA6E"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bCs/>
                <w:iCs/>
                <w:sz w:val="18"/>
                <w:szCs w:val="18"/>
              </w:rPr>
              <w:t>Project reports</w:t>
            </w:r>
          </w:p>
        </w:tc>
        <w:tc>
          <w:tcPr>
            <w:tcW w:w="2302" w:type="dxa"/>
            <w:vMerge/>
            <w:shd w:val="clear" w:color="auto" w:fill="F2EEE4" w:themeFill="accent4" w:themeFillTint="33"/>
          </w:tcPr>
          <w:p w14:paraId="462E4C15" w14:textId="77777777" w:rsidR="00D65763" w:rsidRPr="00DE427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p>
        </w:tc>
      </w:tr>
      <w:tr w:rsidR="00D65763" w:rsidRPr="007F5FC2" w14:paraId="4F1B2391" w14:textId="77777777" w:rsidTr="00A571B2">
        <w:trPr>
          <w:trHeight w:val="970"/>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4C5AE670"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tcPr>
          <w:p w14:paraId="56472549"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lang w:val="en-GB"/>
              </w:rPr>
            </w:pPr>
          </w:p>
        </w:tc>
        <w:tc>
          <w:tcPr>
            <w:tcW w:w="2977" w:type="dxa"/>
            <w:shd w:val="clear" w:color="auto" w:fill="F2EEE4" w:themeFill="accent4" w:themeFillTint="33"/>
            <w:noWrap/>
          </w:tcPr>
          <w:p w14:paraId="026E501E" w14:textId="77777777" w:rsidR="00D65763" w:rsidRPr="00366A9C" w:rsidRDefault="00D65763" w:rsidP="0017725C">
            <w:pPr>
              <w:spacing w:after="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b/>
                <w:bCs/>
                <w:i/>
                <w:iCs/>
                <w:color w:val="auto"/>
                <w:sz w:val="18"/>
                <w:szCs w:val="18"/>
                <w:lang w:val="en-GB"/>
              </w:rPr>
            </w:pPr>
            <w:r w:rsidRPr="00B16CF4">
              <w:rPr>
                <w:sz w:val="18"/>
                <w:szCs w:val="18"/>
                <w:lang w:val="en-GB"/>
              </w:rPr>
              <w:t xml:space="preserve">O1.2.3 - Number of business development organisations receiving support </w:t>
            </w:r>
            <w:r w:rsidRPr="00366A9C">
              <w:rPr>
                <w:i/>
                <w:color w:val="auto"/>
                <w:sz w:val="18"/>
                <w:szCs w:val="18"/>
                <w:lang w:val="en-GB"/>
              </w:rPr>
              <w:t>(COI1)</w:t>
            </w:r>
            <w:r w:rsidRPr="00B16CF4">
              <w:rPr>
                <w:sz w:val="18"/>
                <w:szCs w:val="18"/>
                <w:lang w:val="en-GB"/>
              </w:rPr>
              <w:t xml:space="preserve"> to promote modernisation in the agricultural or connected sectors </w:t>
            </w:r>
          </w:p>
        </w:tc>
        <w:tc>
          <w:tcPr>
            <w:tcW w:w="1276" w:type="dxa"/>
            <w:shd w:val="clear" w:color="auto" w:fill="F2EEE4" w:themeFill="accent4" w:themeFillTint="33"/>
          </w:tcPr>
          <w:p w14:paraId="5D044645" w14:textId="77777777" w:rsidR="00D65763" w:rsidRPr="007F5FC2" w:rsidRDefault="00A571B2"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Pr>
                <w:rFonts w:asciiTheme="minorHAnsi" w:hAnsiTheme="minorHAnsi"/>
                <w:bCs/>
                <w:iCs/>
                <w:sz w:val="18"/>
                <w:szCs w:val="18"/>
              </w:rPr>
              <w:t>Programme Management and Information System (MIS)</w:t>
            </w:r>
          </w:p>
        </w:tc>
        <w:tc>
          <w:tcPr>
            <w:tcW w:w="2302" w:type="dxa"/>
            <w:vMerge/>
            <w:shd w:val="clear" w:color="auto" w:fill="F2EEE4" w:themeFill="accent4" w:themeFillTint="33"/>
          </w:tcPr>
          <w:p w14:paraId="0808A7D4" w14:textId="77777777" w:rsidR="00D65763" w:rsidRPr="00DE4272" w:rsidRDefault="00D65763" w:rsidP="003615EB">
            <w:pPr>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p>
        </w:tc>
      </w:tr>
      <w:tr w:rsidR="00D65763" w:rsidRPr="007F5FC2" w14:paraId="64172CAB" w14:textId="77777777" w:rsidTr="00A571B2">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5F304A50"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val="restart"/>
            <w:shd w:val="clear" w:color="auto" w:fill="F2EEE4" w:themeFill="accent4" w:themeFillTint="33"/>
          </w:tcPr>
          <w:p w14:paraId="5A9FDAB1"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2.1</w:t>
            </w:r>
            <w:proofErr w:type="gramStart"/>
            <w:r w:rsidRPr="007F5FC2">
              <w:rPr>
                <w:rFonts w:asciiTheme="minorHAnsi" w:hAnsiTheme="minorHAnsi"/>
                <w:sz w:val="18"/>
                <w:szCs w:val="18"/>
                <w:lang w:val="en-GB"/>
              </w:rPr>
              <w:t>.a</w:t>
            </w:r>
            <w:proofErr w:type="gramEnd"/>
            <w:r w:rsidRPr="007F5FC2">
              <w:rPr>
                <w:rFonts w:asciiTheme="minorHAnsi" w:hAnsiTheme="minorHAnsi"/>
                <w:sz w:val="18"/>
                <w:szCs w:val="18"/>
                <w:lang w:val="en-GB"/>
              </w:rPr>
              <w:t xml:space="preserve">. Reinforce compatible cross-border monitoring and information systems to prevent and control transboundary pollution. </w:t>
            </w:r>
          </w:p>
          <w:p w14:paraId="4195AD44"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2.1</w:t>
            </w:r>
            <w:proofErr w:type="gramStart"/>
            <w:r w:rsidRPr="007F5FC2">
              <w:rPr>
                <w:rFonts w:asciiTheme="minorHAnsi" w:hAnsiTheme="minorHAnsi"/>
                <w:sz w:val="18"/>
                <w:szCs w:val="18"/>
                <w:lang w:val="en-GB"/>
              </w:rPr>
              <w:t>.b</w:t>
            </w:r>
            <w:proofErr w:type="gramEnd"/>
            <w:r w:rsidRPr="007F5FC2">
              <w:rPr>
                <w:rFonts w:asciiTheme="minorHAnsi" w:hAnsiTheme="minorHAnsi"/>
                <w:sz w:val="18"/>
                <w:szCs w:val="18"/>
                <w:lang w:val="en-GB"/>
              </w:rPr>
              <w:t>. Improve long-term cross-border collaboration, information and research capacity for addressing ecosystem transformation, biodiversity monitoring and migration of species.</w:t>
            </w:r>
          </w:p>
          <w:p w14:paraId="2624D1F0"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2.1</w:t>
            </w:r>
            <w:proofErr w:type="gramStart"/>
            <w:r w:rsidRPr="007F5FC2">
              <w:rPr>
                <w:rFonts w:asciiTheme="minorHAnsi" w:hAnsiTheme="minorHAnsi"/>
                <w:sz w:val="18"/>
                <w:szCs w:val="18"/>
                <w:lang w:val="en-GB"/>
              </w:rPr>
              <w:t>.c</w:t>
            </w:r>
            <w:proofErr w:type="gramEnd"/>
            <w:r w:rsidRPr="007F5FC2">
              <w:rPr>
                <w:rFonts w:asciiTheme="minorHAnsi" w:hAnsiTheme="minorHAnsi"/>
                <w:sz w:val="18"/>
                <w:szCs w:val="18"/>
                <w:lang w:val="en-GB"/>
              </w:rPr>
              <w:t xml:space="preserve">. Jointly strengthen collaboration between science, industry, relevant stakeholders and decision-makers to address integrated coastal management issues and to harmonise marine environment assessment. </w:t>
            </w:r>
          </w:p>
          <w:p w14:paraId="6D969B8F"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2.1</w:t>
            </w:r>
            <w:proofErr w:type="gramStart"/>
            <w:r w:rsidRPr="007F5FC2">
              <w:rPr>
                <w:rFonts w:asciiTheme="minorHAnsi" w:hAnsiTheme="minorHAnsi"/>
                <w:sz w:val="18"/>
                <w:szCs w:val="18"/>
                <w:lang w:val="en-GB"/>
              </w:rPr>
              <w:t>.d</w:t>
            </w:r>
            <w:proofErr w:type="gramEnd"/>
            <w:r w:rsidRPr="007F5FC2">
              <w:rPr>
                <w:rFonts w:asciiTheme="minorHAnsi" w:hAnsiTheme="minorHAnsi"/>
                <w:sz w:val="18"/>
                <w:szCs w:val="18"/>
                <w:lang w:val="en-GB"/>
              </w:rPr>
              <w:t>. Promote cross-border cooperation among maritime authorities (safe navigation, fisheries control…).</w:t>
            </w:r>
          </w:p>
          <w:p w14:paraId="45DA9FB4"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2.1</w:t>
            </w:r>
            <w:proofErr w:type="gramStart"/>
            <w:r w:rsidRPr="007F5FC2">
              <w:rPr>
                <w:rFonts w:asciiTheme="minorHAnsi" w:hAnsiTheme="minorHAnsi"/>
                <w:sz w:val="18"/>
                <w:szCs w:val="18"/>
                <w:lang w:val="en-GB"/>
              </w:rPr>
              <w:t>.e</w:t>
            </w:r>
            <w:proofErr w:type="gramEnd"/>
            <w:r w:rsidRPr="007F5FC2">
              <w:rPr>
                <w:rFonts w:asciiTheme="minorHAnsi" w:hAnsiTheme="minorHAnsi"/>
                <w:sz w:val="18"/>
                <w:szCs w:val="18"/>
                <w:lang w:val="en-GB"/>
              </w:rPr>
              <w:t>. Improve cooperation between stakeholders involved in disaster prevention and management.</w:t>
            </w:r>
          </w:p>
        </w:tc>
        <w:tc>
          <w:tcPr>
            <w:tcW w:w="2977" w:type="dxa"/>
            <w:shd w:val="clear" w:color="auto" w:fill="F2EEE4" w:themeFill="accent4" w:themeFillTint="33"/>
            <w:noWrap/>
          </w:tcPr>
          <w:p w14:paraId="6F2DA5D0" w14:textId="77777777" w:rsidR="00D65763" w:rsidRPr="00366A9C" w:rsidRDefault="00D65763" w:rsidP="0017725C">
            <w:pPr>
              <w:widowControl w:val="0"/>
              <w:autoSpaceDE w:val="0"/>
              <w:autoSpaceDN w:val="0"/>
              <w:adjustRightInd w:val="0"/>
              <w:spacing w:after="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18"/>
                <w:lang w:val="en-GB"/>
              </w:rPr>
            </w:pPr>
            <w:r w:rsidRPr="00B16CF4">
              <w:rPr>
                <w:rFonts w:cs="Times New Roman"/>
                <w:sz w:val="18"/>
                <w:szCs w:val="18"/>
                <w:lang w:val="en-GB"/>
              </w:rPr>
              <w:t xml:space="preserve">O2.1.1 - Number of additional ICT based tools developed supporting cross-border cooperation </w:t>
            </w:r>
            <w:r w:rsidRPr="00366A9C">
              <w:rPr>
                <w:rFonts w:cs="Times New Roman"/>
                <w:i/>
                <w:color w:val="auto"/>
                <w:sz w:val="18"/>
                <w:szCs w:val="18"/>
                <w:lang w:val="en-GB"/>
              </w:rPr>
              <w:t>(COI29)</w:t>
            </w:r>
            <w:r w:rsidRPr="00B16CF4">
              <w:rPr>
                <w:rFonts w:cs="Times New Roman"/>
                <w:sz w:val="18"/>
                <w:szCs w:val="18"/>
                <w:lang w:val="en-GB"/>
              </w:rPr>
              <w:t xml:space="preserve"> improving joint environmental monitoring and public availability of environmental information</w:t>
            </w:r>
          </w:p>
        </w:tc>
        <w:tc>
          <w:tcPr>
            <w:tcW w:w="1276" w:type="dxa"/>
            <w:shd w:val="clear" w:color="auto" w:fill="F2EEE4" w:themeFill="accent4" w:themeFillTint="33"/>
          </w:tcPr>
          <w:p w14:paraId="453F0C35" w14:textId="77777777" w:rsidR="00D65763" w:rsidRPr="007F5FC2" w:rsidRDefault="00D65763" w:rsidP="003615EB">
            <w:pPr>
              <w:widowControl w:val="0"/>
              <w:autoSpaceDE w:val="0"/>
              <w:autoSpaceDN w:val="0"/>
              <w:adjustRightInd w:val="0"/>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r w:rsidRPr="007F5FC2">
              <w:rPr>
                <w:rFonts w:asciiTheme="minorHAnsi" w:hAnsiTheme="minorHAnsi"/>
                <w:bCs/>
                <w:iCs/>
                <w:sz w:val="18"/>
                <w:szCs w:val="18"/>
              </w:rPr>
              <w:t>Project reports</w:t>
            </w:r>
          </w:p>
        </w:tc>
        <w:tc>
          <w:tcPr>
            <w:tcW w:w="2302" w:type="dxa"/>
            <w:vMerge/>
            <w:shd w:val="clear" w:color="auto" w:fill="F2EEE4" w:themeFill="accent4" w:themeFillTint="33"/>
          </w:tcPr>
          <w:p w14:paraId="1EC4199C" w14:textId="77777777" w:rsidR="00D65763" w:rsidRPr="00DE4272" w:rsidRDefault="00D65763" w:rsidP="003615EB">
            <w:pPr>
              <w:widowControl w:val="0"/>
              <w:autoSpaceDE w:val="0"/>
              <w:autoSpaceDN w:val="0"/>
              <w:adjustRightInd w:val="0"/>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sz w:val="18"/>
                <w:szCs w:val="18"/>
                <w:lang w:val="en-GB"/>
              </w:rPr>
            </w:pPr>
          </w:p>
        </w:tc>
      </w:tr>
      <w:tr w:rsidR="00D65763" w:rsidRPr="007F5FC2" w14:paraId="05123438" w14:textId="77777777" w:rsidTr="00A571B2">
        <w:trPr>
          <w:trHeight w:val="896"/>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68198265"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tcPr>
          <w:p w14:paraId="35AC5A92" w14:textId="77777777" w:rsidR="00D65763" w:rsidRPr="007F5FC2" w:rsidRDefault="00D65763" w:rsidP="003615EB">
            <w:pPr>
              <w:spacing w:after="20"/>
              <w:ind w:left="-2"/>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lang w:val="en-GB"/>
              </w:rPr>
            </w:pPr>
          </w:p>
        </w:tc>
        <w:tc>
          <w:tcPr>
            <w:tcW w:w="2977" w:type="dxa"/>
            <w:shd w:val="clear" w:color="auto" w:fill="F2EEE4" w:themeFill="accent4" w:themeFillTint="33"/>
            <w:noWrap/>
          </w:tcPr>
          <w:p w14:paraId="301B72E0" w14:textId="77777777" w:rsidR="00D65763" w:rsidRPr="00366A9C" w:rsidRDefault="00D65763" w:rsidP="0017725C">
            <w:pPr>
              <w:widowControl w:val="0"/>
              <w:autoSpaceDE w:val="0"/>
              <w:autoSpaceDN w:val="0"/>
              <w:adjustRightInd w:val="0"/>
              <w:spacing w:after="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en-GB"/>
              </w:rPr>
            </w:pPr>
            <w:r w:rsidRPr="00B16CF4">
              <w:rPr>
                <w:rFonts w:cs="Times New Roman"/>
                <w:sz w:val="18"/>
                <w:szCs w:val="18"/>
                <w:lang w:val="en-GB"/>
              </w:rPr>
              <w:t>O2.1.2 - Number of institutions using programme support for cooperation in education, R&amp;D and innovation</w:t>
            </w:r>
            <w:r w:rsidRPr="00366A9C">
              <w:rPr>
                <w:rFonts w:cs="Times New Roman"/>
                <w:i/>
                <w:color w:val="auto"/>
                <w:sz w:val="18"/>
                <w:szCs w:val="18"/>
                <w:lang w:val="en-GB"/>
              </w:rPr>
              <w:t xml:space="preserve"> (COI4)</w:t>
            </w:r>
            <w:r w:rsidRPr="00B16CF4">
              <w:rPr>
                <w:rFonts w:cs="Times New Roman"/>
                <w:sz w:val="18"/>
                <w:szCs w:val="18"/>
                <w:lang w:val="en-GB"/>
              </w:rPr>
              <w:t xml:space="preserve"> to improve </w:t>
            </w:r>
            <w:r w:rsidRPr="00B16CF4">
              <w:rPr>
                <w:rFonts w:eastAsia="Times New Roman" w:cs="Times New Roman"/>
                <w:sz w:val="18"/>
                <w:szCs w:val="18"/>
                <w:lang w:val="en-GB"/>
              </w:rPr>
              <w:t xml:space="preserve">data sharing and cross-border information exchange systems on the environment </w:t>
            </w:r>
            <w:r w:rsidRPr="00B16CF4">
              <w:rPr>
                <w:rFonts w:cs="Times New Roman"/>
                <w:sz w:val="18"/>
                <w:szCs w:val="18"/>
                <w:lang w:val="en-GB"/>
              </w:rPr>
              <w:t>within BSB</w:t>
            </w:r>
          </w:p>
        </w:tc>
        <w:tc>
          <w:tcPr>
            <w:tcW w:w="1276" w:type="dxa"/>
            <w:shd w:val="clear" w:color="auto" w:fill="F2EEE4" w:themeFill="accent4" w:themeFillTint="33"/>
          </w:tcPr>
          <w:p w14:paraId="2812BB11" w14:textId="77777777" w:rsidR="00D65763" w:rsidRPr="007F5FC2" w:rsidRDefault="00A571B2"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r>
              <w:rPr>
                <w:rFonts w:asciiTheme="minorHAnsi" w:hAnsiTheme="minorHAnsi"/>
                <w:bCs/>
                <w:iCs/>
                <w:sz w:val="18"/>
                <w:szCs w:val="18"/>
              </w:rPr>
              <w:t>MIS</w:t>
            </w:r>
          </w:p>
        </w:tc>
        <w:tc>
          <w:tcPr>
            <w:tcW w:w="2302" w:type="dxa"/>
            <w:vMerge/>
            <w:shd w:val="clear" w:color="auto" w:fill="F2EEE4" w:themeFill="accent4" w:themeFillTint="33"/>
          </w:tcPr>
          <w:p w14:paraId="719F3DC9" w14:textId="77777777" w:rsidR="00D65763" w:rsidRPr="00DE4272" w:rsidRDefault="00D65763" w:rsidP="003615EB">
            <w:pPr>
              <w:widowControl w:val="0"/>
              <w:autoSpaceDE w:val="0"/>
              <w:autoSpaceDN w:val="0"/>
              <w:adjustRightInd w:val="0"/>
              <w:spacing w:after="20"/>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sz w:val="18"/>
                <w:szCs w:val="18"/>
                <w:lang w:val="en-GB"/>
              </w:rPr>
            </w:pPr>
          </w:p>
        </w:tc>
      </w:tr>
      <w:tr w:rsidR="00D65763" w:rsidRPr="007F5FC2" w14:paraId="04835EE2" w14:textId="77777777" w:rsidTr="00A571B2">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266A06E9" w14:textId="77777777" w:rsidR="00D65763" w:rsidRPr="007F5FC2" w:rsidRDefault="00D65763" w:rsidP="003615EB">
            <w:pPr>
              <w:spacing w:after="20"/>
              <w:ind w:left="113" w:right="113"/>
              <w:jc w:val="right"/>
              <w:rPr>
                <w:rFonts w:asciiTheme="minorHAnsi" w:hAnsiTheme="minorHAnsi"/>
                <w:b w:val="0"/>
                <w:bCs w:val="0"/>
                <w:color w:val="auto"/>
                <w:sz w:val="18"/>
                <w:szCs w:val="18"/>
                <w:lang w:val="en-GB"/>
              </w:rPr>
            </w:pPr>
          </w:p>
        </w:tc>
        <w:tc>
          <w:tcPr>
            <w:tcW w:w="7053" w:type="dxa"/>
            <w:vMerge w:val="restart"/>
            <w:shd w:val="clear" w:color="auto" w:fill="F2EEE4" w:themeFill="accent4" w:themeFillTint="33"/>
          </w:tcPr>
          <w:p w14:paraId="4C97E5D2"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.a</w:t>
            </w:r>
            <w:proofErr w:type="gramEnd"/>
            <w:r w:rsidRPr="007F5FC2">
              <w:rPr>
                <w:rFonts w:asciiTheme="minorHAnsi" w:hAnsiTheme="minorHAnsi"/>
                <w:sz w:val="18"/>
                <w:szCs w:val="18"/>
                <w:lang w:val="en-GB"/>
              </w:rPr>
              <w:t>. Jointly raise public awareness and education regarding river and marine litter problems, the value of biodiversity and environmental protection.</w:t>
            </w:r>
          </w:p>
          <w:p w14:paraId="7A588692"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.b</w:t>
            </w:r>
            <w:proofErr w:type="gramEnd"/>
            <w:r w:rsidRPr="007F5FC2">
              <w:rPr>
                <w:rFonts w:asciiTheme="minorHAnsi" w:hAnsiTheme="minorHAnsi"/>
                <w:sz w:val="18"/>
                <w:szCs w:val="18"/>
                <w:lang w:val="en-GB"/>
              </w:rPr>
              <w:t>. Jointly promote the practice of the ‘3 Rs’ (reduce, reuse, recycle) for waste and the use of waste for energy production.</w:t>
            </w:r>
          </w:p>
          <w:p w14:paraId="312F94B6"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.c</w:t>
            </w:r>
            <w:proofErr w:type="gramEnd"/>
            <w:r w:rsidRPr="007F5FC2">
              <w:rPr>
                <w:rFonts w:asciiTheme="minorHAnsi" w:hAnsiTheme="minorHAnsi"/>
                <w:sz w:val="18"/>
                <w:szCs w:val="18"/>
                <w:lang w:val="en-GB"/>
              </w:rPr>
              <w:t xml:space="preserve">. Strengthen community action, promote and organise cross-border Black Sea Basin </w:t>
            </w:r>
            <w:r w:rsidRPr="007F5FC2">
              <w:rPr>
                <w:rFonts w:asciiTheme="minorHAnsi" w:hAnsiTheme="minorHAnsi"/>
                <w:sz w:val="18"/>
                <w:szCs w:val="18"/>
                <w:lang w:val="en-GB"/>
              </w:rPr>
              <w:lastRenderedPageBreak/>
              <w:t xml:space="preserve">coastal and river clean-up campaigns. </w:t>
            </w:r>
          </w:p>
          <w:p w14:paraId="0968E5C2"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.d</w:t>
            </w:r>
            <w:proofErr w:type="gramEnd"/>
            <w:r w:rsidRPr="007F5FC2">
              <w:rPr>
                <w:rFonts w:asciiTheme="minorHAnsi" w:hAnsiTheme="minorHAnsi"/>
                <w:sz w:val="18"/>
                <w:szCs w:val="18"/>
                <w:lang w:val="en-GB"/>
              </w:rPr>
              <w:t>. Jointly promote good environmental management practices and technologies related to waste management on riverbanks and seashores.</w:t>
            </w:r>
          </w:p>
          <w:p w14:paraId="1842FC93"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.e</w:t>
            </w:r>
            <w:proofErr w:type="gramEnd"/>
            <w:r w:rsidRPr="007F5FC2">
              <w:rPr>
                <w:rFonts w:asciiTheme="minorHAnsi" w:hAnsiTheme="minorHAnsi"/>
                <w:sz w:val="18"/>
                <w:szCs w:val="18"/>
                <w:lang w:val="en-GB"/>
              </w:rPr>
              <w:t>. Share experience to improve port reception facilities and services for garbage collection from vessels.</w:t>
            </w:r>
          </w:p>
          <w:p w14:paraId="5CE0569D"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2.2</w:t>
            </w:r>
            <w:proofErr w:type="gramStart"/>
            <w:r w:rsidRPr="007F5FC2">
              <w:rPr>
                <w:rFonts w:asciiTheme="minorHAnsi" w:hAnsiTheme="minorHAnsi"/>
                <w:sz w:val="18"/>
                <w:szCs w:val="18"/>
                <w:lang w:val="en-GB"/>
              </w:rPr>
              <w:t>.f</w:t>
            </w:r>
            <w:proofErr w:type="gramEnd"/>
            <w:r w:rsidRPr="007F5FC2">
              <w:rPr>
                <w:rFonts w:asciiTheme="minorHAnsi" w:hAnsiTheme="minorHAnsi"/>
                <w:sz w:val="18"/>
                <w:szCs w:val="18"/>
                <w:lang w:val="en-GB"/>
              </w:rPr>
              <w:t>. Encourage partnerships between NGOs and civil society, the private sector, local/regional authorities and waste services to combat river and marine litter.</w:t>
            </w:r>
          </w:p>
        </w:tc>
        <w:tc>
          <w:tcPr>
            <w:tcW w:w="2977" w:type="dxa"/>
            <w:shd w:val="clear" w:color="auto" w:fill="F2EEE4" w:themeFill="accent4" w:themeFillTint="33"/>
            <w:noWrap/>
          </w:tcPr>
          <w:p w14:paraId="25679C41" w14:textId="77777777" w:rsidR="00D65763" w:rsidRPr="00366A9C" w:rsidRDefault="00D65763" w:rsidP="0017725C">
            <w:pPr>
              <w:spacing w:after="2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18"/>
                <w:szCs w:val="18"/>
                <w:lang w:val="en-GB"/>
              </w:rPr>
            </w:pPr>
            <w:r w:rsidRPr="00B16CF4">
              <w:rPr>
                <w:sz w:val="18"/>
                <w:szCs w:val="18"/>
                <w:lang w:val="en-GB"/>
              </w:rPr>
              <w:lastRenderedPageBreak/>
              <w:t xml:space="preserve">O2.2.1 - Number of persons actively participating in environmental actions and awareness raising activities </w:t>
            </w:r>
            <w:r w:rsidRPr="00366A9C">
              <w:rPr>
                <w:i/>
                <w:color w:val="auto"/>
                <w:sz w:val="18"/>
                <w:szCs w:val="18"/>
                <w:lang w:val="en-GB"/>
              </w:rPr>
              <w:t>(COI17)</w:t>
            </w:r>
          </w:p>
        </w:tc>
        <w:tc>
          <w:tcPr>
            <w:tcW w:w="1276" w:type="dxa"/>
            <w:shd w:val="clear" w:color="auto" w:fill="F2EEE4" w:themeFill="accent4" w:themeFillTint="33"/>
          </w:tcPr>
          <w:p w14:paraId="12E22D94" w14:textId="77777777" w:rsidR="00D65763" w:rsidRPr="007F5FC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7F5FC2">
              <w:rPr>
                <w:rFonts w:asciiTheme="minorHAnsi" w:hAnsiTheme="minorHAnsi"/>
                <w:sz w:val="18"/>
                <w:szCs w:val="18"/>
                <w:lang w:val="en-GB"/>
              </w:rPr>
              <w:t>Project reports</w:t>
            </w:r>
          </w:p>
        </w:tc>
        <w:tc>
          <w:tcPr>
            <w:tcW w:w="2302" w:type="dxa"/>
            <w:vMerge/>
            <w:shd w:val="clear" w:color="auto" w:fill="F2EEE4" w:themeFill="accent4" w:themeFillTint="33"/>
          </w:tcPr>
          <w:p w14:paraId="09FB3094" w14:textId="77777777" w:rsidR="00D65763" w:rsidRPr="00DE4272" w:rsidRDefault="00D65763" w:rsidP="003615EB">
            <w:pPr>
              <w:spacing w:after="2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p>
        </w:tc>
      </w:tr>
      <w:tr w:rsidR="00D65763" w:rsidRPr="007F5FC2" w14:paraId="6C9EF369" w14:textId="77777777" w:rsidTr="00A571B2">
        <w:trPr>
          <w:trHeight w:val="1136"/>
        </w:trPr>
        <w:tc>
          <w:tcPr>
            <w:cnfStyle w:val="001000000000" w:firstRow="0" w:lastRow="0" w:firstColumn="1" w:lastColumn="0" w:oddVBand="0" w:evenVBand="0" w:oddHBand="0" w:evenHBand="0" w:firstRowFirstColumn="0" w:firstRowLastColumn="0" w:lastRowFirstColumn="0" w:lastRowLastColumn="0"/>
            <w:tcW w:w="1135" w:type="dxa"/>
            <w:vMerge/>
            <w:noWrap/>
            <w:textDirection w:val="btLr"/>
          </w:tcPr>
          <w:p w14:paraId="3EDBB1A9" w14:textId="77777777" w:rsidR="00D65763" w:rsidRPr="007F5FC2" w:rsidRDefault="00D65763" w:rsidP="003615EB">
            <w:pPr>
              <w:spacing w:after="20"/>
              <w:ind w:left="113" w:right="113"/>
              <w:jc w:val="right"/>
              <w:rPr>
                <w:b w:val="0"/>
                <w:bCs w:val="0"/>
                <w:sz w:val="18"/>
                <w:szCs w:val="18"/>
                <w:lang w:val="en-GB"/>
              </w:rPr>
            </w:pPr>
          </w:p>
        </w:tc>
        <w:tc>
          <w:tcPr>
            <w:tcW w:w="7053" w:type="dxa"/>
            <w:vMerge/>
            <w:shd w:val="clear" w:color="auto" w:fill="F2EEE4" w:themeFill="accent4" w:themeFillTint="33"/>
          </w:tcPr>
          <w:p w14:paraId="0D3B64A8"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sz w:val="18"/>
                <w:szCs w:val="18"/>
                <w:lang w:val="en-GB"/>
              </w:rPr>
            </w:pPr>
          </w:p>
        </w:tc>
        <w:tc>
          <w:tcPr>
            <w:tcW w:w="2977" w:type="dxa"/>
            <w:shd w:val="clear" w:color="auto" w:fill="F2EEE4" w:themeFill="accent4" w:themeFillTint="33"/>
            <w:noWrap/>
          </w:tcPr>
          <w:p w14:paraId="3A9146B7" w14:textId="77777777" w:rsidR="00D65763" w:rsidRPr="007F5FC2" w:rsidRDefault="00D65763" w:rsidP="003615EB">
            <w:pPr>
              <w:spacing w:after="20"/>
              <w:cnfStyle w:val="000000000000" w:firstRow="0" w:lastRow="0" w:firstColumn="0" w:lastColumn="0" w:oddVBand="0" w:evenVBand="0" w:oddHBand="0" w:evenHBand="0" w:firstRowFirstColumn="0" w:firstRowLastColumn="0" w:lastRowFirstColumn="0" w:lastRowLastColumn="0"/>
              <w:rPr>
                <w:sz w:val="18"/>
                <w:szCs w:val="18"/>
                <w:lang w:val="en-GB"/>
              </w:rPr>
            </w:pPr>
            <w:r>
              <w:rPr>
                <w:rFonts w:asciiTheme="minorHAnsi" w:hAnsiTheme="minorHAnsi"/>
                <w:bCs/>
                <w:iCs/>
                <w:sz w:val="18"/>
                <w:szCs w:val="18"/>
                <w:lang w:val="en-GB"/>
              </w:rPr>
              <w:t>O</w:t>
            </w:r>
            <w:r w:rsidRPr="00756F0D">
              <w:rPr>
                <w:rFonts w:asciiTheme="minorHAnsi" w:hAnsiTheme="minorHAnsi"/>
                <w:bCs/>
                <w:iCs/>
                <w:sz w:val="18"/>
                <w:szCs w:val="18"/>
                <w:lang w:val="en-GB"/>
              </w:rPr>
              <w:t>2.2.2 - Number of organisations using programme support to develop or improve waste management tools or facilities along river banks and sea shores (including ports)</w:t>
            </w:r>
          </w:p>
        </w:tc>
        <w:tc>
          <w:tcPr>
            <w:tcW w:w="1276" w:type="dxa"/>
            <w:shd w:val="clear" w:color="auto" w:fill="F2EEE4" w:themeFill="accent4" w:themeFillTint="33"/>
          </w:tcPr>
          <w:p w14:paraId="7252B178" w14:textId="77777777" w:rsidR="00D65763" w:rsidRPr="007F5FC2" w:rsidRDefault="00A571B2" w:rsidP="003615EB">
            <w:pPr>
              <w:spacing w:after="20"/>
              <w:cnfStyle w:val="000000000000" w:firstRow="0" w:lastRow="0" w:firstColumn="0" w:lastColumn="0" w:oddVBand="0" w:evenVBand="0" w:oddHBand="0" w:evenHBand="0" w:firstRowFirstColumn="0" w:firstRowLastColumn="0" w:lastRowFirstColumn="0" w:lastRowLastColumn="0"/>
              <w:rPr>
                <w:sz w:val="18"/>
                <w:szCs w:val="18"/>
                <w:lang w:val="en-GB"/>
              </w:rPr>
            </w:pPr>
            <w:r>
              <w:rPr>
                <w:sz w:val="18"/>
                <w:szCs w:val="18"/>
                <w:lang w:val="en-GB"/>
              </w:rPr>
              <w:t>MIS</w:t>
            </w:r>
          </w:p>
        </w:tc>
        <w:tc>
          <w:tcPr>
            <w:tcW w:w="2302" w:type="dxa"/>
            <w:vMerge/>
            <w:shd w:val="clear" w:color="auto" w:fill="F2EEE4" w:themeFill="accent4" w:themeFillTint="33"/>
          </w:tcPr>
          <w:p w14:paraId="696F4460" w14:textId="77777777" w:rsidR="00D65763" w:rsidRPr="00DE4272" w:rsidRDefault="00D65763" w:rsidP="003615EB">
            <w:pPr>
              <w:spacing w:after="20"/>
              <w:cnfStyle w:val="000000000000" w:firstRow="0" w:lastRow="0" w:firstColumn="0" w:lastColumn="0" w:oddVBand="0" w:evenVBand="0" w:oddHBand="0" w:evenHBand="0" w:firstRowFirstColumn="0" w:firstRowLastColumn="0" w:lastRowFirstColumn="0" w:lastRowLastColumn="0"/>
              <w:rPr>
                <w:sz w:val="18"/>
                <w:szCs w:val="18"/>
                <w:lang w:val="en-GB"/>
              </w:rPr>
            </w:pPr>
          </w:p>
        </w:tc>
      </w:tr>
    </w:tbl>
    <w:p w14:paraId="28ECE980" w14:textId="77777777" w:rsidR="00E41641" w:rsidRDefault="00E41641" w:rsidP="00834481">
      <w:pPr>
        <w:spacing w:before="120" w:after="0" w:line="264" w:lineRule="auto"/>
        <w:jc w:val="both"/>
        <w:rPr>
          <w:sz w:val="22"/>
          <w:szCs w:val="22"/>
          <w:lang w:val="en-GB"/>
        </w:rPr>
        <w:sectPr w:rsidR="00E41641" w:rsidSect="00EE4D6C">
          <w:footnotePr>
            <w:numFmt w:val="lowerRoman"/>
            <w:numRestart w:val="eachPage"/>
          </w:footnotePr>
          <w:endnotePr>
            <w:numFmt w:val="decimal"/>
          </w:endnotePr>
          <w:pgSz w:w="15840" w:h="12240" w:orient="landscape" w:code="1"/>
          <w:pgMar w:top="601" w:right="1183" w:bottom="760" w:left="794" w:header="794" w:footer="567" w:gutter="0"/>
          <w:cols w:space="720"/>
          <w:titlePg/>
          <w:docGrid w:linePitch="360"/>
        </w:sectPr>
      </w:pPr>
    </w:p>
    <w:p w14:paraId="23C68BC6" w14:textId="77777777" w:rsidR="00C50F00" w:rsidRPr="00DD6103" w:rsidRDefault="00654D55" w:rsidP="00C50F00">
      <w:pPr>
        <w:pStyle w:val="Heading3"/>
        <w:spacing w:before="240" w:after="240" w:line="264" w:lineRule="auto"/>
        <w:rPr>
          <w:b/>
          <w:sz w:val="28"/>
          <w:szCs w:val="28"/>
          <w:lang w:val="en-GB"/>
        </w:rPr>
      </w:pPr>
      <w:bookmarkStart w:id="75" w:name="_Toc402864389"/>
      <w:bookmarkStart w:id="76" w:name="_Toc423436292"/>
      <w:bookmarkStart w:id="77" w:name="_Toc273788694"/>
      <w:bookmarkStart w:id="78" w:name="_Toc276156675"/>
      <w:r>
        <w:rPr>
          <w:b/>
          <w:sz w:val="28"/>
          <w:szCs w:val="28"/>
          <w:lang w:val="en-GB"/>
        </w:rPr>
        <w:lastRenderedPageBreak/>
        <w:t xml:space="preserve">5.7 </w:t>
      </w:r>
      <w:r w:rsidR="00C50F00" w:rsidRPr="00DD6103">
        <w:rPr>
          <w:b/>
          <w:sz w:val="28"/>
          <w:szCs w:val="28"/>
          <w:lang w:val="en-GB"/>
        </w:rPr>
        <w:t>Nature of projects and types of support</w:t>
      </w:r>
      <w:bookmarkEnd w:id="75"/>
      <w:bookmarkEnd w:id="76"/>
    </w:p>
    <w:p w14:paraId="12ECEE38" w14:textId="77777777" w:rsidR="00C50F00" w:rsidRDefault="00C50F00" w:rsidP="00C50F00">
      <w:pPr>
        <w:spacing w:before="120" w:after="0" w:line="264" w:lineRule="auto"/>
        <w:jc w:val="both"/>
        <w:rPr>
          <w:sz w:val="22"/>
          <w:szCs w:val="22"/>
          <w:lang w:val="en-GB"/>
        </w:rPr>
      </w:pPr>
      <w:r w:rsidRPr="00300AB3">
        <w:rPr>
          <w:sz w:val="22"/>
          <w:szCs w:val="22"/>
          <w:lang w:val="en-GB"/>
        </w:rPr>
        <w:t>Projects are expected to es</w:t>
      </w:r>
      <w:r>
        <w:rPr>
          <w:sz w:val="22"/>
          <w:szCs w:val="22"/>
          <w:lang w:val="en-GB"/>
        </w:rPr>
        <w:t>tablish long-lasting cross-border links within</w:t>
      </w:r>
      <w:r w:rsidRPr="00300AB3">
        <w:rPr>
          <w:sz w:val="22"/>
          <w:szCs w:val="22"/>
          <w:lang w:val="en-GB"/>
        </w:rPr>
        <w:t xml:space="preserve"> the Black Sea Basin whil</w:t>
      </w:r>
      <w:r>
        <w:rPr>
          <w:sz w:val="22"/>
          <w:szCs w:val="22"/>
          <w:lang w:val="en-GB"/>
        </w:rPr>
        <w:t>e resulting in</w:t>
      </w:r>
      <w:r w:rsidRPr="00300AB3">
        <w:rPr>
          <w:sz w:val="22"/>
          <w:szCs w:val="22"/>
          <w:lang w:val="en-GB"/>
        </w:rPr>
        <w:t xml:space="preserve"> </w:t>
      </w:r>
      <w:r>
        <w:rPr>
          <w:sz w:val="22"/>
          <w:szCs w:val="22"/>
          <w:lang w:val="en-GB"/>
        </w:rPr>
        <w:t>a clearly improved</w:t>
      </w:r>
      <w:r w:rsidRPr="00300AB3">
        <w:rPr>
          <w:sz w:val="22"/>
          <w:szCs w:val="22"/>
          <w:lang w:val="en-GB"/>
        </w:rPr>
        <w:t xml:space="preserve"> situation</w:t>
      </w:r>
      <w:r>
        <w:rPr>
          <w:sz w:val="22"/>
          <w:szCs w:val="22"/>
          <w:lang w:val="en-GB"/>
        </w:rPr>
        <w:t xml:space="preserve"> for</w:t>
      </w:r>
      <w:r w:rsidRPr="00300AB3">
        <w:rPr>
          <w:sz w:val="22"/>
          <w:szCs w:val="22"/>
          <w:lang w:val="en-GB"/>
        </w:rPr>
        <w:t xml:space="preserve"> the issue</w:t>
      </w:r>
      <w:r>
        <w:rPr>
          <w:sz w:val="22"/>
          <w:szCs w:val="22"/>
          <w:lang w:val="en-GB"/>
        </w:rPr>
        <w:t>s</w:t>
      </w:r>
      <w:r w:rsidRPr="00300AB3">
        <w:rPr>
          <w:sz w:val="22"/>
          <w:szCs w:val="22"/>
          <w:lang w:val="en-GB"/>
        </w:rPr>
        <w:t xml:space="preserve"> they address.</w:t>
      </w:r>
      <w:r>
        <w:rPr>
          <w:b/>
          <w:sz w:val="22"/>
          <w:szCs w:val="22"/>
          <w:lang w:val="en-GB"/>
        </w:rPr>
        <w:t xml:space="preserve"> </w:t>
      </w:r>
      <w:r w:rsidRPr="004E55EB">
        <w:rPr>
          <w:sz w:val="22"/>
          <w:szCs w:val="22"/>
          <w:lang w:val="en-GB"/>
        </w:rPr>
        <w:t xml:space="preserve">Projects </w:t>
      </w:r>
      <w:r>
        <w:rPr>
          <w:sz w:val="22"/>
          <w:szCs w:val="22"/>
          <w:lang w:val="en-GB"/>
        </w:rPr>
        <w:t>shall</w:t>
      </w:r>
      <w:r w:rsidRPr="004E55EB">
        <w:rPr>
          <w:sz w:val="22"/>
          <w:szCs w:val="22"/>
          <w:lang w:val="en-GB"/>
        </w:rPr>
        <w:t xml:space="preserve"> achieve a set of results that will allow the programme to reach its objectives.</w:t>
      </w:r>
      <w:r>
        <w:rPr>
          <w:sz w:val="22"/>
          <w:szCs w:val="22"/>
          <w:lang w:val="en-GB"/>
        </w:rPr>
        <w:t xml:space="preserve"> Project partners shall mention in their application how they will contribute to some of the programme expected results and provide relevant outputs both at the level of programme priorities and of horizontal issues</w:t>
      </w:r>
      <w:r>
        <w:rPr>
          <w:rStyle w:val="FootnoteReference"/>
          <w:sz w:val="22"/>
          <w:szCs w:val="22"/>
          <w:lang w:val="en-GB"/>
        </w:rPr>
        <w:footnoteReference w:id="69"/>
      </w:r>
      <w:r>
        <w:rPr>
          <w:sz w:val="22"/>
          <w:szCs w:val="22"/>
          <w:lang w:val="en-GB"/>
        </w:rPr>
        <w:t xml:space="preserve">. </w:t>
      </w:r>
    </w:p>
    <w:p w14:paraId="267B922B" w14:textId="77777777" w:rsidR="00C50F00" w:rsidRDefault="00C50F00" w:rsidP="00C50F00">
      <w:pPr>
        <w:spacing w:after="0" w:line="264" w:lineRule="auto"/>
        <w:jc w:val="both"/>
        <w:rPr>
          <w:b/>
          <w:sz w:val="22"/>
          <w:szCs w:val="22"/>
          <w:lang w:val="en-GB"/>
        </w:rPr>
      </w:pPr>
    </w:p>
    <w:p w14:paraId="6DA33B75" w14:textId="77777777" w:rsidR="00C50F00" w:rsidRPr="005B2C72" w:rsidRDefault="00C50F00" w:rsidP="00C50F00">
      <w:pPr>
        <w:spacing w:after="0" w:line="264" w:lineRule="auto"/>
        <w:jc w:val="both"/>
        <w:rPr>
          <w:sz w:val="22"/>
          <w:szCs w:val="22"/>
          <w:lang w:val="en-GB"/>
        </w:rPr>
      </w:pPr>
      <w:r w:rsidRPr="005B2C72">
        <w:rPr>
          <w:sz w:val="22"/>
          <w:szCs w:val="22"/>
          <w:lang w:val="en-GB"/>
        </w:rPr>
        <w:t xml:space="preserve">Each project shall </w:t>
      </w:r>
      <w:r>
        <w:rPr>
          <w:sz w:val="22"/>
          <w:szCs w:val="22"/>
          <w:lang w:val="en-GB"/>
        </w:rPr>
        <w:t>aim at establishing</w:t>
      </w:r>
      <w:r w:rsidRPr="005B2C72">
        <w:rPr>
          <w:sz w:val="22"/>
          <w:szCs w:val="22"/>
          <w:lang w:val="en-GB"/>
        </w:rPr>
        <w:t>:</w:t>
      </w:r>
    </w:p>
    <w:p w14:paraId="2A2CEE6B" w14:textId="77777777" w:rsidR="00C50F00" w:rsidRPr="0052553B" w:rsidRDefault="00C50F00" w:rsidP="006E538C">
      <w:pPr>
        <w:pStyle w:val="ListParagraph"/>
        <w:numPr>
          <w:ilvl w:val="0"/>
          <w:numId w:val="17"/>
        </w:numPr>
        <w:spacing w:before="60" w:after="60" w:line="264" w:lineRule="auto"/>
        <w:contextualSpacing w:val="0"/>
        <w:jc w:val="both"/>
        <w:rPr>
          <w:sz w:val="22"/>
          <w:szCs w:val="22"/>
          <w:lang w:val="en-GB"/>
        </w:rPr>
      </w:pPr>
      <w:r w:rsidRPr="0052553B">
        <w:rPr>
          <w:b/>
          <w:sz w:val="22"/>
          <w:szCs w:val="22"/>
          <w:lang w:val="en-GB"/>
        </w:rPr>
        <w:t xml:space="preserve">Enhanced </w:t>
      </w:r>
      <w:r>
        <w:rPr>
          <w:b/>
          <w:sz w:val="22"/>
          <w:szCs w:val="22"/>
          <w:lang w:val="en-GB"/>
        </w:rPr>
        <w:t xml:space="preserve">cross-border </w:t>
      </w:r>
      <w:r w:rsidRPr="0052553B">
        <w:rPr>
          <w:b/>
          <w:sz w:val="22"/>
          <w:szCs w:val="22"/>
          <w:lang w:val="en-GB"/>
        </w:rPr>
        <w:t>contacts</w:t>
      </w:r>
      <w:r>
        <w:rPr>
          <w:b/>
          <w:sz w:val="22"/>
          <w:szCs w:val="22"/>
          <w:lang w:val="en-GB"/>
        </w:rPr>
        <w:t xml:space="preserve"> within the Black Sea Basin</w:t>
      </w:r>
      <w:r>
        <w:rPr>
          <w:sz w:val="22"/>
          <w:szCs w:val="22"/>
          <w:lang w:val="en-GB"/>
        </w:rPr>
        <w:t xml:space="preserve"> including</w:t>
      </w:r>
      <w:r w:rsidRPr="0052553B">
        <w:rPr>
          <w:sz w:val="22"/>
          <w:szCs w:val="22"/>
          <w:lang w:val="en-GB"/>
        </w:rPr>
        <w:t xml:space="preserve"> </w:t>
      </w:r>
      <w:r>
        <w:rPr>
          <w:sz w:val="22"/>
          <w:szCs w:val="22"/>
          <w:lang w:val="en-GB"/>
        </w:rPr>
        <w:t xml:space="preserve">e.g. </w:t>
      </w:r>
      <w:r w:rsidRPr="0052553B">
        <w:rPr>
          <w:sz w:val="22"/>
          <w:szCs w:val="22"/>
          <w:lang w:val="en-GB"/>
        </w:rPr>
        <w:t>n</w:t>
      </w:r>
      <w:r>
        <w:rPr>
          <w:sz w:val="22"/>
          <w:szCs w:val="22"/>
          <w:lang w:val="en-GB"/>
        </w:rPr>
        <w:t>etworking, forums and the</w:t>
      </w:r>
      <w:r w:rsidRPr="0052553B">
        <w:rPr>
          <w:sz w:val="22"/>
          <w:szCs w:val="22"/>
          <w:lang w:val="en-GB"/>
        </w:rPr>
        <w:t xml:space="preserve"> establishment of </w:t>
      </w:r>
      <w:r>
        <w:rPr>
          <w:sz w:val="22"/>
          <w:szCs w:val="22"/>
          <w:lang w:val="en-GB"/>
        </w:rPr>
        <w:t xml:space="preserve">lasting </w:t>
      </w:r>
      <w:r w:rsidRPr="0052553B">
        <w:rPr>
          <w:sz w:val="22"/>
          <w:szCs w:val="22"/>
          <w:lang w:val="en-GB"/>
        </w:rPr>
        <w:t>partnerships</w:t>
      </w:r>
      <w:r>
        <w:rPr>
          <w:sz w:val="22"/>
          <w:szCs w:val="22"/>
          <w:lang w:val="en-GB"/>
        </w:rPr>
        <w:t>;</w:t>
      </w:r>
    </w:p>
    <w:p w14:paraId="18C33C8A" w14:textId="77777777" w:rsidR="00C50F00" w:rsidRPr="0052553B" w:rsidRDefault="00C50F00" w:rsidP="006E538C">
      <w:pPr>
        <w:pStyle w:val="ListParagraph"/>
        <w:numPr>
          <w:ilvl w:val="0"/>
          <w:numId w:val="17"/>
        </w:numPr>
        <w:spacing w:before="60" w:after="60" w:line="264" w:lineRule="auto"/>
        <w:contextualSpacing w:val="0"/>
        <w:jc w:val="both"/>
        <w:rPr>
          <w:sz w:val="22"/>
          <w:szCs w:val="22"/>
          <w:lang w:val="en-GB"/>
        </w:rPr>
      </w:pPr>
      <w:r w:rsidRPr="0052553B">
        <w:rPr>
          <w:b/>
          <w:sz w:val="22"/>
          <w:szCs w:val="22"/>
          <w:lang w:val="en-GB"/>
        </w:rPr>
        <w:t>Enhanced knowledge</w:t>
      </w:r>
      <w:r>
        <w:rPr>
          <w:b/>
          <w:sz w:val="22"/>
          <w:szCs w:val="22"/>
          <w:lang w:val="en-GB"/>
        </w:rPr>
        <w:t xml:space="preserve"> and</w:t>
      </w:r>
      <w:r w:rsidRPr="0052553B">
        <w:rPr>
          <w:b/>
          <w:sz w:val="22"/>
          <w:szCs w:val="22"/>
          <w:lang w:val="en-GB"/>
        </w:rPr>
        <w:t xml:space="preserve"> skills</w:t>
      </w:r>
      <w:r w:rsidRPr="00E55CE9">
        <w:rPr>
          <w:sz w:val="22"/>
          <w:szCs w:val="22"/>
          <w:lang w:val="en-GB"/>
        </w:rPr>
        <w:t xml:space="preserve"> </w:t>
      </w:r>
      <w:r>
        <w:rPr>
          <w:sz w:val="22"/>
          <w:szCs w:val="22"/>
          <w:lang w:val="en-GB"/>
        </w:rPr>
        <w:t xml:space="preserve">including e.g. the </w:t>
      </w:r>
      <w:r w:rsidRPr="00E55CE9">
        <w:rPr>
          <w:sz w:val="22"/>
          <w:szCs w:val="22"/>
          <w:lang w:val="en-GB"/>
        </w:rPr>
        <w:t>exchange</w:t>
      </w:r>
      <w:r w:rsidRPr="0052553B">
        <w:rPr>
          <w:sz w:val="22"/>
          <w:szCs w:val="22"/>
          <w:lang w:val="en-GB"/>
        </w:rPr>
        <w:t xml:space="preserve"> of experience and good practice, innovation, capacity-building</w:t>
      </w:r>
      <w:r>
        <w:rPr>
          <w:sz w:val="22"/>
          <w:szCs w:val="22"/>
          <w:lang w:val="en-GB"/>
        </w:rPr>
        <w:t xml:space="preserve"> and</w:t>
      </w:r>
      <w:r w:rsidRPr="0052553B">
        <w:rPr>
          <w:sz w:val="22"/>
          <w:szCs w:val="22"/>
          <w:lang w:val="en-GB"/>
        </w:rPr>
        <w:t xml:space="preserve"> </w:t>
      </w:r>
      <w:r>
        <w:rPr>
          <w:sz w:val="22"/>
          <w:szCs w:val="22"/>
          <w:lang w:val="en-GB"/>
        </w:rPr>
        <w:t xml:space="preserve">joint </w:t>
      </w:r>
      <w:r w:rsidRPr="0052553B">
        <w:rPr>
          <w:sz w:val="22"/>
          <w:szCs w:val="22"/>
          <w:lang w:val="en-GB"/>
        </w:rPr>
        <w:t>research</w:t>
      </w:r>
      <w:r>
        <w:rPr>
          <w:sz w:val="22"/>
          <w:szCs w:val="22"/>
          <w:lang w:val="en-GB"/>
        </w:rPr>
        <w:t>;</w:t>
      </w:r>
    </w:p>
    <w:p w14:paraId="14F6406B" w14:textId="77777777" w:rsidR="00C50F00" w:rsidRDefault="00C50F00" w:rsidP="006E538C">
      <w:pPr>
        <w:pStyle w:val="ListParagraph"/>
        <w:numPr>
          <w:ilvl w:val="0"/>
          <w:numId w:val="17"/>
        </w:numPr>
        <w:spacing w:before="60" w:after="60" w:line="264" w:lineRule="auto"/>
        <w:ind w:left="714" w:hanging="357"/>
        <w:contextualSpacing w:val="0"/>
        <w:jc w:val="both"/>
        <w:rPr>
          <w:sz w:val="22"/>
          <w:szCs w:val="22"/>
          <w:lang w:val="en-GB"/>
        </w:rPr>
      </w:pPr>
      <w:r w:rsidRPr="0052553B">
        <w:rPr>
          <w:b/>
          <w:sz w:val="22"/>
          <w:szCs w:val="22"/>
          <w:lang w:val="en-GB"/>
        </w:rPr>
        <w:t>Concrete and visible outputs</w:t>
      </w:r>
      <w:r w:rsidRPr="0052553B">
        <w:rPr>
          <w:sz w:val="22"/>
          <w:szCs w:val="22"/>
          <w:lang w:val="en-GB"/>
        </w:rPr>
        <w:t xml:space="preserve"> </w:t>
      </w:r>
      <w:r>
        <w:rPr>
          <w:sz w:val="22"/>
          <w:szCs w:val="22"/>
          <w:lang w:val="en-GB"/>
        </w:rPr>
        <w:t xml:space="preserve">including e.g. </w:t>
      </w:r>
      <w:r w:rsidRPr="0052553B">
        <w:rPr>
          <w:sz w:val="22"/>
          <w:szCs w:val="22"/>
          <w:lang w:val="en-GB"/>
        </w:rPr>
        <w:t>small-scale investments, pilot project</w:t>
      </w:r>
      <w:r>
        <w:rPr>
          <w:sz w:val="22"/>
          <w:szCs w:val="22"/>
          <w:lang w:val="en-GB"/>
        </w:rPr>
        <w:t xml:space="preserve">s, </w:t>
      </w:r>
      <w:proofErr w:type="gramStart"/>
      <w:r>
        <w:rPr>
          <w:sz w:val="22"/>
          <w:szCs w:val="22"/>
          <w:lang w:val="en-GB"/>
        </w:rPr>
        <w:t>information</w:t>
      </w:r>
      <w:proofErr w:type="gramEnd"/>
      <w:r>
        <w:rPr>
          <w:sz w:val="22"/>
          <w:szCs w:val="22"/>
          <w:lang w:val="en-GB"/>
        </w:rPr>
        <w:t xml:space="preserve"> and communication technologies</w:t>
      </w:r>
      <w:r w:rsidRPr="0052553B">
        <w:rPr>
          <w:sz w:val="22"/>
          <w:szCs w:val="22"/>
          <w:lang w:val="en-GB"/>
        </w:rPr>
        <w:t xml:space="preserve"> shared tools</w:t>
      </w:r>
      <w:r>
        <w:rPr>
          <w:sz w:val="22"/>
          <w:szCs w:val="22"/>
          <w:lang w:val="en-GB"/>
        </w:rPr>
        <w:t>, online open-access resources.</w:t>
      </w:r>
    </w:p>
    <w:p w14:paraId="46120AE2" w14:textId="77777777" w:rsidR="00C50F00" w:rsidRDefault="00C50F00" w:rsidP="006E538C">
      <w:pPr>
        <w:spacing w:before="120" w:after="0" w:line="264" w:lineRule="auto"/>
        <w:jc w:val="both"/>
        <w:rPr>
          <w:sz w:val="22"/>
          <w:szCs w:val="22"/>
          <w:lang w:val="en-GB"/>
        </w:rPr>
      </w:pPr>
      <w:r>
        <w:rPr>
          <w:sz w:val="22"/>
          <w:szCs w:val="22"/>
          <w:lang w:val="en-GB"/>
        </w:rPr>
        <w:t>When designing and implementing their action, project partners shall also</w:t>
      </w:r>
      <w:r w:rsidRPr="0052553B">
        <w:rPr>
          <w:sz w:val="22"/>
          <w:szCs w:val="22"/>
          <w:lang w:val="en-GB"/>
        </w:rPr>
        <w:t xml:space="preserve"> pay particular attention to</w:t>
      </w:r>
      <w:r>
        <w:rPr>
          <w:sz w:val="22"/>
          <w:szCs w:val="22"/>
          <w:lang w:val="en-GB"/>
        </w:rPr>
        <w:t xml:space="preserve"> ensure:</w:t>
      </w:r>
    </w:p>
    <w:p w14:paraId="3D385AEA" w14:textId="77777777" w:rsidR="00C50F00" w:rsidRPr="002C1FFB" w:rsidRDefault="00C50F00" w:rsidP="006E538C">
      <w:pPr>
        <w:pStyle w:val="ListParagraph"/>
        <w:numPr>
          <w:ilvl w:val="0"/>
          <w:numId w:val="17"/>
        </w:numPr>
        <w:spacing w:before="60" w:after="60" w:line="264" w:lineRule="auto"/>
        <w:contextualSpacing w:val="0"/>
        <w:jc w:val="both"/>
        <w:rPr>
          <w:sz w:val="22"/>
          <w:szCs w:val="22"/>
          <w:lang w:val="en-GB"/>
        </w:rPr>
      </w:pPr>
      <w:r w:rsidRPr="002C1FFB">
        <w:rPr>
          <w:sz w:val="22"/>
          <w:szCs w:val="22"/>
          <w:lang w:val="en-GB"/>
        </w:rPr>
        <w:t xml:space="preserve">The </w:t>
      </w:r>
      <w:r w:rsidRPr="002C1FFB">
        <w:rPr>
          <w:b/>
          <w:sz w:val="22"/>
          <w:szCs w:val="22"/>
          <w:lang w:val="en-GB"/>
        </w:rPr>
        <w:t>sustainability</w:t>
      </w:r>
      <w:r w:rsidRPr="002C1FFB">
        <w:rPr>
          <w:sz w:val="22"/>
          <w:szCs w:val="22"/>
          <w:lang w:val="en-GB"/>
        </w:rPr>
        <w:t xml:space="preserve"> of their action</w:t>
      </w:r>
      <w:r>
        <w:rPr>
          <w:sz w:val="22"/>
          <w:szCs w:val="22"/>
          <w:lang w:val="en-GB"/>
        </w:rPr>
        <w:t>;</w:t>
      </w:r>
      <w:r w:rsidRPr="002C1FFB">
        <w:rPr>
          <w:sz w:val="22"/>
          <w:szCs w:val="22"/>
          <w:lang w:val="en-GB"/>
        </w:rPr>
        <w:t xml:space="preserve"> </w:t>
      </w:r>
    </w:p>
    <w:p w14:paraId="3604A28B" w14:textId="77777777" w:rsidR="00C50F00" w:rsidRPr="002C1FFB" w:rsidRDefault="00C50F00" w:rsidP="006E538C">
      <w:pPr>
        <w:pStyle w:val="ListParagraph"/>
        <w:numPr>
          <w:ilvl w:val="0"/>
          <w:numId w:val="17"/>
        </w:numPr>
        <w:spacing w:before="60" w:after="60" w:line="264" w:lineRule="auto"/>
        <w:contextualSpacing w:val="0"/>
        <w:jc w:val="both"/>
        <w:rPr>
          <w:sz w:val="22"/>
          <w:szCs w:val="22"/>
          <w:lang w:val="en-GB"/>
        </w:rPr>
      </w:pPr>
      <w:r w:rsidRPr="002C1FFB">
        <w:rPr>
          <w:b/>
          <w:sz w:val="22"/>
          <w:szCs w:val="22"/>
          <w:lang w:val="en-GB"/>
        </w:rPr>
        <w:t>Communication</w:t>
      </w:r>
      <w:r w:rsidRPr="002C1FFB">
        <w:rPr>
          <w:sz w:val="22"/>
          <w:szCs w:val="22"/>
          <w:lang w:val="en-GB"/>
        </w:rPr>
        <w:t xml:space="preserve"> on and dissemination of results</w:t>
      </w:r>
      <w:r>
        <w:rPr>
          <w:sz w:val="22"/>
          <w:szCs w:val="22"/>
          <w:lang w:val="en-GB"/>
        </w:rPr>
        <w:t>;</w:t>
      </w:r>
    </w:p>
    <w:p w14:paraId="6ADC78AC" w14:textId="77777777" w:rsidR="00C50F00" w:rsidRPr="002C1FFB" w:rsidRDefault="00C50F00" w:rsidP="006E538C">
      <w:pPr>
        <w:pStyle w:val="ListParagraph"/>
        <w:numPr>
          <w:ilvl w:val="0"/>
          <w:numId w:val="17"/>
        </w:numPr>
        <w:spacing w:before="60" w:after="60" w:line="264" w:lineRule="auto"/>
        <w:contextualSpacing w:val="0"/>
        <w:jc w:val="both"/>
        <w:rPr>
          <w:sz w:val="22"/>
          <w:szCs w:val="22"/>
          <w:lang w:val="en-GB"/>
        </w:rPr>
      </w:pPr>
      <w:r w:rsidRPr="002C1FFB">
        <w:rPr>
          <w:b/>
          <w:sz w:val="22"/>
          <w:szCs w:val="22"/>
          <w:lang w:val="en-GB"/>
        </w:rPr>
        <w:t>Synergies</w:t>
      </w:r>
      <w:r w:rsidRPr="002C1FFB">
        <w:rPr>
          <w:sz w:val="22"/>
          <w:szCs w:val="22"/>
          <w:lang w:val="en-GB"/>
        </w:rPr>
        <w:t xml:space="preserve"> and complementarities with other actions in the same field</w:t>
      </w:r>
      <w:r>
        <w:rPr>
          <w:sz w:val="22"/>
          <w:szCs w:val="22"/>
          <w:lang w:val="en-GB"/>
        </w:rPr>
        <w:t>.</w:t>
      </w:r>
      <w:r w:rsidRPr="002C1FFB">
        <w:rPr>
          <w:sz w:val="22"/>
          <w:szCs w:val="22"/>
          <w:lang w:val="en-GB"/>
        </w:rPr>
        <w:t xml:space="preserve"> </w:t>
      </w:r>
    </w:p>
    <w:p w14:paraId="270E57F2" w14:textId="77777777" w:rsidR="00D6363F" w:rsidRDefault="00D6363F" w:rsidP="00C50F00">
      <w:pPr>
        <w:spacing w:after="0" w:line="264" w:lineRule="auto"/>
        <w:jc w:val="both"/>
        <w:rPr>
          <w:sz w:val="22"/>
          <w:szCs w:val="22"/>
          <w:lang w:val="en-GB"/>
        </w:rPr>
      </w:pPr>
    </w:p>
    <w:p w14:paraId="6C50A352" w14:textId="15652501" w:rsidR="00C50F00" w:rsidRDefault="00C50F00" w:rsidP="00C50F00">
      <w:pPr>
        <w:spacing w:after="0" w:line="264" w:lineRule="auto"/>
        <w:jc w:val="both"/>
        <w:rPr>
          <w:sz w:val="22"/>
          <w:szCs w:val="22"/>
          <w:lang w:val="en-GB"/>
        </w:rPr>
      </w:pPr>
      <w:r w:rsidRPr="00FE09B2">
        <w:rPr>
          <w:sz w:val="22"/>
          <w:szCs w:val="22"/>
          <w:lang w:val="en-GB"/>
        </w:rPr>
        <w:t xml:space="preserve">Projects </w:t>
      </w:r>
      <w:r>
        <w:rPr>
          <w:sz w:val="22"/>
          <w:szCs w:val="22"/>
          <w:lang w:val="en-GB"/>
        </w:rPr>
        <w:t>shall be submitted</w:t>
      </w:r>
      <w:r w:rsidRPr="00683A03">
        <w:rPr>
          <w:b/>
          <w:sz w:val="22"/>
          <w:szCs w:val="22"/>
          <w:lang w:val="en-GB"/>
        </w:rPr>
        <w:t xml:space="preserve"> jointly</w:t>
      </w:r>
      <w:r>
        <w:rPr>
          <w:sz w:val="22"/>
          <w:szCs w:val="22"/>
          <w:lang w:val="en-GB"/>
        </w:rPr>
        <w:t xml:space="preserve"> by partners from at least one of the participating EU Member States </w:t>
      </w:r>
      <w:r w:rsidRPr="00683A03">
        <w:rPr>
          <w:b/>
          <w:sz w:val="22"/>
          <w:szCs w:val="22"/>
          <w:lang w:val="en-GB"/>
        </w:rPr>
        <w:t>and</w:t>
      </w:r>
      <w:r>
        <w:rPr>
          <w:sz w:val="22"/>
          <w:szCs w:val="22"/>
          <w:lang w:val="en-GB"/>
        </w:rPr>
        <w:t xml:space="preserve"> one of the participating partner countries</w:t>
      </w:r>
      <w:r>
        <w:rPr>
          <w:rStyle w:val="FootnoteReference"/>
          <w:sz w:val="22"/>
          <w:szCs w:val="22"/>
          <w:lang w:val="en-GB"/>
        </w:rPr>
        <w:footnoteReference w:id="70"/>
      </w:r>
      <w:r>
        <w:rPr>
          <w:sz w:val="22"/>
          <w:szCs w:val="22"/>
          <w:lang w:val="en-GB"/>
        </w:rPr>
        <w:t xml:space="preserve">. </w:t>
      </w:r>
      <w:r w:rsidR="002B44C7">
        <w:rPr>
          <w:sz w:val="22"/>
          <w:szCs w:val="22"/>
          <w:lang w:val="en-GB"/>
        </w:rPr>
        <w:t xml:space="preserve"> </w:t>
      </w:r>
      <w:r w:rsidR="008C4A50">
        <w:rPr>
          <w:sz w:val="22"/>
          <w:szCs w:val="22"/>
          <w:lang w:val="en-GB"/>
        </w:rPr>
        <w:t>P</w:t>
      </w:r>
      <w:r>
        <w:rPr>
          <w:sz w:val="22"/>
          <w:szCs w:val="22"/>
          <w:lang w:val="en-GB"/>
        </w:rPr>
        <w:t xml:space="preserve">articipation of Turkish partners is only possible in projects with at least one partner from a participating EU Member State and one partner from a participating partner country. The project lead partner may be from any of the participating countries. </w:t>
      </w:r>
    </w:p>
    <w:p w14:paraId="6C967AC5" w14:textId="77777777" w:rsidR="00C50F00" w:rsidRDefault="00C50F00" w:rsidP="00C50F00">
      <w:pPr>
        <w:spacing w:after="0" w:line="264" w:lineRule="auto"/>
        <w:jc w:val="both"/>
        <w:rPr>
          <w:sz w:val="22"/>
          <w:szCs w:val="22"/>
          <w:lang w:val="en-GB"/>
        </w:rPr>
      </w:pPr>
    </w:p>
    <w:p w14:paraId="63F0CCAD" w14:textId="77777777" w:rsidR="00C50F00" w:rsidRDefault="00C50F00" w:rsidP="00C50F00">
      <w:pPr>
        <w:spacing w:after="0" w:line="264" w:lineRule="auto"/>
        <w:jc w:val="both"/>
        <w:rPr>
          <w:sz w:val="22"/>
          <w:szCs w:val="22"/>
          <w:lang w:val="en-GB"/>
        </w:rPr>
      </w:pPr>
      <w:r>
        <w:rPr>
          <w:sz w:val="22"/>
          <w:szCs w:val="22"/>
          <w:lang w:val="en-GB"/>
        </w:rPr>
        <w:t>In line with ENI CBC Programming document</w:t>
      </w:r>
      <w:r w:rsidRPr="005C2FDE">
        <w:rPr>
          <w:vertAlign w:val="superscript"/>
        </w:rPr>
        <w:footnoteReference w:id="71"/>
      </w:r>
      <w:r>
        <w:rPr>
          <w:sz w:val="22"/>
          <w:szCs w:val="22"/>
          <w:lang w:val="en-GB"/>
        </w:rPr>
        <w:t>,</w:t>
      </w:r>
      <w:r w:rsidRPr="005C2FDE">
        <w:rPr>
          <w:sz w:val="22"/>
          <w:szCs w:val="22"/>
          <w:lang w:val="en-GB"/>
        </w:rPr>
        <w:t xml:space="preserve"> the partners implementing projects will primarily represent the </w:t>
      </w:r>
      <w:r w:rsidRPr="005670FE">
        <w:rPr>
          <w:b/>
          <w:sz w:val="22"/>
          <w:szCs w:val="22"/>
          <w:lang w:val="en-GB"/>
        </w:rPr>
        <w:t>regional and sub-national administrative levels, as well as civil society organisations</w:t>
      </w:r>
      <w:r w:rsidRPr="005C2FDE">
        <w:rPr>
          <w:sz w:val="22"/>
          <w:szCs w:val="22"/>
          <w:lang w:val="en-GB"/>
        </w:rPr>
        <w:t xml:space="preserve"> based within the eligible programme area</w:t>
      </w:r>
      <w:r>
        <w:rPr>
          <w:sz w:val="22"/>
          <w:szCs w:val="22"/>
          <w:lang w:val="en-GB"/>
        </w:rPr>
        <w:t>. E</w:t>
      </w:r>
      <w:r w:rsidRPr="005C2FDE">
        <w:rPr>
          <w:sz w:val="22"/>
          <w:szCs w:val="22"/>
          <w:lang w:val="en-GB"/>
        </w:rPr>
        <w:t xml:space="preserve">ligibility of project partners is based on the ENI </w:t>
      </w:r>
      <w:r>
        <w:rPr>
          <w:sz w:val="22"/>
          <w:szCs w:val="22"/>
          <w:lang w:val="en-GB"/>
        </w:rPr>
        <w:t>regulation</w:t>
      </w:r>
      <w:r>
        <w:rPr>
          <w:rStyle w:val="FootnoteReference"/>
          <w:sz w:val="22"/>
          <w:szCs w:val="22"/>
          <w:lang w:val="en-GB"/>
        </w:rPr>
        <w:footnoteReference w:id="72"/>
      </w:r>
      <w:r>
        <w:rPr>
          <w:sz w:val="22"/>
          <w:szCs w:val="22"/>
          <w:lang w:val="en-GB"/>
        </w:rPr>
        <w:t xml:space="preserve">, but priority will </w:t>
      </w:r>
      <w:r w:rsidRPr="005C2FDE">
        <w:rPr>
          <w:sz w:val="22"/>
          <w:szCs w:val="22"/>
          <w:lang w:val="en-GB"/>
        </w:rPr>
        <w:t>be given to local and regional authorities, civil society, chambers of commerce, and the academic and educational community; as well as other eligible actors based within the geographical eligibility of the programme and important for the realisation of t</w:t>
      </w:r>
      <w:r>
        <w:rPr>
          <w:sz w:val="22"/>
          <w:szCs w:val="22"/>
          <w:lang w:val="en-GB"/>
        </w:rPr>
        <w:t xml:space="preserve">he objectives of the </w:t>
      </w:r>
      <w:r w:rsidRPr="005C2FDE">
        <w:rPr>
          <w:sz w:val="22"/>
          <w:szCs w:val="22"/>
          <w:lang w:val="en-GB"/>
        </w:rPr>
        <w:t>programme.</w:t>
      </w:r>
      <w:r>
        <w:rPr>
          <w:sz w:val="22"/>
          <w:szCs w:val="22"/>
          <w:lang w:val="en-GB"/>
        </w:rPr>
        <w:t xml:space="preserve"> N</w:t>
      </w:r>
      <w:r w:rsidRPr="005C2FDE">
        <w:rPr>
          <w:sz w:val="22"/>
          <w:szCs w:val="22"/>
          <w:lang w:val="en-GB"/>
        </w:rPr>
        <w:t xml:space="preserve">ational authorities </w:t>
      </w:r>
      <w:r>
        <w:rPr>
          <w:sz w:val="22"/>
          <w:szCs w:val="22"/>
          <w:lang w:val="en-GB"/>
        </w:rPr>
        <w:t>may be involved in project implementation when</w:t>
      </w:r>
      <w:r w:rsidRPr="005C2FDE">
        <w:rPr>
          <w:sz w:val="22"/>
          <w:szCs w:val="22"/>
          <w:lang w:val="en-GB"/>
        </w:rPr>
        <w:t xml:space="preserve"> necessary</w:t>
      </w:r>
      <w:r>
        <w:rPr>
          <w:sz w:val="22"/>
          <w:szCs w:val="22"/>
          <w:lang w:val="en-GB"/>
        </w:rPr>
        <w:t>.</w:t>
      </w:r>
    </w:p>
    <w:p w14:paraId="27E90575" w14:textId="77777777" w:rsidR="00C50F00" w:rsidRDefault="00C50F00" w:rsidP="00C50F00">
      <w:pPr>
        <w:spacing w:after="0" w:line="264" w:lineRule="auto"/>
        <w:jc w:val="both"/>
        <w:rPr>
          <w:sz w:val="22"/>
          <w:szCs w:val="22"/>
          <w:lang w:val="en-GB"/>
        </w:rPr>
      </w:pPr>
    </w:p>
    <w:p w14:paraId="31830F9A" w14:textId="77777777" w:rsidR="0098580C" w:rsidRDefault="00C50F00" w:rsidP="00C50F00">
      <w:pPr>
        <w:spacing w:after="0" w:line="264" w:lineRule="auto"/>
        <w:jc w:val="both"/>
        <w:rPr>
          <w:sz w:val="22"/>
          <w:szCs w:val="22"/>
          <w:lang w:val="en-GB"/>
        </w:rPr>
      </w:pPr>
      <w:r w:rsidRPr="0068278B">
        <w:rPr>
          <w:sz w:val="22"/>
          <w:szCs w:val="22"/>
          <w:lang w:val="en-GB"/>
        </w:rPr>
        <w:t xml:space="preserve">Project partners shall be effectively </w:t>
      </w:r>
      <w:r w:rsidRPr="00FA60D8">
        <w:rPr>
          <w:b/>
          <w:sz w:val="22"/>
          <w:szCs w:val="22"/>
          <w:lang w:val="en-GB"/>
        </w:rPr>
        <w:t>established in the programme area</w:t>
      </w:r>
      <w:r>
        <w:rPr>
          <w:rStyle w:val="FootnoteReference"/>
          <w:b/>
          <w:sz w:val="22"/>
          <w:szCs w:val="22"/>
          <w:lang w:val="en-GB"/>
        </w:rPr>
        <w:footnoteReference w:id="73"/>
      </w:r>
      <w:r w:rsidRPr="0068278B">
        <w:rPr>
          <w:sz w:val="22"/>
          <w:szCs w:val="22"/>
          <w:lang w:val="en-GB"/>
        </w:rPr>
        <w:t xml:space="preserve"> or, in case of international organisations, have a base of operations in the programme area. A European grouping of territorial cooperation may be a project partner, regardless of its place of establishment, provided its geographic coverage is within the programme area</w:t>
      </w:r>
      <w:r>
        <w:rPr>
          <w:rStyle w:val="FootnoteReference"/>
          <w:sz w:val="22"/>
          <w:szCs w:val="22"/>
          <w:lang w:val="en-GB"/>
        </w:rPr>
        <w:footnoteReference w:id="74"/>
      </w:r>
      <w:r w:rsidRPr="0068278B">
        <w:rPr>
          <w:sz w:val="22"/>
          <w:szCs w:val="22"/>
          <w:lang w:val="en-GB"/>
        </w:rPr>
        <w:t>.</w:t>
      </w:r>
      <w:r w:rsidRPr="00B74C61">
        <w:rPr>
          <w:rStyle w:val="FootnoteReference"/>
          <w:sz w:val="22"/>
          <w:szCs w:val="22"/>
          <w:lang w:val="en-GB"/>
        </w:rPr>
        <w:t xml:space="preserve"> </w:t>
      </w:r>
    </w:p>
    <w:p w14:paraId="0BFA6655" w14:textId="77777777" w:rsidR="005E10D2" w:rsidRDefault="005E10D2" w:rsidP="00C50F00">
      <w:pPr>
        <w:spacing w:after="0" w:line="264" w:lineRule="auto"/>
        <w:jc w:val="both"/>
        <w:rPr>
          <w:sz w:val="22"/>
          <w:szCs w:val="22"/>
          <w:lang w:val="en-GB"/>
        </w:rPr>
      </w:pPr>
    </w:p>
    <w:p w14:paraId="20348720" w14:textId="77777777" w:rsidR="0098580C" w:rsidRDefault="0098580C" w:rsidP="00C50F00">
      <w:pPr>
        <w:spacing w:after="0" w:line="264" w:lineRule="auto"/>
        <w:jc w:val="both"/>
        <w:rPr>
          <w:sz w:val="22"/>
          <w:szCs w:val="22"/>
          <w:lang w:val="en-GB"/>
        </w:rPr>
      </w:pPr>
      <w:r w:rsidRPr="00F06BD2">
        <w:rPr>
          <w:sz w:val="22"/>
          <w:szCs w:val="22"/>
          <w:lang w:val="en-GB"/>
        </w:rPr>
        <w:t>The conditions for involvement of other organisations shall be</w:t>
      </w:r>
      <w:r w:rsidR="00D859C7" w:rsidRPr="00F06BD2">
        <w:rPr>
          <w:sz w:val="22"/>
          <w:szCs w:val="22"/>
          <w:lang w:val="en-GB"/>
        </w:rPr>
        <w:t xml:space="preserve"> defined in the Guidelines for A</w:t>
      </w:r>
      <w:r w:rsidRPr="00F06BD2">
        <w:rPr>
          <w:sz w:val="22"/>
          <w:szCs w:val="22"/>
          <w:lang w:val="en-GB"/>
        </w:rPr>
        <w:t>pplicants prepared for each call for proposals</w:t>
      </w:r>
      <w:r w:rsidRPr="00C81E18">
        <w:rPr>
          <w:sz w:val="22"/>
          <w:szCs w:val="22"/>
          <w:lang w:val="en-GB"/>
        </w:rPr>
        <w:t>.</w:t>
      </w:r>
    </w:p>
    <w:p w14:paraId="1A308B9A" w14:textId="77777777" w:rsidR="00C50F00" w:rsidRDefault="00C50F00" w:rsidP="00C50F00">
      <w:pPr>
        <w:pStyle w:val="NumPar1"/>
        <w:numPr>
          <w:ilvl w:val="0"/>
          <w:numId w:val="0"/>
        </w:numPr>
        <w:spacing w:before="0" w:after="0" w:line="264" w:lineRule="auto"/>
        <w:rPr>
          <w:sz w:val="22"/>
        </w:rPr>
      </w:pPr>
    </w:p>
    <w:p w14:paraId="53685688" w14:textId="77777777" w:rsidR="00C50F00" w:rsidRPr="00D92080" w:rsidRDefault="00C50F00" w:rsidP="00C50F00">
      <w:pPr>
        <w:pStyle w:val="NumPar1"/>
        <w:numPr>
          <w:ilvl w:val="0"/>
          <w:numId w:val="0"/>
        </w:numPr>
        <w:spacing w:before="0" w:after="0" w:line="264" w:lineRule="auto"/>
        <w:rPr>
          <w:rFonts w:asciiTheme="minorHAnsi" w:eastAsiaTheme="minorEastAsia" w:hAnsiTheme="minorHAnsi" w:cstheme="minorBidi"/>
          <w:sz w:val="22"/>
          <w:lang w:eastAsia="fr-FR"/>
        </w:rPr>
      </w:pPr>
      <w:r w:rsidRPr="001E2782">
        <w:rPr>
          <w:rFonts w:asciiTheme="majorHAnsi" w:hAnsiTheme="majorHAnsi"/>
          <w:sz w:val="22"/>
        </w:rPr>
        <w:t xml:space="preserve">Project activities shall be </w:t>
      </w:r>
      <w:r w:rsidRPr="001E2782">
        <w:rPr>
          <w:rFonts w:asciiTheme="majorHAnsi" w:hAnsiTheme="majorHAnsi"/>
          <w:b/>
          <w:sz w:val="22"/>
        </w:rPr>
        <w:t>implemented in the programme area</w:t>
      </w:r>
      <w:r w:rsidRPr="001E2782">
        <w:rPr>
          <w:rFonts w:asciiTheme="majorHAnsi" w:hAnsiTheme="majorHAnsi"/>
          <w:sz w:val="22"/>
        </w:rPr>
        <w:t>.</w:t>
      </w:r>
      <w:r>
        <w:rPr>
          <w:sz w:val="22"/>
        </w:rPr>
        <w:t xml:space="preserve"> </w:t>
      </w:r>
      <w:r w:rsidRPr="00D92080">
        <w:rPr>
          <w:rFonts w:asciiTheme="minorHAnsi" w:eastAsiaTheme="minorEastAsia" w:hAnsiTheme="minorHAnsi" w:cstheme="minorBidi"/>
          <w:sz w:val="22"/>
          <w:lang w:eastAsia="fr-FR"/>
        </w:rPr>
        <w:t>Projects may be partially implem</w:t>
      </w:r>
      <w:r>
        <w:rPr>
          <w:rFonts w:asciiTheme="minorHAnsi" w:eastAsiaTheme="minorEastAsia" w:hAnsiTheme="minorHAnsi" w:cstheme="minorBidi"/>
          <w:sz w:val="22"/>
          <w:lang w:eastAsia="fr-FR"/>
        </w:rPr>
        <w:t>ented outside the programme area only if</w:t>
      </w:r>
      <w:r>
        <w:rPr>
          <w:rStyle w:val="FootnoteReference"/>
          <w:rFonts w:asciiTheme="minorHAnsi" w:eastAsiaTheme="minorEastAsia" w:hAnsiTheme="minorHAnsi" w:cstheme="minorBidi"/>
          <w:sz w:val="22"/>
          <w:lang w:eastAsia="fr-FR"/>
        </w:rPr>
        <w:footnoteReference w:id="75"/>
      </w:r>
      <w:r w:rsidRPr="00D92080">
        <w:rPr>
          <w:rFonts w:asciiTheme="minorHAnsi" w:eastAsiaTheme="minorEastAsia" w:hAnsiTheme="minorHAnsi" w:cstheme="minorBidi"/>
          <w:sz w:val="22"/>
          <w:lang w:eastAsia="fr-FR"/>
        </w:rPr>
        <w:t>:</w:t>
      </w:r>
    </w:p>
    <w:p w14:paraId="64CC7319" w14:textId="77777777" w:rsidR="00C50F00" w:rsidRPr="00D92080" w:rsidRDefault="00C50F00" w:rsidP="00C50F00">
      <w:pPr>
        <w:pStyle w:val="NumPar1"/>
        <w:numPr>
          <w:ilvl w:val="0"/>
          <w:numId w:val="27"/>
        </w:numPr>
        <w:spacing w:before="0" w:after="0" w:line="264" w:lineRule="auto"/>
        <w:rPr>
          <w:rFonts w:asciiTheme="minorHAnsi" w:eastAsiaTheme="minorEastAsia" w:hAnsiTheme="minorHAnsi" w:cstheme="minorBidi"/>
          <w:sz w:val="22"/>
          <w:lang w:eastAsia="fr-FR"/>
        </w:rPr>
      </w:pPr>
      <w:r w:rsidRPr="00D92080">
        <w:rPr>
          <w:rFonts w:asciiTheme="minorHAnsi" w:eastAsiaTheme="minorEastAsia" w:hAnsiTheme="minorHAnsi" w:cstheme="minorBidi"/>
          <w:sz w:val="22"/>
          <w:lang w:eastAsia="fr-FR"/>
        </w:rPr>
        <w:t>It is necessary for achieving the programme objective and it benefits</w:t>
      </w:r>
      <w:r>
        <w:rPr>
          <w:rFonts w:asciiTheme="minorHAnsi" w:eastAsiaTheme="minorEastAsia" w:hAnsiTheme="minorHAnsi" w:cstheme="minorBidi"/>
          <w:sz w:val="22"/>
          <w:lang w:eastAsia="fr-FR"/>
        </w:rPr>
        <w:t xml:space="preserve"> the programme area, </w:t>
      </w:r>
      <w:r w:rsidRPr="00FE454B">
        <w:rPr>
          <w:rFonts w:asciiTheme="minorHAnsi" w:eastAsiaTheme="minorEastAsia" w:hAnsiTheme="minorHAnsi" w:cstheme="minorBidi"/>
          <w:sz w:val="22"/>
          <w:u w:val="single"/>
          <w:lang w:eastAsia="fr-FR"/>
        </w:rPr>
        <w:t>and</w:t>
      </w:r>
      <w:r w:rsidRPr="00D92080">
        <w:rPr>
          <w:rFonts w:asciiTheme="minorHAnsi" w:eastAsiaTheme="minorEastAsia" w:hAnsiTheme="minorHAnsi" w:cstheme="minorBidi"/>
          <w:sz w:val="22"/>
          <w:lang w:eastAsia="fr-FR"/>
        </w:rPr>
        <w:t xml:space="preserve"> </w:t>
      </w:r>
    </w:p>
    <w:p w14:paraId="1268822B" w14:textId="77777777" w:rsidR="00C50F00" w:rsidRDefault="00C50F00" w:rsidP="00C50F00">
      <w:pPr>
        <w:pStyle w:val="NumPar1"/>
        <w:numPr>
          <w:ilvl w:val="0"/>
          <w:numId w:val="27"/>
        </w:numPr>
        <w:spacing w:before="0" w:after="0" w:line="264" w:lineRule="auto"/>
        <w:rPr>
          <w:rFonts w:asciiTheme="minorHAnsi" w:eastAsiaTheme="minorEastAsia" w:hAnsiTheme="minorHAnsi" w:cstheme="minorBidi"/>
          <w:sz w:val="22"/>
          <w:lang w:eastAsia="fr-FR"/>
        </w:rPr>
      </w:pPr>
      <w:r w:rsidRPr="00D92080">
        <w:rPr>
          <w:rFonts w:asciiTheme="minorHAnsi" w:eastAsiaTheme="minorEastAsia" w:hAnsiTheme="minorHAnsi" w:cstheme="minorBidi"/>
          <w:sz w:val="22"/>
          <w:lang w:eastAsia="fr-FR"/>
        </w:rPr>
        <w:t xml:space="preserve">Costs of activities outside the programme area are </w:t>
      </w:r>
      <w:r w:rsidRPr="008E5989">
        <w:rPr>
          <w:rFonts w:asciiTheme="minorHAnsi" w:eastAsiaTheme="minorEastAsia" w:hAnsiTheme="minorHAnsi" w:cstheme="minorBidi"/>
          <w:sz w:val="22"/>
          <w:lang w:eastAsia="fr-FR"/>
        </w:rPr>
        <w:t>limited to 20%</w:t>
      </w:r>
      <w:r w:rsidRPr="00D92080">
        <w:rPr>
          <w:rFonts w:asciiTheme="minorHAnsi" w:eastAsiaTheme="minorEastAsia" w:hAnsiTheme="minorHAnsi" w:cstheme="minorBidi"/>
          <w:sz w:val="22"/>
          <w:lang w:eastAsia="fr-FR"/>
        </w:rPr>
        <w:t xml:space="preserve"> of the EU contribution at project level</w:t>
      </w:r>
      <w:r>
        <w:rPr>
          <w:rFonts w:asciiTheme="minorHAnsi" w:eastAsiaTheme="minorEastAsia" w:hAnsiTheme="minorHAnsi" w:cstheme="minorBidi"/>
          <w:sz w:val="22"/>
          <w:lang w:eastAsia="fr-FR"/>
        </w:rPr>
        <w:t>.</w:t>
      </w:r>
    </w:p>
    <w:p w14:paraId="4E56574E" w14:textId="77777777" w:rsidR="00C50F00" w:rsidRPr="001E5252" w:rsidRDefault="00C50F00" w:rsidP="00C50F00">
      <w:pPr>
        <w:spacing w:after="0" w:line="264" w:lineRule="auto"/>
        <w:rPr>
          <w:lang w:val="en-GB"/>
        </w:rPr>
      </w:pPr>
    </w:p>
    <w:p w14:paraId="61602134" w14:textId="77777777" w:rsidR="00C50F00" w:rsidRDefault="00C50F00" w:rsidP="00C50F00">
      <w:pPr>
        <w:spacing w:after="0" w:line="264" w:lineRule="auto"/>
        <w:jc w:val="both"/>
        <w:rPr>
          <w:sz w:val="22"/>
          <w:szCs w:val="22"/>
          <w:lang w:val="en-GB"/>
        </w:rPr>
      </w:pPr>
      <w:r>
        <w:rPr>
          <w:sz w:val="22"/>
          <w:szCs w:val="22"/>
          <w:lang w:val="en-GB"/>
        </w:rPr>
        <w:t xml:space="preserve">Projects shall always deliver clear </w:t>
      </w:r>
      <w:r w:rsidRPr="00106E5B">
        <w:rPr>
          <w:b/>
          <w:sz w:val="22"/>
          <w:szCs w:val="22"/>
          <w:lang w:val="en-GB"/>
        </w:rPr>
        <w:t>cross-border cooperation impact and benefits</w:t>
      </w:r>
      <w:r>
        <w:rPr>
          <w:sz w:val="22"/>
          <w:szCs w:val="22"/>
          <w:lang w:val="en-GB"/>
        </w:rPr>
        <w:t>. Projects may</w:t>
      </w:r>
      <w:r w:rsidRPr="00FE09B2">
        <w:rPr>
          <w:sz w:val="22"/>
          <w:szCs w:val="22"/>
          <w:lang w:val="en-GB"/>
        </w:rPr>
        <w:t xml:space="preserve"> </w:t>
      </w:r>
      <w:r>
        <w:rPr>
          <w:sz w:val="22"/>
          <w:szCs w:val="22"/>
          <w:lang w:val="en-GB"/>
        </w:rPr>
        <w:t>take the form of:</w:t>
      </w:r>
    </w:p>
    <w:p w14:paraId="3FE6A7E0" w14:textId="77777777" w:rsidR="00C50F00" w:rsidRDefault="00C50F00" w:rsidP="00C50F00">
      <w:pPr>
        <w:pStyle w:val="ListParagraph"/>
        <w:numPr>
          <w:ilvl w:val="0"/>
          <w:numId w:val="16"/>
        </w:numPr>
        <w:spacing w:after="0" w:line="264" w:lineRule="auto"/>
        <w:jc w:val="both"/>
        <w:rPr>
          <w:sz w:val="22"/>
          <w:szCs w:val="22"/>
          <w:lang w:val="en-GB"/>
        </w:rPr>
      </w:pPr>
      <w:r>
        <w:rPr>
          <w:sz w:val="22"/>
          <w:szCs w:val="22"/>
          <w:lang w:val="en-GB"/>
        </w:rPr>
        <w:t>I</w:t>
      </w:r>
      <w:r w:rsidRPr="00683A03">
        <w:rPr>
          <w:sz w:val="22"/>
          <w:szCs w:val="22"/>
          <w:lang w:val="en-GB"/>
        </w:rPr>
        <w:t xml:space="preserve">ntegrated projects where each beneficiary implements a part of the activities of the project on its own territory; </w:t>
      </w:r>
    </w:p>
    <w:p w14:paraId="0EC30A01" w14:textId="77777777" w:rsidR="00C50F00" w:rsidRDefault="00C50F00" w:rsidP="00C50F00">
      <w:pPr>
        <w:pStyle w:val="ListParagraph"/>
        <w:numPr>
          <w:ilvl w:val="0"/>
          <w:numId w:val="16"/>
        </w:numPr>
        <w:spacing w:after="0" w:line="264" w:lineRule="auto"/>
        <w:jc w:val="both"/>
        <w:rPr>
          <w:sz w:val="22"/>
          <w:szCs w:val="22"/>
          <w:lang w:val="en-GB"/>
        </w:rPr>
      </w:pPr>
      <w:r>
        <w:rPr>
          <w:sz w:val="22"/>
          <w:szCs w:val="22"/>
          <w:lang w:val="en-GB"/>
        </w:rPr>
        <w:t>S</w:t>
      </w:r>
      <w:r w:rsidRPr="00683A03">
        <w:rPr>
          <w:sz w:val="22"/>
          <w:szCs w:val="22"/>
          <w:lang w:val="en-GB"/>
        </w:rPr>
        <w:t xml:space="preserve">ymmetrical projects where similar activities are implemented in parallel </w:t>
      </w:r>
      <w:r>
        <w:rPr>
          <w:sz w:val="22"/>
          <w:szCs w:val="22"/>
          <w:lang w:val="en-GB"/>
        </w:rPr>
        <w:t>in the participating countries;</w:t>
      </w:r>
    </w:p>
    <w:p w14:paraId="6B6382BB" w14:textId="77777777" w:rsidR="00C50F00" w:rsidRDefault="00C50F00" w:rsidP="00C50F00">
      <w:pPr>
        <w:pStyle w:val="ListParagraph"/>
        <w:numPr>
          <w:ilvl w:val="0"/>
          <w:numId w:val="16"/>
        </w:numPr>
        <w:spacing w:after="0" w:line="264" w:lineRule="auto"/>
        <w:jc w:val="both"/>
        <w:rPr>
          <w:sz w:val="22"/>
          <w:szCs w:val="22"/>
          <w:lang w:val="en-GB"/>
        </w:rPr>
      </w:pPr>
      <w:r>
        <w:rPr>
          <w:sz w:val="22"/>
          <w:szCs w:val="22"/>
          <w:lang w:val="en-GB"/>
        </w:rPr>
        <w:t>S</w:t>
      </w:r>
      <w:r w:rsidRPr="00683A03">
        <w:rPr>
          <w:sz w:val="22"/>
          <w:szCs w:val="22"/>
          <w:lang w:val="en-GB"/>
        </w:rPr>
        <w:t>ingle-country projects where projects are implemented mainly or entirely in one of the participating countries but for the benefit of all or some of the participating countries and where cross-border impacts and benefits are identified.</w:t>
      </w:r>
    </w:p>
    <w:p w14:paraId="639B2CE1" w14:textId="77777777" w:rsidR="00C50F00" w:rsidRDefault="00C50F00" w:rsidP="00C50F00">
      <w:pPr>
        <w:pStyle w:val="Normaleprogram"/>
        <w:ind w:right="-54"/>
        <w:jc w:val="both"/>
        <w:rPr>
          <w:rFonts w:asciiTheme="minorHAnsi" w:eastAsiaTheme="minorEastAsia" w:hAnsiTheme="minorHAnsi" w:cstheme="minorBidi"/>
          <w:sz w:val="22"/>
          <w:szCs w:val="22"/>
          <w:lang w:eastAsia="fr-FR"/>
        </w:rPr>
      </w:pPr>
    </w:p>
    <w:p w14:paraId="531591C6" w14:textId="77777777" w:rsidR="00C50F00" w:rsidRPr="00717B16" w:rsidRDefault="00C50F00" w:rsidP="00C50F00">
      <w:pPr>
        <w:spacing w:after="0" w:line="264" w:lineRule="auto"/>
        <w:jc w:val="both"/>
        <w:rPr>
          <w:sz w:val="22"/>
          <w:szCs w:val="22"/>
          <w:lang w:val="en-GB"/>
        </w:rPr>
      </w:pPr>
      <w:r w:rsidRPr="00717B16">
        <w:rPr>
          <w:sz w:val="22"/>
          <w:szCs w:val="22"/>
          <w:lang w:val="en-GB"/>
        </w:rPr>
        <w:t>The recommended financial size and the number of partners involved in each project partnership will be further defined in th</w:t>
      </w:r>
      <w:r>
        <w:rPr>
          <w:sz w:val="22"/>
          <w:szCs w:val="22"/>
          <w:lang w:val="en-GB"/>
        </w:rPr>
        <w:t>e Calls for P</w:t>
      </w:r>
      <w:r w:rsidRPr="00717B16">
        <w:rPr>
          <w:sz w:val="22"/>
          <w:szCs w:val="22"/>
          <w:lang w:val="en-GB"/>
        </w:rPr>
        <w:t>roposals.</w:t>
      </w:r>
    </w:p>
    <w:p w14:paraId="7D863131" w14:textId="77777777" w:rsidR="00C50F00" w:rsidRDefault="00C50F00" w:rsidP="00C50F00">
      <w:pPr>
        <w:spacing w:after="0" w:line="264" w:lineRule="auto"/>
        <w:jc w:val="both"/>
        <w:rPr>
          <w:sz w:val="22"/>
          <w:szCs w:val="22"/>
          <w:lang w:val="en-GB"/>
        </w:rPr>
      </w:pPr>
    </w:p>
    <w:p w14:paraId="201A23F5" w14:textId="77777777" w:rsidR="00C50F00" w:rsidRDefault="00C50F00" w:rsidP="002F6EBC">
      <w:pPr>
        <w:spacing w:after="0" w:line="240" w:lineRule="auto"/>
        <w:jc w:val="both"/>
        <w:rPr>
          <w:sz w:val="22"/>
          <w:szCs w:val="22"/>
          <w:lang w:val="en-GB"/>
        </w:rPr>
      </w:pPr>
      <w:r w:rsidRPr="00B467A7">
        <w:rPr>
          <w:sz w:val="22"/>
          <w:szCs w:val="22"/>
          <w:lang w:val="en-GB"/>
        </w:rPr>
        <w:t xml:space="preserve">Support to projects will be provided in the form of </w:t>
      </w:r>
      <w:r w:rsidRPr="00B467A7">
        <w:rPr>
          <w:b/>
          <w:sz w:val="22"/>
          <w:szCs w:val="22"/>
          <w:lang w:val="en-GB"/>
        </w:rPr>
        <w:t>grants awarded to projects selected through calls for proposals</w:t>
      </w:r>
      <w:r w:rsidRPr="00B467A7">
        <w:rPr>
          <w:sz w:val="22"/>
          <w:szCs w:val="22"/>
          <w:lang w:val="en-GB"/>
        </w:rPr>
        <w:t>. Two calls for proposals are provisionally expected to be launched during the programme lifetime, according with the time-frame for programme implementation</w:t>
      </w:r>
      <w:r w:rsidR="00102B20">
        <w:rPr>
          <w:sz w:val="22"/>
          <w:szCs w:val="22"/>
          <w:lang w:val="en-GB"/>
        </w:rPr>
        <w:t xml:space="preserve"> (presented in the chapter on programme implementation)</w:t>
      </w:r>
      <w:r w:rsidRPr="00B467A7">
        <w:rPr>
          <w:sz w:val="22"/>
          <w:szCs w:val="22"/>
          <w:lang w:val="en-GB"/>
        </w:rPr>
        <w:t>. The procedures to launch the calls for proposals, select and implement projects will be detailed in the Guidelines for Applicants. This document will also include the specific requirements concerning the deliverables under the project, the financial plan, and the time-limit for execution</w:t>
      </w:r>
      <w:r w:rsidRPr="00B467A7">
        <w:rPr>
          <w:sz w:val="22"/>
          <w:szCs w:val="22"/>
          <w:vertAlign w:val="superscript"/>
        </w:rPr>
        <w:footnoteReference w:id="76"/>
      </w:r>
      <w:r w:rsidRPr="00B467A7">
        <w:rPr>
          <w:sz w:val="22"/>
          <w:szCs w:val="22"/>
          <w:lang w:val="en-GB"/>
        </w:rPr>
        <w:t>.</w:t>
      </w:r>
    </w:p>
    <w:p w14:paraId="75B286C0" w14:textId="77777777" w:rsidR="00D9654B" w:rsidRDefault="00D9654B" w:rsidP="002F6EBC">
      <w:pPr>
        <w:spacing w:after="0" w:line="240" w:lineRule="auto"/>
        <w:jc w:val="both"/>
        <w:rPr>
          <w:sz w:val="22"/>
          <w:szCs w:val="22"/>
          <w:lang w:val="en-GB"/>
        </w:rPr>
      </w:pPr>
    </w:p>
    <w:p w14:paraId="38229324" w14:textId="02D0AA45" w:rsidR="00B755F3" w:rsidRDefault="002F6EBC" w:rsidP="00912E29">
      <w:pPr>
        <w:spacing w:line="240" w:lineRule="auto"/>
        <w:jc w:val="both"/>
        <w:rPr>
          <w:sz w:val="22"/>
          <w:szCs w:val="22"/>
          <w:lang w:val="en-GB"/>
        </w:rPr>
      </w:pPr>
      <w:proofErr w:type="gramStart"/>
      <w:r w:rsidRPr="00A37E1B">
        <w:rPr>
          <w:sz w:val="22"/>
          <w:szCs w:val="22"/>
          <w:lang w:val="en-GB"/>
        </w:rPr>
        <w:t>In accordance with article 12.3.</w:t>
      </w:r>
      <w:proofErr w:type="gramEnd"/>
      <w:r w:rsidRPr="00A37E1B">
        <w:rPr>
          <w:sz w:val="22"/>
          <w:szCs w:val="22"/>
          <w:lang w:val="en-GB"/>
        </w:rPr>
        <w:t xml:space="preserve"> </w:t>
      </w:r>
      <w:proofErr w:type="gramStart"/>
      <w:r w:rsidRPr="00A37E1B">
        <w:rPr>
          <w:sz w:val="22"/>
          <w:szCs w:val="22"/>
          <w:lang w:val="en-GB"/>
        </w:rPr>
        <w:t>of</w:t>
      </w:r>
      <w:proofErr w:type="gramEnd"/>
      <w:r w:rsidRPr="00A37E1B">
        <w:rPr>
          <w:sz w:val="22"/>
          <w:szCs w:val="22"/>
          <w:lang w:val="en-GB"/>
        </w:rPr>
        <w:t xml:space="preserve"> the ENI CBC Implementing Rules, </w:t>
      </w:r>
      <w:r w:rsidR="00B755F3" w:rsidRPr="00A37E1B">
        <w:rPr>
          <w:sz w:val="22"/>
          <w:szCs w:val="22"/>
          <w:lang w:val="en-GB"/>
        </w:rPr>
        <w:t>the programme sh</w:t>
      </w:r>
      <w:r w:rsidR="00B755F3" w:rsidRPr="00983D87">
        <w:rPr>
          <w:sz w:val="22"/>
          <w:szCs w:val="22"/>
          <w:lang w:val="en-GB"/>
        </w:rPr>
        <w:t xml:space="preserve">all </w:t>
      </w:r>
      <w:r w:rsidR="00FC3229" w:rsidRPr="00983D87">
        <w:rPr>
          <w:sz w:val="22"/>
          <w:szCs w:val="22"/>
          <w:lang w:val="en-GB"/>
        </w:rPr>
        <w:t xml:space="preserve">take the appropriate measures  in order to </w:t>
      </w:r>
      <w:r w:rsidR="00B755F3" w:rsidRPr="00541DCD">
        <w:rPr>
          <w:sz w:val="22"/>
          <w:szCs w:val="22"/>
          <w:lang w:val="en-GB"/>
        </w:rPr>
        <w:t>comply with the applicable Union rules on State aid within the meaning of Article 107 of the Treaty on the Fun</w:t>
      </w:r>
      <w:r w:rsidRPr="00541DCD">
        <w:rPr>
          <w:sz w:val="22"/>
          <w:szCs w:val="22"/>
          <w:lang w:val="en-GB"/>
        </w:rPr>
        <w:t xml:space="preserve">ctioning of the European Union. </w:t>
      </w:r>
      <w:r w:rsidR="008D26AA" w:rsidRPr="008D26AA">
        <w:rPr>
          <w:sz w:val="22"/>
          <w:szCs w:val="22"/>
          <w:lang w:val="en-GB"/>
        </w:rPr>
        <w:t>Aid granted by participating countries under the programme shall comply with the rules on State aid within the meaning of Article 107 of the Treaty on the Functioning of the European Union and – where applicable - with State aid provisions of any bilateral agreements between the participating countries and the EU, in particular chapter 10 of Title IV of the Association Agreement between the EU and Ukraine and chapter 10 of Title V of the Association Agreement between the EU and Moldova.”</w:t>
      </w:r>
    </w:p>
    <w:p w14:paraId="1A20B937" w14:textId="77777777" w:rsidR="008D26AA" w:rsidRPr="00541DCD" w:rsidRDefault="008D26AA" w:rsidP="008D26AA">
      <w:pPr>
        <w:spacing w:line="240" w:lineRule="auto"/>
        <w:jc w:val="both"/>
        <w:rPr>
          <w:sz w:val="22"/>
          <w:szCs w:val="22"/>
          <w:lang w:val="en-GB"/>
        </w:rPr>
      </w:pPr>
    </w:p>
    <w:p w14:paraId="70956D0F" w14:textId="77777777" w:rsidR="00F16F0A" w:rsidRPr="001E0FDF" w:rsidRDefault="00B54B1C" w:rsidP="001E0FDF">
      <w:pPr>
        <w:pStyle w:val="Heading3"/>
        <w:spacing w:before="240" w:after="240" w:line="264" w:lineRule="auto"/>
        <w:rPr>
          <w:b/>
          <w:sz w:val="28"/>
          <w:szCs w:val="28"/>
          <w:lang w:val="en-GB"/>
        </w:rPr>
      </w:pPr>
      <w:bookmarkStart w:id="79" w:name="_Toc423436293"/>
      <w:r>
        <w:rPr>
          <w:b/>
          <w:sz w:val="28"/>
          <w:szCs w:val="28"/>
          <w:lang w:val="en-GB"/>
        </w:rPr>
        <w:t xml:space="preserve">5.8 </w:t>
      </w:r>
      <w:r w:rsidR="00F16F0A" w:rsidRPr="001E0FDF">
        <w:rPr>
          <w:b/>
          <w:sz w:val="28"/>
          <w:szCs w:val="28"/>
          <w:lang w:val="en-GB"/>
        </w:rPr>
        <w:t>Mainstreaming of cross-cutting issues</w:t>
      </w:r>
      <w:bookmarkEnd w:id="77"/>
      <w:bookmarkEnd w:id="78"/>
      <w:bookmarkEnd w:id="79"/>
    </w:p>
    <w:p w14:paraId="2F85C3AC" w14:textId="77777777" w:rsidR="00F16F0A" w:rsidRDefault="00F16F0A" w:rsidP="00F16F0A">
      <w:pPr>
        <w:spacing w:before="240" w:after="0" w:line="252" w:lineRule="auto"/>
        <w:jc w:val="both"/>
        <w:rPr>
          <w:sz w:val="22"/>
          <w:szCs w:val="22"/>
          <w:lang w:val="en-US"/>
        </w:rPr>
      </w:pPr>
      <w:r w:rsidRPr="003516A4">
        <w:rPr>
          <w:sz w:val="22"/>
          <w:szCs w:val="22"/>
          <w:lang w:val="en-US"/>
        </w:rPr>
        <w:t xml:space="preserve">ENI CBC </w:t>
      </w:r>
      <w:r>
        <w:rPr>
          <w:sz w:val="22"/>
          <w:szCs w:val="22"/>
          <w:lang w:val="en-US"/>
        </w:rPr>
        <w:t>regulations</w:t>
      </w:r>
      <w:r>
        <w:rPr>
          <w:rStyle w:val="FootnoteReference"/>
          <w:sz w:val="22"/>
          <w:szCs w:val="22"/>
          <w:lang w:val="en-US"/>
        </w:rPr>
        <w:footnoteReference w:id="77"/>
      </w:r>
      <w:r>
        <w:rPr>
          <w:sz w:val="22"/>
          <w:szCs w:val="22"/>
          <w:lang w:val="en-US"/>
        </w:rPr>
        <w:t xml:space="preserve"> require</w:t>
      </w:r>
      <w:r w:rsidRPr="003516A4">
        <w:rPr>
          <w:sz w:val="22"/>
          <w:szCs w:val="22"/>
          <w:lang w:val="en-US"/>
        </w:rPr>
        <w:t xml:space="preserve"> </w:t>
      </w:r>
      <w:r w:rsidRPr="0092067D">
        <w:rPr>
          <w:sz w:val="22"/>
          <w:szCs w:val="22"/>
          <w:lang w:val="en-US"/>
        </w:rPr>
        <w:t xml:space="preserve">a description of the ways the following cross-cutting issues will be mainstreamed during </w:t>
      </w:r>
      <w:proofErr w:type="spellStart"/>
      <w:r w:rsidRPr="0092067D">
        <w:rPr>
          <w:sz w:val="22"/>
          <w:szCs w:val="22"/>
          <w:lang w:val="en-US"/>
        </w:rPr>
        <w:t>programme</w:t>
      </w:r>
      <w:proofErr w:type="spellEnd"/>
      <w:r w:rsidRPr="0092067D">
        <w:rPr>
          <w:sz w:val="22"/>
          <w:szCs w:val="22"/>
          <w:lang w:val="en-US"/>
        </w:rPr>
        <w:t xml:space="preserve"> implementation</w:t>
      </w:r>
      <w:r>
        <w:rPr>
          <w:sz w:val="22"/>
          <w:szCs w:val="22"/>
          <w:lang w:val="en-US"/>
        </w:rPr>
        <w:t>,</w:t>
      </w:r>
      <w:r w:rsidRPr="003516A4">
        <w:rPr>
          <w:sz w:val="22"/>
          <w:szCs w:val="22"/>
          <w:lang w:val="en-US"/>
        </w:rPr>
        <w:t xml:space="preserve"> where </w:t>
      </w:r>
      <w:r w:rsidRPr="00272846">
        <w:rPr>
          <w:sz w:val="22"/>
          <w:szCs w:val="22"/>
          <w:lang w:val="en-US"/>
        </w:rPr>
        <w:t>relevant</w:t>
      </w:r>
      <w:r>
        <w:rPr>
          <w:sz w:val="22"/>
          <w:szCs w:val="22"/>
          <w:lang w:val="en-US"/>
        </w:rPr>
        <w:t>:</w:t>
      </w:r>
      <w:r w:rsidRPr="00272846">
        <w:rPr>
          <w:sz w:val="22"/>
          <w:szCs w:val="22"/>
          <w:lang w:val="en-US"/>
        </w:rPr>
        <w:t xml:space="preserve"> democracy and human rights, environmental sustainability, gender equality and HIV/AIDS.</w:t>
      </w:r>
      <w:r w:rsidRPr="00C54947">
        <w:rPr>
          <w:sz w:val="22"/>
          <w:szCs w:val="22"/>
          <w:lang w:val="en-US"/>
        </w:rPr>
        <w:t xml:space="preserve"> </w:t>
      </w:r>
    </w:p>
    <w:p w14:paraId="39B074A0" w14:textId="77777777" w:rsidR="000D2E09" w:rsidRPr="00383D5C" w:rsidRDefault="003B72FB" w:rsidP="00383D5C">
      <w:pPr>
        <w:spacing w:before="120" w:after="0" w:line="252" w:lineRule="auto"/>
        <w:jc w:val="both"/>
        <w:rPr>
          <w:sz w:val="22"/>
          <w:szCs w:val="22"/>
          <w:lang w:val="cs-CZ"/>
        </w:rPr>
      </w:pPr>
      <w:r>
        <w:rPr>
          <w:sz w:val="22"/>
          <w:szCs w:val="22"/>
          <w:lang w:val="en-US"/>
        </w:rPr>
        <w:lastRenderedPageBreak/>
        <w:t xml:space="preserve">Within the BSB </w:t>
      </w:r>
      <w:proofErr w:type="spellStart"/>
      <w:r>
        <w:rPr>
          <w:sz w:val="22"/>
          <w:szCs w:val="22"/>
          <w:lang w:val="en-US"/>
        </w:rPr>
        <w:t>programme</w:t>
      </w:r>
      <w:proofErr w:type="spellEnd"/>
      <w:r>
        <w:rPr>
          <w:sz w:val="22"/>
          <w:szCs w:val="22"/>
          <w:lang w:val="en-US"/>
        </w:rPr>
        <w:t xml:space="preserve">, environmental sustainability is </w:t>
      </w:r>
      <w:r w:rsidR="00B45BF7">
        <w:rPr>
          <w:sz w:val="22"/>
          <w:szCs w:val="22"/>
          <w:lang w:val="en-US"/>
        </w:rPr>
        <w:t xml:space="preserve">strongly </w:t>
      </w:r>
      <w:r>
        <w:rPr>
          <w:sz w:val="22"/>
          <w:szCs w:val="22"/>
          <w:lang w:val="en-US"/>
        </w:rPr>
        <w:t xml:space="preserve">mainstreamed at the level of </w:t>
      </w:r>
      <w:r w:rsidR="00B45BF7">
        <w:rPr>
          <w:sz w:val="22"/>
          <w:szCs w:val="22"/>
          <w:lang w:val="en-US"/>
        </w:rPr>
        <w:t>thematic O</w:t>
      </w:r>
      <w:r>
        <w:rPr>
          <w:sz w:val="22"/>
          <w:szCs w:val="22"/>
          <w:lang w:val="en-US"/>
        </w:rPr>
        <w:t>bjective</w:t>
      </w:r>
      <w:r w:rsidR="00B45BF7">
        <w:rPr>
          <w:sz w:val="22"/>
          <w:szCs w:val="22"/>
          <w:lang w:val="en-US"/>
        </w:rPr>
        <w:t xml:space="preserve"> </w:t>
      </w:r>
      <w:proofErr w:type="gramStart"/>
      <w:r w:rsidR="00B45BF7">
        <w:rPr>
          <w:sz w:val="22"/>
          <w:szCs w:val="22"/>
          <w:lang w:val="en-US"/>
        </w:rPr>
        <w:t>2.</w:t>
      </w:r>
      <w:r>
        <w:rPr>
          <w:sz w:val="22"/>
          <w:szCs w:val="22"/>
          <w:lang w:val="en-US"/>
        </w:rPr>
        <w:t>,</w:t>
      </w:r>
      <w:proofErr w:type="gramEnd"/>
      <w:r>
        <w:rPr>
          <w:sz w:val="22"/>
          <w:szCs w:val="22"/>
          <w:lang w:val="en-US"/>
        </w:rPr>
        <w:t xml:space="preserve"> while democracy and human rights and gender equality are integrated as horizontal issues</w:t>
      </w:r>
      <w:r w:rsidR="000951BF">
        <w:rPr>
          <w:rStyle w:val="FootnoteReference"/>
          <w:sz w:val="22"/>
          <w:szCs w:val="22"/>
          <w:lang w:val="en-US"/>
        </w:rPr>
        <w:footnoteReference w:id="78"/>
      </w:r>
      <w:r>
        <w:rPr>
          <w:sz w:val="22"/>
          <w:szCs w:val="22"/>
          <w:lang w:val="en-US"/>
        </w:rPr>
        <w:t>.</w:t>
      </w:r>
      <w:r w:rsidRPr="003B72FB">
        <w:rPr>
          <w:sz w:val="22"/>
          <w:szCs w:val="22"/>
          <w:lang w:val="cs-CZ"/>
        </w:rPr>
        <w:t xml:space="preserve"> </w:t>
      </w:r>
      <w:r>
        <w:rPr>
          <w:sz w:val="22"/>
          <w:szCs w:val="22"/>
          <w:lang w:val="cs-CZ"/>
        </w:rPr>
        <w:t>Considering the programme strategic orientations</w:t>
      </w:r>
      <w:r w:rsidR="00B23CC0">
        <w:rPr>
          <w:sz w:val="22"/>
          <w:szCs w:val="22"/>
          <w:lang w:val="cs-CZ"/>
        </w:rPr>
        <w:t xml:space="preserve"> and BSB</w:t>
      </w:r>
      <w:r w:rsidR="00EF58F1">
        <w:rPr>
          <w:sz w:val="22"/>
          <w:szCs w:val="22"/>
          <w:lang w:val="cs-CZ"/>
        </w:rPr>
        <w:t xml:space="preserve"> socio-economic analysis</w:t>
      </w:r>
      <w:r>
        <w:rPr>
          <w:sz w:val="22"/>
          <w:szCs w:val="22"/>
          <w:lang w:val="cs-CZ"/>
        </w:rPr>
        <w:t>, the mainstreaming of HIV/AIDS appears less relevant.</w:t>
      </w:r>
    </w:p>
    <w:p w14:paraId="4177017B" w14:textId="77777777" w:rsidR="007F4AE8" w:rsidRPr="00383D5C" w:rsidRDefault="000D2E09" w:rsidP="00383D5C">
      <w:pPr>
        <w:spacing w:before="240" w:after="0" w:line="252" w:lineRule="auto"/>
        <w:jc w:val="both"/>
        <w:rPr>
          <w:sz w:val="22"/>
          <w:szCs w:val="22"/>
          <w:lang w:val="en-US"/>
        </w:rPr>
      </w:pPr>
      <w:r w:rsidRPr="00383D5C">
        <w:rPr>
          <w:sz w:val="22"/>
          <w:szCs w:val="22"/>
          <w:lang w:val="en-US"/>
        </w:rPr>
        <w:t>Integration</w:t>
      </w:r>
      <w:r w:rsidR="00212BFF" w:rsidRPr="00383D5C">
        <w:rPr>
          <w:sz w:val="22"/>
          <w:szCs w:val="22"/>
          <w:lang w:val="en-US"/>
        </w:rPr>
        <w:t xml:space="preserve"> at project level</w:t>
      </w:r>
      <w:r w:rsidRPr="00383D5C">
        <w:rPr>
          <w:sz w:val="22"/>
          <w:szCs w:val="22"/>
          <w:lang w:val="en-US"/>
        </w:rPr>
        <w:t xml:space="preserve"> of</w:t>
      </w:r>
      <w:r w:rsidR="007F4AE8" w:rsidRPr="00383D5C">
        <w:rPr>
          <w:sz w:val="22"/>
          <w:szCs w:val="22"/>
          <w:lang w:val="en-US"/>
        </w:rPr>
        <w:t xml:space="preserve"> the relevant </w:t>
      </w:r>
      <w:r w:rsidRPr="00383D5C">
        <w:rPr>
          <w:sz w:val="22"/>
          <w:szCs w:val="22"/>
          <w:lang w:val="en-US"/>
        </w:rPr>
        <w:t xml:space="preserve">cross-cutting issues </w:t>
      </w:r>
      <w:r w:rsidR="007F4AE8" w:rsidRPr="00383D5C">
        <w:rPr>
          <w:sz w:val="22"/>
          <w:szCs w:val="22"/>
          <w:lang w:val="en-US"/>
        </w:rPr>
        <w:t xml:space="preserve">described below </w:t>
      </w:r>
      <w:r w:rsidRPr="00383D5C">
        <w:rPr>
          <w:sz w:val="22"/>
          <w:szCs w:val="22"/>
          <w:lang w:val="en-US"/>
        </w:rPr>
        <w:t>will be</w:t>
      </w:r>
      <w:r w:rsidR="007F4AE8" w:rsidRPr="00383D5C">
        <w:rPr>
          <w:sz w:val="22"/>
          <w:szCs w:val="22"/>
          <w:lang w:val="en-US"/>
        </w:rPr>
        <w:t>:</w:t>
      </w:r>
    </w:p>
    <w:p w14:paraId="0D809FFB" w14:textId="77777777" w:rsidR="007F4AE8" w:rsidRPr="00383D5C" w:rsidRDefault="007F4AE8" w:rsidP="00EE745F">
      <w:pPr>
        <w:pStyle w:val="ListParagraph"/>
        <w:numPr>
          <w:ilvl w:val="0"/>
          <w:numId w:val="23"/>
        </w:numPr>
        <w:spacing w:after="120" w:line="264" w:lineRule="auto"/>
        <w:jc w:val="both"/>
        <w:rPr>
          <w:sz w:val="22"/>
          <w:szCs w:val="22"/>
          <w:lang w:val="en-GB"/>
        </w:rPr>
      </w:pPr>
      <w:r w:rsidRPr="00383D5C">
        <w:rPr>
          <w:sz w:val="22"/>
          <w:szCs w:val="22"/>
          <w:lang w:val="en-GB"/>
        </w:rPr>
        <w:t>A</w:t>
      </w:r>
      <w:r w:rsidR="000D2E09" w:rsidRPr="00383D5C">
        <w:rPr>
          <w:sz w:val="22"/>
          <w:szCs w:val="22"/>
          <w:lang w:val="en-GB"/>
        </w:rPr>
        <w:t>ssessed during the selection process and included into the cr</w:t>
      </w:r>
      <w:r w:rsidRPr="00383D5C">
        <w:rPr>
          <w:sz w:val="22"/>
          <w:szCs w:val="22"/>
          <w:lang w:val="en-GB"/>
        </w:rPr>
        <w:t>iteria for project evaluation</w:t>
      </w:r>
    </w:p>
    <w:p w14:paraId="1A8620ED" w14:textId="77777777" w:rsidR="00212BFF" w:rsidRPr="00383D5C" w:rsidRDefault="007F4AE8" w:rsidP="00EE745F">
      <w:pPr>
        <w:pStyle w:val="ListParagraph"/>
        <w:numPr>
          <w:ilvl w:val="0"/>
          <w:numId w:val="23"/>
        </w:numPr>
        <w:spacing w:after="120" w:line="264" w:lineRule="auto"/>
        <w:jc w:val="both"/>
        <w:rPr>
          <w:sz w:val="22"/>
          <w:szCs w:val="22"/>
          <w:lang w:val="en-GB"/>
        </w:rPr>
      </w:pPr>
      <w:r w:rsidRPr="00383D5C">
        <w:rPr>
          <w:sz w:val="22"/>
          <w:szCs w:val="22"/>
          <w:lang w:val="en-GB"/>
        </w:rPr>
        <w:t>Checked in project reports and during project monitoring visits</w:t>
      </w:r>
      <w:r w:rsidR="00212BFF" w:rsidRPr="00383D5C">
        <w:rPr>
          <w:sz w:val="22"/>
          <w:szCs w:val="22"/>
          <w:lang w:val="en-GB"/>
        </w:rPr>
        <w:t>.</w:t>
      </w:r>
    </w:p>
    <w:p w14:paraId="26A9D52D" w14:textId="77777777" w:rsidR="00212BFF" w:rsidRPr="00383D5C" w:rsidRDefault="00212BFF" w:rsidP="00383D5C">
      <w:pPr>
        <w:spacing w:before="240" w:after="0" w:line="252" w:lineRule="auto"/>
        <w:jc w:val="both"/>
        <w:rPr>
          <w:sz w:val="22"/>
          <w:szCs w:val="22"/>
          <w:lang w:val="en-US"/>
        </w:rPr>
      </w:pPr>
      <w:r w:rsidRPr="00383D5C">
        <w:rPr>
          <w:sz w:val="22"/>
          <w:szCs w:val="22"/>
          <w:lang w:val="en-US"/>
        </w:rPr>
        <w:t xml:space="preserve">Further guidance on requirements </w:t>
      </w:r>
      <w:r w:rsidR="00262072" w:rsidRPr="00383D5C">
        <w:rPr>
          <w:sz w:val="22"/>
          <w:szCs w:val="22"/>
          <w:lang w:val="en-US"/>
        </w:rPr>
        <w:t>for project selection</w:t>
      </w:r>
      <w:r w:rsidRPr="00383D5C">
        <w:rPr>
          <w:sz w:val="22"/>
          <w:szCs w:val="22"/>
          <w:lang w:val="en-US"/>
        </w:rPr>
        <w:t xml:space="preserve"> </w:t>
      </w:r>
      <w:r w:rsidR="00262072" w:rsidRPr="00383D5C">
        <w:rPr>
          <w:sz w:val="22"/>
          <w:szCs w:val="22"/>
          <w:lang w:val="en-US"/>
        </w:rPr>
        <w:t xml:space="preserve">and reporting </w:t>
      </w:r>
      <w:r w:rsidR="00407725" w:rsidRPr="00383D5C">
        <w:rPr>
          <w:sz w:val="22"/>
          <w:szCs w:val="22"/>
          <w:lang w:val="en-US"/>
        </w:rPr>
        <w:t xml:space="preserve">will be provided in the </w:t>
      </w:r>
      <w:proofErr w:type="spellStart"/>
      <w:r w:rsidR="00407725" w:rsidRPr="00383D5C">
        <w:rPr>
          <w:sz w:val="22"/>
          <w:szCs w:val="22"/>
          <w:lang w:val="en-US"/>
        </w:rPr>
        <w:t>p</w:t>
      </w:r>
      <w:r w:rsidR="006A7305">
        <w:rPr>
          <w:sz w:val="22"/>
          <w:szCs w:val="22"/>
          <w:lang w:val="en-US"/>
        </w:rPr>
        <w:t>rogramme’s</w:t>
      </w:r>
      <w:proofErr w:type="spellEnd"/>
      <w:r w:rsidRPr="00383D5C">
        <w:rPr>
          <w:sz w:val="22"/>
          <w:szCs w:val="22"/>
          <w:lang w:val="en-US"/>
        </w:rPr>
        <w:t xml:space="preserve"> Guidelines for Applicants a</w:t>
      </w:r>
      <w:r w:rsidR="00262072" w:rsidRPr="00383D5C">
        <w:rPr>
          <w:sz w:val="22"/>
          <w:szCs w:val="22"/>
          <w:lang w:val="en-US"/>
        </w:rPr>
        <w:t>nd</w:t>
      </w:r>
      <w:r w:rsidR="00407725" w:rsidRPr="00383D5C">
        <w:rPr>
          <w:sz w:val="22"/>
          <w:szCs w:val="22"/>
          <w:lang w:val="en-US"/>
        </w:rPr>
        <w:t xml:space="preserve"> Implementation Manual</w:t>
      </w:r>
      <w:r w:rsidR="002507B1">
        <w:rPr>
          <w:sz w:val="22"/>
          <w:szCs w:val="22"/>
          <w:lang w:val="en-US"/>
        </w:rPr>
        <w:t xml:space="preserve"> or </w:t>
      </w:r>
      <w:r w:rsidR="00E26BAF">
        <w:rPr>
          <w:sz w:val="22"/>
          <w:szCs w:val="22"/>
          <w:lang w:val="en-US"/>
        </w:rPr>
        <w:t xml:space="preserve">similar documents issued at </w:t>
      </w:r>
      <w:proofErr w:type="spellStart"/>
      <w:r w:rsidR="00E26BAF">
        <w:rPr>
          <w:sz w:val="22"/>
          <w:szCs w:val="22"/>
          <w:lang w:val="en-US"/>
        </w:rPr>
        <w:t>programme</w:t>
      </w:r>
      <w:proofErr w:type="spellEnd"/>
      <w:r w:rsidR="00E26BAF">
        <w:rPr>
          <w:sz w:val="22"/>
          <w:szCs w:val="22"/>
          <w:lang w:val="en-US"/>
        </w:rPr>
        <w:t xml:space="preserve"> level</w:t>
      </w:r>
      <w:r w:rsidR="00407725" w:rsidRPr="00383D5C">
        <w:rPr>
          <w:sz w:val="22"/>
          <w:szCs w:val="22"/>
          <w:lang w:val="en-US"/>
        </w:rPr>
        <w:t>.</w:t>
      </w:r>
      <w:r w:rsidR="00262072" w:rsidRPr="00383D5C">
        <w:rPr>
          <w:sz w:val="22"/>
          <w:szCs w:val="22"/>
          <w:lang w:val="en-US"/>
        </w:rPr>
        <w:t xml:space="preserve"> </w:t>
      </w:r>
    </w:p>
    <w:p w14:paraId="5C63F836" w14:textId="77777777" w:rsidR="00F16F0A" w:rsidRPr="0025034F" w:rsidRDefault="00F16F0A" w:rsidP="0025034F">
      <w:pPr>
        <w:spacing w:before="240" w:after="120"/>
        <w:rPr>
          <w:b/>
          <w:lang w:val="en-GB"/>
        </w:rPr>
      </w:pPr>
      <w:bookmarkStart w:id="80" w:name="_Toc276156676"/>
      <w:r w:rsidRPr="0025034F">
        <w:rPr>
          <w:b/>
          <w:lang w:val="en-GB"/>
        </w:rPr>
        <w:t>Environmental sustainability</w:t>
      </w:r>
      <w:bookmarkEnd w:id="80"/>
    </w:p>
    <w:p w14:paraId="023619CB" w14:textId="77777777" w:rsidR="00F16F0A" w:rsidRPr="00021899" w:rsidRDefault="00F16F0A" w:rsidP="00F16F0A">
      <w:pPr>
        <w:spacing w:before="120" w:after="0" w:line="252" w:lineRule="auto"/>
        <w:jc w:val="both"/>
        <w:rPr>
          <w:sz w:val="22"/>
          <w:szCs w:val="22"/>
          <w:lang w:val="en-US"/>
        </w:rPr>
      </w:pPr>
      <w:r w:rsidRPr="00021899">
        <w:rPr>
          <w:sz w:val="22"/>
          <w:szCs w:val="22"/>
          <w:lang w:val="en-US"/>
        </w:rPr>
        <w:t>Considering the great environmental challenges faced by the Black Sea basin</w:t>
      </w:r>
      <w:r w:rsidR="00146DBC">
        <w:rPr>
          <w:sz w:val="22"/>
          <w:szCs w:val="22"/>
          <w:lang w:val="en-US"/>
        </w:rPr>
        <w:t xml:space="preserve"> as described in the socio-economic analysis</w:t>
      </w:r>
      <w:r w:rsidRPr="00021899">
        <w:rPr>
          <w:sz w:val="22"/>
          <w:szCs w:val="22"/>
          <w:lang w:val="en-US"/>
        </w:rPr>
        <w:t xml:space="preserve">, the issue of environmental sustainability has been </w:t>
      </w:r>
      <w:r w:rsidR="00B45BF7">
        <w:rPr>
          <w:sz w:val="22"/>
          <w:szCs w:val="22"/>
          <w:lang w:val="en-US"/>
        </w:rPr>
        <w:t>clear</w:t>
      </w:r>
      <w:r w:rsidRPr="00021899">
        <w:rPr>
          <w:sz w:val="22"/>
          <w:szCs w:val="22"/>
          <w:lang w:val="en-US"/>
        </w:rPr>
        <w:t xml:space="preserve">ly mainstreamed within BSB </w:t>
      </w:r>
      <w:proofErr w:type="spellStart"/>
      <w:r w:rsidRPr="00021899">
        <w:rPr>
          <w:sz w:val="22"/>
          <w:szCs w:val="22"/>
          <w:lang w:val="en-US"/>
        </w:rPr>
        <w:t>programme</w:t>
      </w:r>
      <w:proofErr w:type="spellEnd"/>
      <w:r w:rsidRPr="00021899">
        <w:rPr>
          <w:sz w:val="22"/>
          <w:szCs w:val="22"/>
          <w:lang w:val="en-US"/>
        </w:rPr>
        <w:t xml:space="preserve"> strategy </w:t>
      </w:r>
      <w:r w:rsidRPr="002C30C5">
        <w:rPr>
          <w:sz w:val="22"/>
          <w:szCs w:val="22"/>
          <w:lang w:val="en-US"/>
        </w:rPr>
        <w:t>design. O</w:t>
      </w:r>
      <w:r w:rsidR="00DD1C75" w:rsidRPr="002C30C5">
        <w:rPr>
          <w:sz w:val="22"/>
          <w:szCs w:val="22"/>
          <w:lang w:val="en-US"/>
        </w:rPr>
        <w:t>bjective 2</w:t>
      </w:r>
      <w:r w:rsidR="007F35E8" w:rsidRPr="002C30C5">
        <w:rPr>
          <w:sz w:val="22"/>
          <w:szCs w:val="22"/>
          <w:lang w:val="en-US"/>
        </w:rPr>
        <w:t xml:space="preserve"> </w:t>
      </w:r>
      <w:r w:rsidRPr="002C30C5">
        <w:rPr>
          <w:sz w:val="22"/>
          <w:szCs w:val="22"/>
          <w:lang w:val="en-US"/>
        </w:rPr>
        <w:t>focus</w:t>
      </w:r>
      <w:r w:rsidR="007F35E8" w:rsidRPr="002C30C5">
        <w:rPr>
          <w:sz w:val="22"/>
          <w:szCs w:val="22"/>
          <w:lang w:val="en-US"/>
        </w:rPr>
        <w:t>es</w:t>
      </w:r>
      <w:r w:rsidRPr="002C30C5">
        <w:rPr>
          <w:sz w:val="22"/>
          <w:szCs w:val="22"/>
          <w:lang w:val="en-US"/>
        </w:rPr>
        <w:t xml:space="preserve"> on enhancing environmental protection, while </w:t>
      </w:r>
      <w:r w:rsidR="00B43F46" w:rsidRPr="002C30C5">
        <w:rPr>
          <w:sz w:val="22"/>
          <w:szCs w:val="22"/>
          <w:lang w:val="en-US"/>
        </w:rPr>
        <w:t>38.33</w:t>
      </w:r>
      <w:r w:rsidRPr="002C30C5">
        <w:rPr>
          <w:sz w:val="22"/>
          <w:szCs w:val="22"/>
          <w:lang w:val="en-US"/>
        </w:rPr>
        <w:t xml:space="preserve">% of the </w:t>
      </w:r>
      <w:proofErr w:type="spellStart"/>
      <w:r w:rsidRPr="002C30C5">
        <w:rPr>
          <w:sz w:val="22"/>
          <w:szCs w:val="22"/>
          <w:lang w:val="en-US"/>
        </w:rPr>
        <w:t>programme</w:t>
      </w:r>
      <w:proofErr w:type="spellEnd"/>
      <w:r w:rsidRPr="002C30C5">
        <w:rPr>
          <w:sz w:val="22"/>
          <w:szCs w:val="22"/>
          <w:lang w:val="en-US"/>
        </w:rPr>
        <w:t xml:space="preserve"> budget is</w:t>
      </w:r>
      <w:r w:rsidRPr="00021899">
        <w:rPr>
          <w:sz w:val="22"/>
          <w:szCs w:val="22"/>
          <w:lang w:val="en-US"/>
        </w:rPr>
        <w:t xml:space="preserve"> allocated to </w:t>
      </w:r>
      <w:r w:rsidR="007F35E8">
        <w:rPr>
          <w:sz w:val="22"/>
          <w:szCs w:val="22"/>
          <w:lang w:val="en-US"/>
        </w:rPr>
        <w:t>this Objective</w:t>
      </w:r>
      <w:r w:rsidRPr="00021899">
        <w:rPr>
          <w:sz w:val="22"/>
          <w:szCs w:val="22"/>
          <w:lang w:val="en-US"/>
        </w:rPr>
        <w:t>.</w:t>
      </w:r>
    </w:p>
    <w:p w14:paraId="708842FB" w14:textId="77777777" w:rsidR="00F16F0A" w:rsidRDefault="00F16F0A" w:rsidP="00F16F0A">
      <w:pPr>
        <w:spacing w:before="120" w:after="0" w:line="252" w:lineRule="auto"/>
        <w:jc w:val="both"/>
        <w:rPr>
          <w:sz w:val="22"/>
          <w:szCs w:val="22"/>
          <w:lang w:val="en-US"/>
        </w:rPr>
      </w:pPr>
      <w:r w:rsidRPr="00021899">
        <w:rPr>
          <w:sz w:val="22"/>
          <w:szCs w:val="22"/>
          <w:lang w:val="en-US"/>
        </w:rPr>
        <w:t xml:space="preserve">Moreover, environmental constraints and opportunities are also considered under Objective 1 priorities, notably within indicative activities such as the development of environmentally friendly tourism strategies (under 1.1) or the introduction of innovative technologies for organic/bio products and sustainable aquaculture (under 1.2). </w:t>
      </w:r>
    </w:p>
    <w:p w14:paraId="367E86E8" w14:textId="77777777" w:rsidR="00F16F0A" w:rsidRPr="00021899" w:rsidRDefault="00F16F0A" w:rsidP="00F16F0A">
      <w:pPr>
        <w:widowControl w:val="0"/>
        <w:autoSpaceDE w:val="0"/>
        <w:autoSpaceDN w:val="0"/>
        <w:adjustRightInd w:val="0"/>
        <w:spacing w:after="0" w:line="240" w:lineRule="auto"/>
        <w:jc w:val="both"/>
        <w:rPr>
          <w:rFonts w:ascii="Cambria" w:hAnsi="Cambria" w:cs="Cambria"/>
          <w:i/>
          <w:iCs/>
          <w:color w:val="000000"/>
          <w:sz w:val="18"/>
          <w:szCs w:val="18"/>
          <w:lang w:val="en-GB"/>
        </w:rPr>
      </w:pPr>
    </w:p>
    <w:p w14:paraId="35C9F8F5" w14:textId="6BD7FA35" w:rsidR="009B779C" w:rsidRPr="009A42FE" w:rsidRDefault="00F16F0A" w:rsidP="009F3627">
      <w:pPr>
        <w:widowControl w:val="0"/>
        <w:autoSpaceDE w:val="0"/>
        <w:autoSpaceDN w:val="0"/>
        <w:adjustRightInd w:val="0"/>
        <w:spacing w:after="0" w:line="240" w:lineRule="auto"/>
        <w:jc w:val="both"/>
        <w:rPr>
          <w:sz w:val="22"/>
          <w:szCs w:val="22"/>
          <w:lang w:val="en-GB"/>
        </w:rPr>
      </w:pPr>
      <w:r w:rsidRPr="00DD1C75">
        <w:rPr>
          <w:sz w:val="22"/>
          <w:szCs w:val="22"/>
          <w:lang w:val="en-US"/>
        </w:rPr>
        <w:t xml:space="preserve">Beyond these thematic priorities, </w:t>
      </w:r>
      <w:r w:rsidR="00755CD3" w:rsidRPr="00DD1C75">
        <w:rPr>
          <w:sz w:val="22"/>
          <w:szCs w:val="22"/>
          <w:lang w:val="en-US"/>
        </w:rPr>
        <w:t xml:space="preserve">all projects funded in the frame of the BSB </w:t>
      </w:r>
      <w:proofErr w:type="spellStart"/>
      <w:r w:rsidR="00755CD3" w:rsidRPr="00DD1C75">
        <w:rPr>
          <w:sz w:val="22"/>
          <w:szCs w:val="22"/>
          <w:lang w:val="en-US"/>
        </w:rPr>
        <w:t>programme</w:t>
      </w:r>
      <w:proofErr w:type="spellEnd"/>
      <w:r w:rsidR="00755CD3" w:rsidRPr="00DD1C75">
        <w:rPr>
          <w:sz w:val="22"/>
          <w:szCs w:val="22"/>
          <w:lang w:val="en-US"/>
        </w:rPr>
        <w:t xml:space="preserve"> will have </w:t>
      </w:r>
      <w:r w:rsidRPr="00DD1C75">
        <w:rPr>
          <w:sz w:val="22"/>
          <w:szCs w:val="22"/>
          <w:lang w:val="en-US"/>
        </w:rPr>
        <w:t xml:space="preserve">to integrate environmental </w:t>
      </w:r>
      <w:r w:rsidR="00755CD3" w:rsidRPr="00DD1C75">
        <w:rPr>
          <w:sz w:val="22"/>
          <w:szCs w:val="22"/>
          <w:lang w:val="en-US"/>
        </w:rPr>
        <w:t xml:space="preserve">considerations. </w:t>
      </w:r>
      <w:r w:rsidRPr="00DD1C75">
        <w:rPr>
          <w:sz w:val="22"/>
          <w:szCs w:val="22"/>
          <w:lang w:val="en-US"/>
        </w:rPr>
        <w:t>This notably includes following good environmental practices during implementation, in particular in relation to energy efficiency as well as in relation to the use of water</w:t>
      </w:r>
      <w:r w:rsidR="003F5219">
        <w:rPr>
          <w:sz w:val="22"/>
          <w:szCs w:val="22"/>
          <w:lang w:val="en-US"/>
        </w:rPr>
        <w:t>, extraction from surface or ground water reserves</w:t>
      </w:r>
      <w:r w:rsidRPr="00DD1C75">
        <w:rPr>
          <w:sz w:val="22"/>
          <w:szCs w:val="22"/>
          <w:lang w:val="en-US"/>
        </w:rPr>
        <w:t xml:space="preserve"> and the production of waste, etc.</w:t>
      </w:r>
      <w:r w:rsidR="004725B0">
        <w:rPr>
          <w:rFonts w:eastAsia="Times New Roman"/>
          <w:sz w:val="22"/>
          <w:szCs w:val="22"/>
          <w:lang w:val="en-GB"/>
        </w:rPr>
        <w:t xml:space="preserve"> </w:t>
      </w:r>
      <w:r w:rsidR="004725B0" w:rsidRPr="009F3627">
        <w:rPr>
          <w:sz w:val="22"/>
          <w:szCs w:val="22"/>
          <w:lang w:val="en-US"/>
        </w:rPr>
        <w:t xml:space="preserve">Where necessary, the likely environmental effects should be assessed via an Environmental Impact Assessment. Projects </w:t>
      </w:r>
      <w:r w:rsidR="00D07567" w:rsidRPr="009F3627">
        <w:rPr>
          <w:sz w:val="22"/>
          <w:szCs w:val="22"/>
          <w:lang w:val="en-US"/>
        </w:rPr>
        <w:t>likely to have</w:t>
      </w:r>
      <w:r w:rsidR="004725B0" w:rsidRPr="009F3627">
        <w:rPr>
          <w:sz w:val="22"/>
          <w:szCs w:val="22"/>
          <w:lang w:val="en-US"/>
        </w:rPr>
        <w:t xml:space="preserve"> a direct negative impact on the environment will not be selected for financing</w:t>
      </w:r>
      <w:r w:rsidR="003F5219">
        <w:rPr>
          <w:rFonts w:eastAsia="Times New Roman"/>
          <w:sz w:val="22"/>
          <w:szCs w:val="22"/>
          <w:lang w:val="en-GB"/>
        </w:rPr>
        <w:t>.</w:t>
      </w:r>
      <w:r w:rsidR="003F5219">
        <w:rPr>
          <w:rStyle w:val="FootnoteReference"/>
          <w:rFonts w:eastAsia="Times New Roman"/>
          <w:sz w:val="22"/>
          <w:szCs w:val="22"/>
          <w:lang w:val="en-GB"/>
        </w:rPr>
        <w:footnoteReference w:id="79"/>
      </w:r>
    </w:p>
    <w:p w14:paraId="2060985C" w14:textId="77777777" w:rsidR="00F16F0A" w:rsidRPr="0025034F" w:rsidRDefault="00F16F0A" w:rsidP="0025034F">
      <w:pPr>
        <w:spacing w:before="240" w:after="120"/>
        <w:rPr>
          <w:b/>
          <w:lang w:val="en-GB"/>
        </w:rPr>
      </w:pPr>
      <w:bookmarkStart w:id="81" w:name="_Toc276156677"/>
      <w:r w:rsidRPr="0025034F">
        <w:rPr>
          <w:b/>
          <w:lang w:val="en-GB"/>
        </w:rPr>
        <w:t>Democracy and human rights</w:t>
      </w:r>
      <w:bookmarkEnd w:id="81"/>
    </w:p>
    <w:p w14:paraId="34C1D498" w14:textId="77777777" w:rsidR="00F16F0A" w:rsidRDefault="00F16F0A" w:rsidP="00F16F0A">
      <w:pPr>
        <w:spacing w:before="120" w:after="0" w:line="252" w:lineRule="auto"/>
        <w:jc w:val="both"/>
        <w:rPr>
          <w:sz w:val="22"/>
          <w:szCs w:val="22"/>
          <w:lang w:val="en-US"/>
        </w:rPr>
      </w:pPr>
      <w:r>
        <w:rPr>
          <w:sz w:val="22"/>
          <w:szCs w:val="22"/>
          <w:lang w:val="en-US"/>
        </w:rPr>
        <w:t>In regard to</w:t>
      </w:r>
      <w:r w:rsidRPr="00027DAB">
        <w:rPr>
          <w:sz w:val="22"/>
          <w:szCs w:val="22"/>
          <w:lang w:val="en-US"/>
        </w:rPr>
        <w:t xml:space="preserve"> </w:t>
      </w:r>
      <w:r>
        <w:rPr>
          <w:sz w:val="22"/>
          <w:szCs w:val="22"/>
          <w:lang w:val="en-US"/>
        </w:rPr>
        <w:t xml:space="preserve">democracy and human rights, several aspects are embedded in BSB strategy as horizontal issues </w:t>
      </w:r>
      <w:r w:rsidRPr="00BC6224">
        <w:rPr>
          <w:sz w:val="22"/>
          <w:szCs w:val="22"/>
          <w:lang w:val="en-US"/>
        </w:rPr>
        <w:t xml:space="preserve">or modalities to be deployed </w:t>
      </w:r>
      <w:r>
        <w:rPr>
          <w:sz w:val="22"/>
          <w:szCs w:val="22"/>
          <w:lang w:val="en-US"/>
        </w:rPr>
        <w:t xml:space="preserve">in projects </w:t>
      </w:r>
      <w:r w:rsidRPr="00BC6224">
        <w:rPr>
          <w:sz w:val="22"/>
          <w:szCs w:val="22"/>
          <w:lang w:val="en-US"/>
        </w:rPr>
        <w:t>across any of the priorities selected</w:t>
      </w:r>
      <w:r>
        <w:rPr>
          <w:sz w:val="22"/>
          <w:szCs w:val="22"/>
          <w:lang w:val="en-US"/>
        </w:rPr>
        <w:t xml:space="preserve">, in particular: </w:t>
      </w:r>
    </w:p>
    <w:p w14:paraId="0B059686" w14:textId="5E53B151" w:rsidR="00F16F0A" w:rsidRPr="00E73576" w:rsidRDefault="00F16F0A" w:rsidP="00C34FA9">
      <w:pPr>
        <w:pStyle w:val="ListParagraph"/>
        <w:numPr>
          <w:ilvl w:val="0"/>
          <w:numId w:val="14"/>
        </w:numPr>
        <w:spacing w:before="120" w:after="60" w:line="264" w:lineRule="auto"/>
        <w:ind w:left="714" w:hanging="357"/>
        <w:contextualSpacing w:val="0"/>
        <w:jc w:val="both"/>
        <w:rPr>
          <w:i/>
          <w:sz w:val="22"/>
          <w:szCs w:val="22"/>
          <w:lang w:val="en-GB"/>
        </w:rPr>
      </w:pPr>
      <w:r w:rsidRPr="00E457F0">
        <w:rPr>
          <w:sz w:val="22"/>
          <w:szCs w:val="22"/>
          <w:lang w:val="en-GB"/>
        </w:rPr>
        <w:t>‘</w:t>
      </w:r>
      <w:r w:rsidR="002F6473">
        <w:rPr>
          <w:sz w:val="22"/>
          <w:szCs w:val="22"/>
          <w:lang w:val="en-GB"/>
        </w:rPr>
        <w:t>P</w:t>
      </w:r>
      <w:r w:rsidRPr="00E457F0">
        <w:rPr>
          <w:sz w:val="22"/>
          <w:szCs w:val="22"/>
          <w:lang w:val="en-GB"/>
        </w:rPr>
        <w:t>eople-to-people’ actions, including enhanced cooperation among NGOs and other civil society groups as well as capaci</w:t>
      </w:r>
      <w:r w:rsidR="00E73576">
        <w:rPr>
          <w:sz w:val="22"/>
          <w:szCs w:val="22"/>
          <w:lang w:val="en-GB"/>
        </w:rPr>
        <w:t xml:space="preserve">ty-building components for NGOs will </w:t>
      </w:r>
      <w:r w:rsidR="00E73576" w:rsidRPr="00E73576">
        <w:rPr>
          <w:i/>
          <w:sz w:val="22"/>
          <w:szCs w:val="22"/>
          <w:lang w:val="en-GB"/>
        </w:rPr>
        <w:t>enhance the role of non-state actors and build their capacity as partners in public policy making</w:t>
      </w:r>
      <w:r w:rsidR="006743D2" w:rsidRPr="006743D2">
        <w:rPr>
          <w:sz w:val="22"/>
          <w:szCs w:val="22"/>
          <w:lang w:val="en-GB"/>
        </w:rPr>
        <w:t>;</w:t>
      </w:r>
    </w:p>
    <w:p w14:paraId="706C5B35" w14:textId="77777777" w:rsidR="00F16F0A" w:rsidRPr="00E457F0" w:rsidRDefault="006743D2" w:rsidP="00C34FA9">
      <w:pPr>
        <w:pStyle w:val="ListParagraph"/>
        <w:numPr>
          <w:ilvl w:val="0"/>
          <w:numId w:val="14"/>
        </w:numPr>
        <w:spacing w:after="60" w:line="264" w:lineRule="auto"/>
        <w:ind w:left="714" w:hanging="357"/>
        <w:contextualSpacing w:val="0"/>
        <w:jc w:val="both"/>
        <w:rPr>
          <w:sz w:val="22"/>
          <w:szCs w:val="22"/>
          <w:lang w:val="en-GB"/>
        </w:rPr>
      </w:pPr>
      <w:r>
        <w:rPr>
          <w:sz w:val="22"/>
          <w:szCs w:val="22"/>
          <w:lang w:val="en-GB"/>
        </w:rPr>
        <w:t>Enhanced</w:t>
      </w:r>
      <w:r w:rsidR="00F16F0A" w:rsidRPr="00E457F0">
        <w:rPr>
          <w:sz w:val="22"/>
          <w:szCs w:val="22"/>
          <w:lang w:val="en-GB"/>
        </w:rPr>
        <w:t xml:space="preserve"> cooperation among loca</w:t>
      </w:r>
      <w:r>
        <w:rPr>
          <w:sz w:val="22"/>
          <w:szCs w:val="22"/>
          <w:lang w:val="en-GB"/>
        </w:rPr>
        <w:t xml:space="preserve">l and regional authorities, </w:t>
      </w:r>
      <w:r w:rsidR="00F16F0A" w:rsidRPr="00E457F0">
        <w:rPr>
          <w:sz w:val="22"/>
          <w:szCs w:val="22"/>
          <w:lang w:val="en-GB"/>
        </w:rPr>
        <w:t>promotion of local and regional good governance</w:t>
      </w:r>
      <w:r w:rsidR="00F16F0A">
        <w:rPr>
          <w:sz w:val="22"/>
          <w:szCs w:val="22"/>
          <w:lang w:val="en-GB"/>
        </w:rPr>
        <w:t xml:space="preserve"> and</w:t>
      </w:r>
      <w:r w:rsidR="00F16F0A" w:rsidRPr="00E457F0">
        <w:rPr>
          <w:sz w:val="22"/>
          <w:szCs w:val="22"/>
          <w:lang w:val="en-GB"/>
        </w:rPr>
        <w:t xml:space="preserve"> capacity-building components for local/re</w:t>
      </w:r>
      <w:r w:rsidR="00E73576">
        <w:rPr>
          <w:sz w:val="22"/>
          <w:szCs w:val="22"/>
          <w:lang w:val="en-GB"/>
        </w:rPr>
        <w:t>gional authorities and agencies</w:t>
      </w:r>
      <w:r>
        <w:rPr>
          <w:sz w:val="22"/>
          <w:szCs w:val="22"/>
          <w:lang w:val="en-GB"/>
        </w:rPr>
        <w:t xml:space="preserve"> will</w:t>
      </w:r>
      <w:r w:rsidR="00E73576">
        <w:rPr>
          <w:sz w:val="22"/>
          <w:szCs w:val="22"/>
          <w:lang w:val="en-GB"/>
        </w:rPr>
        <w:t xml:space="preserve"> </w:t>
      </w:r>
      <w:r>
        <w:rPr>
          <w:i/>
          <w:sz w:val="22"/>
          <w:szCs w:val="22"/>
          <w:lang w:val="en-GB"/>
        </w:rPr>
        <w:t xml:space="preserve">support </w:t>
      </w:r>
      <w:r w:rsidR="00E73576" w:rsidRPr="006B028A">
        <w:rPr>
          <w:i/>
          <w:sz w:val="22"/>
          <w:szCs w:val="22"/>
          <w:lang w:val="en-GB"/>
        </w:rPr>
        <w:t>public administration reform</w:t>
      </w:r>
      <w:r>
        <w:rPr>
          <w:sz w:val="22"/>
          <w:szCs w:val="22"/>
          <w:lang w:val="en-GB"/>
        </w:rPr>
        <w:t xml:space="preserve"> and </w:t>
      </w:r>
      <w:r w:rsidR="00E73576" w:rsidRPr="006B028A">
        <w:rPr>
          <w:i/>
          <w:sz w:val="22"/>
          <w:szCs w:val="22"/>
          <w:lang w:val="en-GB"/>
        </w:rPr>
        <w:t>decentralization and local government</w:t>
      </w:r>
      <w:r>
        <w:rPr>
          <w:sz w:val="22"/>
          <w:szCs w:val="22"/>
          <w:lang w:val="en-GB"/>
        </w:rPr>
        <w:t>;</w:t>
      </w:r>
    </w:p>
    <w:p w14:paraId="07F3F9DE" w14:textId="77777777" w:rsidR="00F16F0A" w:rsidRDefault="006743D2" w:rsidP="00C34FA9">
      <w:pPr>
        <w:pStyle w:val="ListParagraph"/>
        <w:numPr>
          <w:ilvl w:val="0"/>
          <w:numId w:val="14"/>
        </w:numPr>
        <w:spacing w:after="60" w:line="264" w:lineRule="auto"/>
        <w:ind w:left="714" w:hanging="357"/>
        <w:contextualSpacing w:val="0"/>
        <w:jc w:val="both"/>
        <w:rPr>
          <w:sz w:val="22"/>
          <w:szCs w:val="22"/>
          <w:lang w:val="en-GB"/>
        </w:rPr>
      </w:pPr>
      <w:r>
        <w:rPr>
          <w:sz w:val="22"/>
          <w:szCs w:val="22"/>
          <w:lang w:val="en-GB"/>
        </w:rPr>
        <w:t>S</w:t>
      </w:r>
      <w:r w:rsidR="00F16F0A">
        <w:rPr>
          <w:sz w:val="22"/>
          <w:szCs w:val="22"/>
          <w:lang w:val="en-GB"/>
        </w:rPr>
        <w:t>upport for the use and development of information and communication technologies</w:t>
      </w:r>
      <w:r>
        <w:rPr>
          <w:sz w:val="22"/>
          <w:szCs w:val="22"/>
          <w:lang w:val="en-GB"/>
        </w:rPr>
        <w:t xml:space="preserve"> will </w:t>
      </w:r>
      <w:r w:rsidRPr="006743D2">
        <w:rPr>
          <w:i/>
          <w:sz w:val="22"/>
          <w:szCs w:val="22"/>
          <w:lang w:val="en-GB"/>
        </w:rPr>
        <w:t xml:space="preserve">enhance </w:t>
      </w:r>
      <w:r w:rsidRPr="00661552">
        <w:rPr>
          <w:i/>
          <w:sz w:val="22"/>
          <w:szCs w:val="22"/>
          <w:lang w:val="en-GB"/>
        </w:rPr>
        <w:t>access to information</w:t>
      </w:r>
      <w:r>
        <w:rPr>
          <w:sz w:val="22"/>
          <w:szCs w:val="22"/>
          <w:lang w:val="en-GB"/>
        </w:rPr>
        <w:t xml:space="preserve"> </w:t>
      </w:r>
      <w:r w:rsidRPr="006743D2">
        <w:rPr>
          <w:i/>
          <w:sz w:val="22"/>
          <w:szCs w:val="22"/>
          <w:lang w:val="en-GB"/>
        </w:rPr>
        <w:t>for citizens</w:t>
      </w:r>
      <w:r w:rsidR="00F16F0A">
        <w:rPr>
          <w:sz w:val="22"/>
          <w:szCs w:val="22"/>
          <w:lang w:val="en-GB"/>
        </w:rPr>
        <w:t>.</w:t>
      </w:r>
      <w:r w:rsidR="00F16F0A" w:rsidRPr="00E457F0">
        <w:rPr>
          <w:sz w:val="22"/>
          <w:szCs w:val="22"/>
          <w:lang w:val="en-GB"/>
        </w:rPr>
        <w:t xml:space="preserve"> </w:t>
      </w:r>
    </w:p>
    <w:p w14:paraId="35C565A2" w14:textId="77777777" w:rsidR="00F16F0A" w:rsidRDefault="00F16F0A" w:rsidP="00C34FA9">
      <w:pPr>
        <w:spacing w:before="120" w:after="120" w:line="264" w:lineRule="auto"/>
        <w:jc w:val="both"/>
        <w:rPr>
          <w:sz w:val="22"/>
          <w:szCs w:val="22"/>
          <w:lang w:val="en-GB"/>
        </w:rPr>
      </w:pPr>
      <w:r>
        <w:rPr>
          <w:sz w:val="22"/>
          <w:szCs w:val="22"/>
          <w:lang w:val="en-GB"/>
        </w:rPr>
        <w:lastRenderedPageBreak/>
        <w:t>In addition, the programme thematic objectives and priorities are expected to positively contribute to the following aspects of human rights:</w:t>
      </w:r>
    </w:p>
    <w:p w14:paraId="70D8C33A" w14:textId="77777777" w:rsidR="00F16F0A" w:rsidRDefault="00F16F0A" w:rsidP="00C34FA9">
      <w:pPr>
        <w:pStyle w:val="ListParagraph"/>
        <w:numPr>
          <w:ilvl w:val="0"/>
          <w:numId w:val="14"/>
        </w:numPr>
        <w:spacing w:before="120" w:after="60" w:line="264" w:lineRule="auto"/>
        <w:ind w:left="714" w:hanging="357"/>
        <w:contextualSpacing w:val="0"/>
        <w:jc w:val="both"/>
        <w:rPr>
          <w:sz w:val="22"/>
          <w:szCs w:val="22"/>
          <w:lang w:val="en-GB"/>
        </w:rPr>
      </w:pPr>
      <w:r>
        <w:rPr>
          <w:i/>
          <w:sz w:val="22"/>
          <w:szCs w:val="22"/>
          <w:lang w:val="en-GB"/>
        </w:rPr>
        <w:t>The right of c</w:t>
      </w:r>
      <w:r w:rsidRPr="004C640C">
        <w:rPr>
          <w:i/>
          <w:sz w:val="22"/>
          <w:szCs w:val="22"/>
          <w:lang w:val="en-GB"/>
        </w:rPr>
        <w:t>itizens</w:t>
      </w:r>
      <w:r>
        <w:rPr>
          <w:i/>
          <w:sz w:val="22"/>
          <w:szCs w:val="22"/>
          <w:lang w:val="en-GB"/>
        </w:rPr>
        <w:t xml:space="preserve"> to</w:t>
      </w:r>
      <w:r w:rsidRPr="004C640C">
        <w:rPr>
          <w:i/>
          <w:sz w:val="22"/>
          <w:szCs w:val="22"/>
          <w:lang w:val="en-GB"/>
        </w:rPr>
        <w:t xml:space="preserve"> employment and</w:t>
      </w:r>
      <w:r>
        <w:rPr>
          <w:i/>
          <w:sz w:val="22"/>
          <w:szCs w:val="22"/>
          <w:lang w:val="en-GB"/>
        </w:rPr>
        <w:t xml:space="preserve"> to</w:t>
      </w:r>
      <w:r w:rsidRPr="004C640C">
        <w:rPr>
          <w:i/>
          <w:sz w:val="22"/>
          <w:szCs w:val="22"/>
          <w:lang w:val="en-GB"/>
        </w:rPr>
        <w:t xml:space="preserve"> economic initiati</w:t>
      </w:r>
      <w:r>
        <w:rPr>
          <w:i/>
          <w:sz w:val="22"/>
          <w:szCs w:val="22"/>
          <w:lang w:val="en-GB"/>
        </w:rPr>
        <w:t>ves</w:t>
      </w:r>
      <w:r w:rsidRPr="004C640C">
        <w:rPr>
          <w:sz w:val="22"/>
          <w:szCs w:val="22"/>
          <w:lang w:val="en-GB"/>
        </w:rPr>
        <w:t xml:space="preserve"> through promotion of business and entrepreneurship u</w:t>
      </w:r>
      <w:r>
        <w:rPr>
          <w:sz w:val="22"/>
          <w:szCs w:val="22"/>
          <w:lang w:val="en-GB"/>
        </w:rPr>
        <w:t>nder O</w:t>
      </w:r>
      <w:r w:rsidRPr="004C640C">
        <w:rPr>
          <w:sz w:val="22"/>
          <w:szCs w:val="22"/>
          <w:lang w:val="en-GB"/>
        </w:rPr>
        <w:t>bjective 1</w:t>
      </w:r>
      <w:r>
        <w:rPr>
          <w:sz w:val="22"/>
          <w:szCs w:val="22"/>
          <w:lang w:val="en-GB"/>
        </w:rPr>
        <w:t xml:space="preserve"> priorities;</w:t>
      </w:r>
    </w:p>
    <w:p w14:paraId="46C67DEF" w14:textId="77777777" w:rsidR="00F16F0A" w:rsidRPr="003B61C1" w:rsidRDefault="00F16F0A" w:rsidP="00C34FA9">
      <w:pPr>
        <w:pStyle w:val="ListParagraph"/>
        <w:numPr>
          <w:ilvl w:val="0"/>
          <w:numId w:val="14"/>
        </w:numPr>
        <w:spacing w:after="60" w:line="264" w:lineRule="auto"/>
        <w:contextualSpacing w:val="0"/>
        <w:jc w:val="both"/>
        <w:rPr>
          <w:rFonts w:ascii="Lucida Grande" w:hAnsi="Lucida Grande" w:cs="Lucida Grande"/>
          <w:color w:val="000000"/>
          <w:sz w:val="20"/>
          <w:szCs w:val="20"/>
          <w:lang w:val="en-GB"/>
        </w:rPr>
      </w:pPr>
      <w:r w:rsidRPr="00C152BD">
        <w:rPr>
          <w:i/>
          <w:sz w:val="22"/>
          <w:szCs w:val="22"/>
          <w:lang w:val="en-GB"/>
        </w:rPr>
        <w:t>Better access to education and improved opportunities for cultural exchange</w:t>
      </w:r>
      <w:r w:rsidRPr="003B61C1">
        <w:rPr>
          <w:rFonts w:ascii="Lucida Grande" w:hAnsi="Lucida Grande" w:cs="Lucida Grande"/>
          <w:color w:val="000000"/>
          <w:sz w:val="20"/>
          <w:szCs w:val="20"/>
          <w:lang w:val="en-GB"/>
        </w:rPr>
        <w:t xml:space="preserve"> </w:t>
      </w:r>
      <w:r w:rsidRPr="00BE21A9">
        <w:rPr>
          <w:sz w:val="22"/>
          <w:szCs w:val="22"/>
          <w:lang w:val="en-GB"/>
        </w:rPr>
        <w:t xml:space="preserve">through </w:t>
      </w:r>
      <w:r>
        <w:rPr>
          <w:sz w:val="22"/>
          <w:szCs w:val="22"/>
          <w:lang w:val="en-GB"/>
        </w:rPr>
        <w:t>upgrading</w:t>
      </w:r>
      <w:r w:rsidRPr="00BE21A9">
        <w:rPr>
          <w:sz w:val="22"/>
          <w:szCs w:val="22"/>
          <w:lang w:val="en-GB"/>
        </w:rPr>
        <w:t xml:space="preserve"> skills, training young people and </w:t>
      </w:r>
      <w:r>
        <w:rPr>
          <w:sz w:val="22"/>
          <w:szCs w:val="22"/>
          <w:lang w:val="en-GB"/>
        </w:rPr>
        <w:t xml:space="preserve">the </w:t>
      </w:r>
      <w:r w:rsidRPr="00BE21A9">
        <w:rPr>
          <w:sz w:val="22"/>
          <w:szCs w:val="22"/>
          <w:lang w:val="en-GB"/>
        </w:rPr>
        <w:t xml:space="preserve">promotion of cultural cooperation </w:t>
      </w:r>
      <w:r>
        <w:rPr>
          <w:sz w:val="22"/>
          <w:szCs w:val="22"/>
          <w:lang w:val="en-GB"/>
        </w:rPr>
        <w:t>(</w:t>
      </w:r>
      <w:r w:rsidRPr="00BE21A9">
        <w:rPr>
          <w:sz w:val="22"/>
          <w:szCs w:val="22"/>
          <w:lang w:val="en-GB"/>
        </w:rPr>
        <w:t>supported under</w:t>
      </w:r>
      <w:r>
        <w:rPr>
          <w:sz w:val="22"/>
          <w:szCs w:val="22"/>
          <w:lang w:val="en-GB"/>
        </w:rPr>
        <w:t xml:space="preserve"> O</w:t>
      </w:r>
      <w:r w:rsidRPr="00BE21A9">
        <w:rPr>
          <w:sz w:val="22"/>
          <w:szCs w:val="22"/>
          <w:lang w:val="en-GB"/>
        </w:rPr>
        <w:t>bjective 1 priorities</w:t>
      </w:r>
      <w:r>
        <w:rPr>
          <w:sz w:val="22"/>
          <w:szCs w:val="22"/>
          <w:lang w:val="en-GB"/>
        </w:rPr>
        <w:t xml:space="preserve"> and indicative activities)</w:t>
      </w:r>
      <w:r w:rsidRPr="003B61C1">
        <w:rPr>
          <w:rFonts w:ascii="Lucida Grande" w:hAnsi="Lucida Grande" w:cs="Lucida Grande"/>
          <w:color w:val="000000"/>
          <w:sz w:val="20"/>
          <w:szCs w:val="20"/>
          <w:lang w:val="en-GB"/>
        </w:rPr>
        <w:t>;</w:t>
      </w:r>
    </w:p>
    <w:p w14:paraId="47DA0906" w14:textId="77777777" w:rsidR="00F16F0A" w:rsidRPr="00CE2BB7" w:rsidRDefault="00F16F0A" w:rsidP="00C34FA9">
      <w:pPr>
        <w:pStyle w:val="ListParagraph"/>
        <w:numPr>
          <w:ilvl w:val="0"/>
          <w:numId w:val="14"/>
        </w:numPr>
        <w:spacing w:before="120" w:after="60" w:line="264" w:lineRule="auto"/>
        <w:ind w:left="714" w:hanging="357"/>
        <w:contextualSpacing w:val="0"/>
        <w:jc w:val="both"/>
        <w:rPr>
          <w:sz w:val="22"/>
          <w:szCs w:val="22"/>
          <w:lang w:val="en-GB"/>
        </w:rPr>
      </w:pPr>
      <w:r w:rsidRPr="004C640C">
        <w:rPr>
          <w:i/>
          <w:sz w:val="22"/>
          <w:szCs w:val="22"/>
          <w:lang w:val="en-GB"/>
        </w:rPr>
        <w:t>Higher ecological standard of li</w:t>
      </w:r>
      <w:r>
        <w:rPr>
          <w:i/>
          <w:sz w:val="22"/>
          <w:szCs w:val="22"/>
          <w:lang w:val="en-GB"/>
        </w:rPr>
        <w:t>ving</w:t>
      </w:r>
      <w:r>
        <w:rPr>
          <w:sz w:val="22"/>
          <w:szCs w:val="22"/>
          <w:lang w:val="en-GB"/>
        </w:rPr>
        <w:t xml:space="preserve"> through promotion of </w:t>
      </w:r>
      <w:r w:rsidRPr="00127213">
        <w:rPr>
          <w:sz w:val="22"/>
          <w:szCs w:val="22"/>
          <w:lang w:val="en-GB"/>
        </w:rPr>
        <w:t xml:space="preserve">coordination of environmental protection and joint reduction of marine litter </w:t>
      </w:r>
      <w:r>
        <w:rPr>
          <w:sz w:val="22"/>
          <w:szCs w:val="22"/>
          <w:lang w:val="en-GB"/>
        </w:rPr>
        <w:t>under O</w:t>
      </w:r>
      <w:r w:rsidRPr="006D3392">
        <w:rPr>
          <w:sz w:val="22"/>
          <w:szCs w:val="22"/>
          <w:lang w:val="en-GB"/>
        </w:rPr>
        <w:t>bjective 2</w:t>
      </w:r>
      <w:r>
        <w:rPr>
          <w:sz w:val="22"/>
          <w:szCs w:val="22"/>
          <w:lang w:val="en-GB"/>
        </w:rPr>
        <w:t xml:space="preserve"> priorities.</w:t>
      </w:r>
    </w:p>
    <w:p w14:paraId="129904CC" w14:textId="77777777" w:rsidR="008D1A11" w:rsidRPr="00205784" w:rsidRDefault="00EB32B7" w:rsidP="00205784">
      <w:pPr>
        <w:spacing w:before="120" w:after="0" w:line="252" w:lineRule="auto"/>
        <w:jc w:val="both"/>
        <w:rPr>
          <w:sz w:val="22"/>
          <w:szCs w:val="22"/>
          <w:lang w:val="en-US"/>
        </w:rPr>
      </w:pPr>
      <w:r>
        <w:rPr>
          <w:sz w:val="22"/>
          <w:szCs w:val="22"/>
          <w:lang w:val="en-US"/>
        </w:rPr>
        <w:t xml:space="preserve">The </w:t>
      </w:r>
      <w:r w:rsidR="002153D6">
        <w:rPr>
          <w:sz w:val="22"/>
          <w:szCs w:val="22"/>
          <w:lang w:val="en-US"/>
        </w:rPr>
        <w:t>p</w:t>
      </w:r>
      <w:r w:rsidR="00BA15CD">
        <w:rPr>
          <w:sz w:val="22"/>
          <w:szCs w:val="22"/>
          <w:lang w:val="en-US"/>
        </w:rPr>
        <w:t xml:space="preserve">rojects </w:t>
      </w:r>
      <w:r>
        <w:rPr>
          <w:sz w:val="22"/>
          <w:szCs w:val="22"/>
          <w:lang w:val="en-US"/>
        </w:rPr>
        <w:t>shall seek to</w:t>
      </w:r>
      <w:r w:rsidR="00BA15CD">
        <w:rPr>
          <w:sz w:val="22"/>
          <w:szCs w:val="22"/>
          <w:lang w:val="en-US"/>
        </w:rPr>
        <w:t xml:space="preserve"> integrate</w:t>
      </w:r>
      <w:r w:rsidR="002B342F">
        <w:rPr>
          <w:sz w:val="22"/>
          <w:szCs w:val="22"/>
          <w:lang w:val="en-US"/>
        </w:rPr>
        <w:t xml:space="preserve"> considerations</w:t>
      </w:r>
      <w:r w:rsidR="00F16F0A">
        <w:rPr>
          <w:sz w:val="22"/>
          <w:szCs w:val="22"/>
          <w:lang w:val="en-US"/>
        </w:rPr>
        <w:t xml:space="preserve"> related to democracy, good governance </w:t>
      </w:r>
      <w:r w:rsidR="00BA15CD">
        <w:rPr>
          <w:sz w:val="22"/>
          <w:szCs w:val="22"/>
          <w:lang w:val="en-US"/>
        </w:rPr>
        <w:t>and human rights</w:t>
      </w:r>
      <w:r w:rsidR="00F16F0A">
        <w:rPr>
          <w:sz w:val="22"/>
          <w:szCs w:val="22"/>
          <w:lang w:val="en-US"/>
        </w:rPr>
        <w:t xml:space="preserve">. </w:t>
      </w:r>
      <w:r w:rsidR="002B342F">
        <w:rPr>
          <w:sz w:val="22"/>
          <w:szCs w:val="22"/>
          <w:lang w:val="en-US"/>
        </w:rPr>
        <w:t>This may</w:t>
      </w:r>
      <w:r w:rsidR="00FE42A2">
        <w:rPr>
          <w:sz w:val="22"/>
          <w:szCs w:val="22"/>
          <w:lang w:val="en-US"/>
        </w:rPr>
        <w:t xml:space="preserve"> also</w:t>
      </w:r>
      <w:r w:rsidR="002B342F">
        <w:rPr>
          <w:sz w:val="22"/>
          <w:szCs w:val="22"/>
          <w:lang w:val="en-US"/>
        </w:rPr>
        <w:t xml:space="preserve"> include exchange of good practices, as well as </w:t>
      </w:r>
      <w:r w:rsidR="00F16F0A">
        <w:rPr>
          <w:sz w:val="22"/>
          <w:szCs w:val="22"/>
          <w:lang w:val="en-US"/>
        </w:rPr>
        <w:t xml:space="preserve">regular and transparent project financial reporting, widely circulated and understandable project results, </w:t>
      </w:r>
      <w:r w:rsidR="00A0718A">
        <w:rPr>
          <w:sz w:val="22"/>
          <w:szCs w:val="22"/>
          <w:lang w:val="en-US"/>
        </w:rPr>
        <w:t xml:space="preserve">ensuring there is no </w:t>
      </w:r>
      <w:r w:rsidR="00F16F0A" w:rsidRPr="00AB2982">
        <w:rPr>
          <w:sz w:val="22"/>
          <w:szCs w:val="22"/>
          <w:lang w:val="en-US"/>
        </w:rPr>
        <w:t xml:space="preserve">discrimination </w:t>
      </w:r>
      <w:r w:rsidR="00F16F0A">
        <w:rPr>
          <w:sz w:val="22"/>
          <w:szCs w:val="22"/>
          <w:lang w:val="en-US"/>
        </w:rPr>
        <w:t>against</w:t>
      </w:r>
      <w:r w:rsidR="00F16F0A" w:rsidRPr="00AB2982">
        <w:rPr>
          <w:sz w:val="22"/>
          <w:szCs w:val="22"/>
          <w:lang w:val="en-US"/>
        </w:rPr>
        <w:t xml:space="preserve"> </w:t>
      </w:r>
      <w:r w:rsidR="00F16F0A">
        <w:rPr>
          <w:sz w:val="22"/>
          <w:szCs w:val="22"/>
          <w:lang w:val="en-US"/>
        </w:rPr>
        <w:t xml:space="preserve">particular </w:t>
      </w:r>
      <w:r w:rsidR="00F16F0A" w:rsidRPr="00AB2982">
        <w:rPr>
          <w:sz w:val="22"/>
          <w:szCs w:val="22"/>
          <w:lang w:val="en-US"/>
        </w:rPr>
        <w:t>target groups</w:t>
      </w:r>
      <w:r w:rsidR="00A0718A">
        <w:rPr>
          <w:sz w:val="22"/>
          <w:szCs w:val="22"/>
          <w:lang w:val="en-US"/>
        </w:rPr>
        <w:t xml:space="preserve"> (</w:t>
      </w:r>
      <w:r w:rsidR="00651AD3">
        <w:rPr>
          <w:sz w:val="22"/>
          <w:szCs w:val="22"/>
          <w:lang w:val="en-US"/>
        </w:rPr>
        <w:t>e.g. ethnic minorities)</w:t>
      </w:r>
      <w:r w:rsidR="00F16F0A" w:rsidRPr="00AB2982">
        <w:rPr>
          <w:sz w:val="22"/>
          <w:szCs w:val="22"/>
          <w:lang w:val="en-US"/>
        </w:rPr>
        <w:t>,</w:t>
      </w:r>
      <w:r w:rsidR="00F16F0A">
        <w:rPr>
          <w:sz w:val="22"/>
          <w:szCs w:val="22"/>
          <w:lang w:val="en-US"/>
        </w:rPr>
        <w:t xml:space="preserve"> whether the project helps to ensure respect for any relevant human rights, etc.     </w:t>
      </w:r>
      <w:bookmarkStart w:id="82" w:name="_Toc276156678"/>
    </w:p>
    <w:p w14:paraId="1359C2E1" w14:textId="77777777" w:rsidR="00F16F0A" w:rsidRPr="0025034F" w:rsidRDefault="00F16F0A" w:rsidP="0025034F">
      <w:pPr>
        <w:spacing w:before="240" w:after="120"/>
        <w:rPr>
          <w:b/>
          <w:lang w:val="en-GB"/>
        </w:rPr>
      </w:pPr>
      <w:r w:rsidRPr="0025034F">
        <w:rPr>
          <w:b/>
          <w:lang w:val="en-GB"/>
        </w:rPr>
        <w:t>Gender equality</w:t>
      </w:r>
      <w:bookmarkEnd w:id="82"/>
      <w:r w:rsidRPr="0025034F">
        <w:rPr>
          <w:b/>
          <w:lang w:val="en-GB"/>
        </w:rPr>
        <w:t xml:space="preserve"> </w:t>
      </w:r>
    </w:p>
    <w:p w14:paraId="7595F120" w14:textId="77777777" w:rsidR="00F16F0A" w:rsidRDefault="00F16F0A" w:rsidP="00F16F0A">
      <w:pPr>
        <w:spacing w:before="120" w:after="0" w:line="252" w:lineRule="auto"/>
        <w:jc w:val="both"/>
        <w:rPr>
          <w:sz w:val="22"/>
          <w:szCs w:val="22"/>
          <w:lang w:val="en-US"/>
        </w:rPr>
      </w:pPr>
      <w:r w:rsidRPr="00BC6224">
        <w:rPr>
          <w:sz w:val="22"/>
          <w:szCs w:val="22"/>
          <w:lang w:val="en-US"/>
        </w:rPr>
        <w:t>Promotion of gender equalit</w:t>
      </w:r>
      <w:r>
        <w:rPr>
          <w:sz w:val="22"/>
          <w:szCs w:val="22"/>
          <w:lang w:val="en-US"/>
        </w:rPr>
        <w:t>y is ma</w:t>
      </w:r>
      <w:r w:rsidR="002C67FB">
        <w:rPr>
          <w:sz w:val="22"/>
          <w:szCs w:val="22"/>
          <w:lang w:val="en-US"/>
        </w:rPr>
        <w:t>i</w:t>
      </w:r>
      <w:r>
        <w:rPr>
          <w:sz w:val="22"/>
          <w:szCs w:val="22"/>
          <w:lang w:val="en-US"/>
        </w:rPr>
        <w:t xml:space="preserve">nstreamed within BSB </w:t>
      </w:r>
      <w:proofErr w:type="spellStart"/>
      <w:r>
        <w:rPr>
          <w:sz w:val="22"/>
          <w:szCs w:val="22"/>
          <w:lang w:val="en-US"/>
        </w:rPr>
        <w:t>programme</w:t>
      </w:r>
      <w:proofErr w:type="spellEnd"/>
      <w:r>
        <w:rPr>
          <w:sz w:val="22"/>
          <w:szCs w:val="22"/>
          <w:lang w:val="en-US"/>
        </w:rPr>
        <w:t xml:space="preserve"> design as a horizontal issue </w:t>
      </w:r>
      <w:r w:rsidRPr="00BC6224">
        <w:rPr>
          <w:sz w:val="22"/>
          <w:szCs w:val="22"/>
          <w:lang w:val="en-US"/>
        </w:rPr>
        <w:t xml:space="preserve">to be deployed </w:t>
      </w:r>
      <w:r>
        <w:rPr>
          <w:sz w:val="22"/>
          <w:szCs w:val="22"/>
          <w:lang w:val="en-US"/>
        </w:rPr>
        <w:t xml:space="preserve">in projects </w:t>
      </w:r>
      <w:r w:rsidRPr="00BC6224">
        <w:rPr>
          <w:sz w:val="22"/>
          <w:szCs w:val="22"/>
          <w:lang w:val="en-US"/>
        </w:rPr>
        <w:t>across any of the priorities selected</w:t>
      </w:r>
      <w:r>
        <w:rPr>
          <w:sz w:val="22"/>
          <w:szCs w:val="22"/>
          <w:lang w:val="en-US"/>
        </w:rPr>
        <w:t>.</w:t>
      </w:r>
      <w:r w:rsidR="00231FCC">
        <w:rPr>
          <w:sz w:val="22"/>
          <w:szCs w:val="22"/>
          <w:lang w:val="en-US"/>
        </w:rPr>
        <w:t xml:space="preserve"> </w:t>
      </w:r>
      <w:r w:rsidR="001561E1">
        <w:rPr>
          <w:sz w:val="22"/>
          <w:szCs w:val="22"/>
          <w:lang w:val="en-US"/>
        </w:rPr>
        <w:t>B</w:t>
      </w:r>
      <w:r w:rsidR="00231FCC">
        <w:rPr>
          <w:sz w:val="22"/>
          <w:szCs w:val="22"/>
          <w:lang w:val="en-US"/>
        </w:rPr>
        <w:t xml:space="preserve">oth men and women </w:t>
      </w:r>
      <w:r w:rsidR="001561E1">
        <w:rPr>
          <w:sz w:val="22"/>
          <w:szCs w:val="22"/>
          <w:lang w:val="en-US"/>
        </w:rPr>
        <w:t xml:space="preserve">shall </w:t>
      </w:r>
      <w:r w:rsidR="00231FCC">
        <w:rPr>
          <w:sz w:val="22"/>
          <w:szCs w:val="22"/>
          <w:lang w:val="en-US"/>
        </w:rPr>
        <w:t xml:space="preserve">have equal access to the opportunities and benefits of the </w:t>
      </w:r>
      <w:proofErr w:type="spellStart"/>
      <w:r w:rsidR="00231FCC">
        <w:rPr>
          <w:sz w:val="22"/>
          <w:szCs w:val="22"/>
          <w:lang w:val="en-US"/>
        </w:rPr>
        <w:t>programme</w:t>
      </w:r>
      <w:proofErr w:type="spellEnd"/>
      <w:r w:rsidR="00231FCC">
        <w:rPr>
          <w:sz w:val="22"/>
          <w:szCs w:val="22"/>
          <w:lang w:val="en-US"/>
        </w:rPr>
        <w:t>.</w:t>
      </w:r>
    </w:p>
    <w:p w14:paraId="14504C18" w14:textId="5962ECA7" w:rsidR="002E13F6" w:rsidRPr="002E13F6" w:rsidRDefault="002721E7" w:rsidP="002E13F6">
      <w:pPr>
        <w:spacing w:before="120" w:after="0" w:line="252" w:lineRule="auto"/>
        <w:jc w:val="both"/>
        <w:rPr>
          <w:sz w:val="22"/>
          <w:szCs w:val="22"/>
          <w:lang w:val="en-US"/>
        </w:rPr>
      </w:pPr>
      <w:r>
        <w:rPr>
          <w:sz w:val="22"/>
          <w:szCs w:val="22"/>
          <w:lang w:val="en-US"/>
        </w:rPr>
        <w:t>All projects will have</w:t>
      </w:r>
      <w:r w:rsidR="00F16F0A">
        <w:rPr>
          <w:sz w:val="22"/>
          <w:szCs w:val="22"/>
          <w:lang w:val="en-US"/>
        </w:rPr>
        <w:t xml:space="preserve"> to adequately consider gender related issues – such as equality of opportunity, rights, distribution of benefits, respo</w:t>
      </w:r>
      <w:r w:rsidR="00126F4B">
        <w:rPr>
          <w:sz w:val="22"/>
          <w:szCs w:val="22"/>
          <w:lang w:val="en-US"/>
        </w:rPr>
        <w:t>nsi</w:t>
      </w:r>
      <w:r w:rsidR="00231FCC">
        <w:rPr>
          <w:sz w:val="22"/>
          <w:szCs w:val="22"/>
          <w:lang w:val="en-US"/>
        </w:rPr>
        <w:t xml:space="preserve">bilities for men and women. </w:t>
      </w:r>
      <w:r w:rsidR="000A1A06">
        <w:rPr>
          <w:sz w:val="22"/>
          <w:szCs w:val="22"/>
          <w:lang w:val="en-US"/>
        </w:rPr>
        <w:t xml:space="preserve">This may </w:t>
      </w:r>
      <w:r w:rsidR="00331229">
        <w:rPr>
          <w:sz w:val="22"/>
          <w:szCs w:val="22"/>
          <w:lang w:val="en-US"/>
        </w:rPr>
        <w:t>include the integration of a</w:t>
      </w:r>
      <w:r w:rsidR="000A1A06">
        <w:rPr>
          <w:sz w:val="22"/>
          <w:szCs w:val="22"/>
          <w:lang w:val="en-US"/>
        </w:rPr>
        <w:t xml:space="preserve"> gender perspective when planning</w:t>
      </w:r>
      <w:r w:rsidR="00016C3B">
        <w:rPr>
          <w:sz w:val="22"/>
          <w:szCs w:val="22"/>
          <w:lang w:val="en-US"/>
        </w:rPr>
        <w:t xml:space="preserve"> e.g.</w:t>
      </w:r>
      <w:r w:rsidR="000A1A06">
        <w:rPr>
          <w:sz w:val="22"/>
          <w:szCs w:val="22"/>
          <w:lang w:val="en-US"/>
        </w:rPr>
        <w:t xml:space="preserve"> training activities, </w:t>
      </w:r>
      <w:r w:rsidR="00D33967">
        <w:rPr>
          <w:sz w:val="22"/>
          <w:szCs w:val="22"/>
          <w:lang w:val="en-US"/>
        </w:rPr>
        <w:t xml:space="preserve">considering </w:t>
      </w:r>
      <w:r w:rsidR="00F16F0A">
        <w:rPr>
          <w:sz w:val="22"/>
          <w:szCs w:val="22"/>
          <w:lang w:val="en-US"/>
        </w:rPr>
        <w:t>the likeliness of increased gender equality beyond the project ends, etc.</w:t>
      </w:r>
    </w:p>
    <w:p w14:paraId="6783E4BF" w14:textId="77777777" w:rsidR="00F16F0A" w:rsidRPr="001E0FDF" w:rsidRDefault="00B54B1C" w:rsidP="00046FFB">
      <w:pPr>
        <w:pStyle w:val="Heading3"/>
        <w:spacing w:before="480" w:after="240" w:line="264" w:lineRule="auto"/>
        <w:rPr>
          <w:b/>
          <w:sz w:val="28"/>
          <w:szCs w:val="28"/>
          <w:lang w:val="en-GB"/>
        </w:rPr>
      </w:pPr>
      <w:bookmarkStart w:id="83" w:name="_Toc276156680"/>
      <w:bookmarkStart w:id="84" w:name="_Toc423436294"/>
      <w:r>
        <w:rPr>
          <w:b/>
          <w:sz w:val="28"/>
          <w:szCs w:val="28"/>
          <w:lang w:val="en-GB"/>
        </w:rPr>
        <w:t xml:space="preserve">5.9 </w:t>
      </w:r>
      <w:r w:rsidR="00F16F0A" w:rsidRPr="001E0FDF">
        <w:rPr>
          <w:b/>
          <w:sz w:val="28"/>
          <w:szCs w:val="28"/>
          <w:lang w:val="en-GB"/>
        </w:rPr>
        <w:t>Complementarities and synergies</w:t>
      </w:r>
      <w:bookmarkEnd w:id="83"/>
      <w:bookmarkEnd w:id="84"/>
      <w:r w:rsidR="00F16F0A" w:rsidRPr="001E0FDF">
        <w:rPr>
          <w:b/>
          <w:sz w:val="28"/>
          <w:szCs w:val="28"/>
          <w:lang w:val="en-GB"/>
        </w:rPr>
        <w:t xml:space="preserve"> </w:t>
      </w:r>
    </w:p>
    <w:p w14:paraId="49EB5DC9" w14:textId="77777777" w:rsidR="007E1B84" w:rsidRDefault="00F16F0A" w:rsidP="00F16F0A">
      <w:pPr>
        <w:spacing w:before="120" w:after="0" w:line="264" w:lineRule="auto"/>
        <w:jc w:val="both"/>
        <w:rPr>
          <w:rFonts w:eastAsia="Times New Roman" w:cs="Times New Roman"/>
          <w:sz w:val="22"/>
          <w:szCs w:val="22"/>
          <w:lang w:val="en-GB"/>
        </w:rPr>
      </w:pPr>
      <w:r w:rsidRPr="007620DA">
        <w:rPr>
          <w:rFonts w:eastAsia="Times New Roman" w:cs="Times New Roman"/>
          <w:sz w:val="22"/>
          <w:szCs w:val="22"/>
          <w:lang w:val="en-GB"/>
        </w:rPr>
        <w:t xml:space="preserve">The </w:t>
      </w:r>
      <w:r w:rsidR="00A2601A">
        <w:rPr>
          <w:rFonts w:eastAsia="Times New Roman" w:cs="Times New Roman"/>
          <w:sz w:val="22"/>
          <w:szCs w:val="22"/>
          <w:lang w:val="en-GB"/>
        </w:rPr>
        <w:t xml:space="preserve">BSB </w:t>
      </w:r>
      <w:r w:rsidRPr="007620DA">
        <w:rPr>
          <w:rFonts w:eastAsia="Times New Roman" w:cs="Times New Roman"/>
          <w:sz w:val="22"/>
          <w:szCs w:val="22"/>
          <w:lang w:val="en-GB"/>
        </w:rPr>
        <w:t>pro</w:t>
      </w:r>
      <w:r>
        <w:rPr>
          <w:rFonts w:eastAsia="Times New Roman" w:cs="Times New Roman"/>
          <w:sz w:val="22"/>
          <w:szCs w:val="22"/>
          <w:lang w:val="en-GB"/>
        </w:rPr>
        <w:t xml:space="preserve">gramme strategy </w:t>
      </w:r>
      <w:r w:rsidR="00A2601A">
        <w:rPr>
          <w:rFonts w:eastAsia="Times New Roman" w:cs="Times New Roman"/>
          <w:sz w:val="22"/>
          <w:szCs w:val="22"/>
          <w:lang w:val="en-GB"/>
        </w:rPr>
        <w:t xml:space="preserve">has been </w:t>
      </w:r>
      <w:r w:rsidR="00762364">
        <w:rPr>
          <w:rFonts w:eastAsia="Times New Roman" w:cs="Times New Roman"/>
          <w:sz w:val="22"/>
          <w:szCs w:val="22"/>
          <w:lang w:val="en-GB"/>
        </w:rPr>
        <w:t xml:space="preserve">designed </w:t>
      </w:r>
      <w:r w:rsidR="0031702E">
        <w:rPr>
          <w:rFonts w:eastAsia="Times New Roman" w:cs="Times New Roman"/>
          <w:sz w:val="22"/>
          <w:szCs w:val="22"/>
          <w:lang w:val="en-GB"/>
        </w:rPr>
        <w:t>further to</w:t>
      </w:r>
      <w:r w:rsidR="00A2601A">
        <w:rPr>
          <w:rFonts w:eastAsia="Times New Roman" w:cs="Times New Roman"/>
          <w:sz w:val="22"/>
          <w:szCs w:val="22"/>
          <w:lang w:val="en-GB"/>
        </w:rPr>
        <w:t xml:space="preserve"> </w:t>
      </w:r>
      <w:r w:rsidR="008D201D">
        <w:rPr>
          <w:rFonts w:eastAsia="Times New Roman" w:cs="Times New Roman"/>
          <w:sz w:val="22"/>
          <w:szCs w:val="22"/>
          <w:lang w:val="en-GB"/>
        </w:rPr>
        <w:t xml:space="preserve">a </w:t>
      </w:r>
      <w:r w:rsidR="00A2601A">
        <w:rPr>
          <w:rFonts w:eastAsia="Times New Roman" w:cs="Times New Roman"/>
          <w:sz w:val="22"/>
          <w:szCs w:val="22"/>
          <w:lang w:val="en-GB"/>
        </w:rPr>
        <w:t>review of EU relevant strategies</w:t>
      </w:r>
      <w:r w:rsidR="00762364">
        <w:rPr>
          <w:rFonts w:eastAsia="Times New Roman" w:cs="Times New Roman"/>
          <w:sz w:val="22"/>
          <w:szCs w:val="22"/>
          <w:lang w:val="en-GB"/>
        </w:rPr>
        <w:t xml:space="preserve"> and policies</w:t>
      </w:r>
      <w:r w:rsidR="00A0315B">
        <w:rPr>
          <w:rFonts w:eastAsia="Times New Roman" w:cs="Times New Roman"/>
          <w:sz w:val="22"/>
          <w:szCs w:val="22"/>
          <w:lang w:val="en-GB"/>
        </w:rPr>
        <w:t xml:space="preserve"> (including </w:t>
      </w:r>
      <w:r w:rsidR="008269F0">
        <w:rPr>
          <w:rFonts w:eastAsia="Times New Roman" w:cs="Times New Roman"/>
          <w:sz w:val="22"/>
          <w:szCs w:val="22"/>
          <w:lang w:val="en-GB"/>
        </w:rPr>
        <w:t>Blue Growth strateg</w:t>
      </w:r>
      <w:r w:rsidR="00A0315B">
        <w:rPr>
          <w:rFonts w:eastAsia="Times New Roman" w:cs="Times New Roman"/>
          <w:sz w:val="22"/>
          <w:szCs w:val="22"/>
          <w:lang w:val="en-GB"/>
        </w:rPr>
        <w:t>y, etc.</w:t>
      </w:r>
      <w:r w:rsidR="008269F0">
        <w:rPr>
          <w:rFonts w:eastAsia="Times New Roman" w:cs="Times New Roman"/>
          <w:sz w:val="22"/>
          <w:szCs w:val="22"/>
          <w:lang w:val="en-GB"/>
        </w:rPr>
        <w:t>)</w:t>
      </w:r>
      <w:r w:rsidR="008D201D">
        <w:rPr>
          <w:rFonts w:eastAsia="Times New Roman" w:cs="Times New Roman"/>
          <w:sz w:val="22"/>
          <w:szCs w:val="22"/>
          <w:lang w:val="en-GB"/>
        </w:rPr>
        <w:t xml:space="preserve"> </w:t>
      </w:r>
      <w:r w:rsidR="00762364">
        <w:rPr>
          <w:rFonts w:eastAsia="Times New Roman" w:cs="Times New Roman"/>
          <w:sz w:val="22"/>
          <w:szCs w:val="22"/>
          <w:lang w:val="en-GB"/>
        </w:rPr>
        <w:t>to ens</w:t>
      </w:r>
      <w:r w:rsidR="00F73FED">
        <w:rPr>
          <w:rFonts w:eastAsia="Times New Roman" w:cs="Times New Roman"/>
          <w:sz w:val="22"/>
          <w:szCs w:val="22"/>
          <w:lang w:val="en-GB"/>
        </w:rPr>
        <w:t>ure coherence</w:t>
      </w:r>
      <w:r w:rsidR="0031702E">
        <w:rPr>
          <w:rFonts w:eastAsia="Times New Roman" w:cs="Times New Roman"/>
          <w:sz w:val="22"/>
          <w:szCs w:val="22"/>
          <w:lang w:val="en-GB"/>
        </w:rPr>
        <w:t xml:space="preserve"> of the programme </w:t>
      </w:r>
      <w:r w:rsidR="00326277">
        <w:rPr>
          <w:rFonts w:eastAsia="Times New Roman" w:cs="Times New Roman"/>
          <w:sz w:val="22"/>
          <w:szCs w:val="22"/>
          <w:lang w:val="en-GB"/>
        </w:rPr>
        <w:t xml:space="preserve">support </w:t>
      </w:r>
      <w:r w:rsidR="0031702E">
        <w:rPr>
          <w:rFonts w:eastAsia="Times New Roman" w:cs="Times New Roman"/>
          <w:sz w:val="22"/>
          <w:szCs w:val="22"/>
          <w:lang w:val="en-GB"/>
        </w:rPr>
        <w:t>with</w:t>
      </w:r>
      <w:r w:rsidR="00326277">
        <w:rPr>
          <w:rFonts w:eastAsia="Times New Roman" w:cs="Times New Roman"/>
          <w:sz w:val="22"/>
          <w:szCs w:val="22"/>
          <w:lang w:val="en-GB"/>
        </w:rPr>
        <w:t xml:space="preserve"> existing</w:t>
      </w:r>
      <w:r w:rsidR="0031702E">
        <w:rPr>
          <w:rFonts w:eastAsia="Times New Roman" w:cs="Times New Roman"/>
          <w:sz w:val="22"/>
          <w:szCs w:val="22"/>
          <w:lang w:val="en-GB"/>
        </w:rPr>
        <w:t xml:space="preserve"> EU strategic framework</w:t>
      </w:r>
      <w:r w:rsidR="007E1B84">
        <w:rPr>
          <w:rFonts w:eastAsia="Times New Roman" w:cs="Times New Roman"/>
          <w:sz w:val="22"/>
          <w:szCs w:val="22"/>
          <w:lang w:val="en-GB"/>
        </w:rPr>
        <w:t>s</w:t>
      </w:r>
      <w:r w:rsidR="003B26DF">
        <w:rPr>
          <w:rStyle w:val="FootnoteReference"/>
          <w:rFonts w:eastAsia="Times New Roman" w:cs="Times New Roman"/>
          <w:sz w:val="22"/>
          <w:szCs w:val="22"/>
          <w:lang w:val="en-GB"/>
        </w:rPr>
        <w:footnoteReference w:id="80"/>
      </w:r>
      <w:r w:rsidR="0031702E">
        <w:rPr>
          <w:rFonts w:eastAsia="Times New Roman" w:cs="Times New Roman"/>
          <w:sz w:val="22"/>
          <w:szCs w:val="22"/>
          <w:lang w:val="en-GB"/>
        </w:rPr>
        <w:t xml:space="preserve">. </w:t>
      </w:r>
      <w:r w:rsidR="007E1B84">
        <w:rPr>
          <w:rFonts w:eastAsia="Times New Roman" w:cs="Times New Roman"/>
          <w:sz w:val="22"/>
          <w:szCs w:val="22"/>
          <w:lang w:val="en-GB"/>
        </w:rPr>
        <w:t xml:space="preserve">A consistency analysis with relevant EU programmes has been carried </w:t>
      </w:r>
      <w:r w:rsidR="003408DB">
        <w:rPr>
          <w:rFonts w:eastAsia="Times New Roman" w:cs="Times New Roman"/>
          <w:sz w:val="22"/>
          <w:szCs w:val="22"/>
          <w:lang w:val="en-GB"/>
        </w:rPr>
        <w:t xml:space="preserve">out </w:t>
      </w:r>
      <w:r w:rsidR="007E1B84">
        <w:rPr>
          <w:rFonts w:eastAsia="Times New Roman" w:cs="Times New Roman"/>
          <w:sz w:val="22"/>
          <w:szCs w:val="22"/>
          <w:lang w:val="en-GB"/>
        </w:rPr>
        <w:t xml:space="preserve">so that </w:t>
      </w:r>
      <w:r w:rsidR="005E1CE6">
        <w:rPr>
          <w:rFonts w:eastAsia="Times New Roman" w:cs="Times New Roman"/>
          <w:sz w:val="22"/>
          <w:szCs w:val="22"/>
          <w:lang w:val="en-GB"/>
        </w:rPr>
        <w:t xml:space="preserve">the defined </w:t>
      </w:r>
      <w:r w:rsidR="007E1B84">
        <w:rPr>
          <w:rFonts w:eastAsia="Times New Roman" w:cs="Times New Roman"/>
          <w:sz w:val="22"/>
          <w:szCs w:val="22"/>
          <w:lang w:val="en-GB"/>
        </w:rPr>
        <w:t xml:space="preserve">BSB objectives and priorities deliver </w:t>
      </w:r>
      <w:r w:rsidR="007E1B84" w:rsidRPr="007620DA">
        <w:rPr>
          <w:rFonts w:eastAsia="Times New Roman" w:cs="Times New Roman"/>
          <w:sz w:val="22"/>
          <w:szCs w:val="22"/>
          <w:lang w:val="en-GB"/>
        </w:rPr>
        <w:t>real cross-border added va</w:t>
      </w:r>
      <w:r w:rsidR="007E1B84">
        <w:rPr>
          <w:rFonts w:eastAsia="Times New Roman" w:cs="Times New Roman"/>
          <w:sz w:val="22"/>
          <w:szCs w:val="22"/>
          <w:lang w:val="en-GB"/>
        </w:rPr>
        <w:t>lue and do not cover elements that</w:t>
      </w:r>
      <w:r w:rsidR="007E1B84" w:rsidRPr="007620DA">
        <w:rPr>
          <w:rFonts w:eastAsia="Times New Roman" w:cs="Times New Roman"/>
          <w:sz w:val="22"/>
          <w:szCs w:val="22"/>
          <w:lang w:val="en-GB"/>
        </w:rPr>
        <w:t xml:space="preserve"> are already funded or could more suitably be funded from other ENI or EU programmes</w:t>
      </w:r>
      <w:r w:rsidR="007E1B84">
        <w:rPr>
          <w:rStyle w:val="FootnoteReference"/>
          <w:rFonts w:eastAsia="Times New Roman" w:cs="Times New Roman"/>
          <w:sz w:val="22"/>
          <w:szCs w:val="22"/>
          <w:lang w:val="en-GB"/>
        </w:rPr>
        <w:footnoteReference w:id="81"/>
      </w:r>
      <w:r w:rsidR="007E1B84">
        <w:rPr>
          <w:rFonts w:eastAsia="Times New Roman" w:cs="Times New Roman"/>
          <w:sz w:val="22"/>
          <w:szCs w:val="22"/>
          <w:lang w:val="en-GB"/>
        </w:rPr>
        <w:t xml:space="preserve">. </w:t>
      </w:r>
    </w:p>
    <w:p w14:paraId="6579BF29" w14:textId="77777777" w:rsidR="00762364" w:rsidRDefault="00776D3A" w:rsidP="00F16F0A">
      <w:pPr>
        <w:spacing w:before="120" w:after="0" w:line="264" w:lineRule="auto"/>
        <w:jc w:val="both"/>
        <w:rPr>
          <w:rFonts w:eastAsia="Times New Roman" w:cs="Times New Roman"/>
          <w:sz w:val="22"/>
          <w:szCs w:val="22"/>
          <w:lang w:val="en-GB"/>
        </w:rPr>
      </w:pPr>
      <w:r>
        <w:rPr>
          <w:rFonts w:eastAsia="Times New Roman" w:cs="Times New Roman"/>
          <w:sz w:val="22"/>
          <w:szCs w:val="22"/>
          <w:lang w:val="en-GB"/>
        </w:rPr>
        <w:t>C</w:t>
      </w:r>
      <w:r w:rsidR="00762364">
        <w:rPr>
          <w:rFonts w:eastAsia="Times New Roman" w:cs="Times New Roman"/>
          <w:sz w:val="22"/>
          <w:szCs w:val="22"/>
          <w:lang w:val="en-GB"/>
        </w:rPr>
        <w:t xml:space="preserve">oherence </w:t>
      </w:r>
      <w:r>
        <w:rPr>
          <w:rFonts w:eastAsia="Times New Roman" w:cs="Times New Roman"/>
          <w:sz w:val="22"/>
          <w:szCs w:val="22"/>
          <w:lang w:val="en-GB"/>
        </w:rPr>
        <w:t xml:space="preserve">of the programme strategy </w:t>
      </w:r>
      <w:r w:rsidR="00762364">
        <w:rPr>
          <w:rFonts w:eastAsia="Times New Roman" w:cs="Times New Roman"/>
          <w:sz w:val="22"/>
          <w:szCs w:val="22"/>
          <w:lang w:val="en-GB"/>
        </w:rPr>
        <w:t>with national and regional strategies</w:t>
      </w:r>
      <w:r>
        <w:rPr>
          <w:rFonts w:eastAsia="Times New Roman" w:cs="Times New Roman"/>
          <w:sz w:val="22"/>
          <w:szCs w:val="22"/>
          <w:lang w:val="en-GB"/>
        </w:rPr>
        <w:t xml:space="preserve"> has been ensured</w:t>
      </w:r>
      <w:r w:rsidR="00762364">
        <w:rPr>
          <w:rFonts w:eastAsia="Times New Roman" w:cs="Times New Roman"/>
          <w:sz w:val="22"/>
          <w:szCs w:val="22"/>
          <w:lang w:val="en-GB"/>
        </w:rPr>
        <w:t xml:space="preserve"> through extensive stakeholders consultations</w:t>
      </w:r>
      <w:r>
        <w:rPr>
          <w:rFonts w:eastAsia="Times New Roman" w:cs="Times New Roman"/>
          <w:sz w:val="22"/>
          <w:szCs w:val="22"/>
          <w:lang w:val="en-GB"/>
        </w:rPr>
        <w:t xml:space="preserve"> at national and regional levels</w:t>
      </w:r>
      <w:r w:rsidR="00C17C75">
        <w:rPr>
          <w:rStyle w:val="FootnoteReference"/>
          <w:rFonts w:eastAsia="Times New Roman" w:cs="Times New Roman"/>
          <w:sz w:val="22"/>
          <w:szCs w:val="22"/>
          <w:lang w:val="en-GB"/>
        </w:rPr>
        <w:footnoteReference w:id="82"/>
      </w:r>
      <w:r w:rsidR="00762364">
        <w:rPr>
          <w:rFonts w:eastAsia="Times New Roman" w:cs="Times New Roman"/>
          <w:sz w:val="22"/>
          <w:szCs w:val="22"/>
          <w:lang w:val="en-GB"/>
        </w:rPr>
        <w:t>.</w:t>
      </w:r>
      <w:r w:rsidR="0017746F">
        <w:rPr>
          <w:rFonts w:eastAsia="Times New Roman" w:cs="Times New Roman"/>
          <w:sz w:val="22"/>
          <w:szCs w:val="22"/>
          <w:lang w:val="en-GB"/>
        </w:rPr>
        <w:t xml:space="preserve"> </w:t>
      </w:r>
      <w:r w:rsidR="00762364">
        <w:rPr>
          <w:rFonts w:eastAsia="Times New Roman" w:cs="Times New Roman"/>
          <w:sz w:val="22"/>
          <w:szCs w:val="22"/>
          <w:lang w:val="en-GB"/>
        </w:rPr>
        <w:t xml:space="preserve">The </w:t>
      </w:r>
      <w:r w:rsidR="00A2601A">
        <w:rPr>
          <w:rFonts w:eastAsia="Times New Roman" w:cs="Times New Roman"/>
          <w:sz w:val="22"/>
          <w:szCs w:val="22"/>
          <w:lang w:val="en-GB"/>
        </w:rPr>
        <w:t>socio-</w:t>
      </w:r>
      <w:proofErr w:type="spellStart"/>
      <w:r w:rsidR="00A2601A">
        <w:rPr>
          <w:rFonts w:eastAsia="Times New Roman" w:cs="Times New Roman"/>
          <w:sz w:val="22"/>
          <w:szCs w:val="22"/>
          <w:lang w:val="en-GB"/>
        </w:rPr>
        <w:t>eon</w:t>
      </w:r>
      <w:r w:rsidR="00D521BE">
        <w:rPr>
          <w:rFonts w:eastAsia="Times New Roman" w:cs="Times New Roman"/>
          <w:sz w:val="22"/>
          <w:szCs w:val="22"/>
          <w:lang w:val="en-GB"/>
        </w:rPr>
        <w:t>omic</w:t>
      </w:r>
      <w:proofErr w:type="spellEnd"/>
      <w:r w:rsidR="00D521BE">
        <w:rPr>
          <w:rFonts w:eastAsia="Times New Roman" w:cs="Times New Roman"/>
          <w:sz w:val="22"/>
          <w:szCs w:val="22"/>
          <w:lang w:val="en-GB"/>
        </w:rPr>
        <w:t xml:space="preserve"> analysis </w:t>
      </w:r>
      <w:r w:rsidR="0017746F">
        <w:rPr>
          <w:rFonts w:eastAsia="Times New Roman" w:cs="Times New Roman"/>
          <w:sz w:val="22"/>
          <w:szCs w:val="22"/>
          <w:lang w:val="en-GB"/>
        </w:rPr>
        <w:t>has</w:t>
      </w:r>
      <w:r w:rsidR="00383BF5">
        <w:rPr>
          <w:rFonts w:eastAsia="Times New Roman" w:cs="Times New Roman"/>
          <w:sz w:val="22"/>
          <w:szCs w:val="22"/>
          <w:lang w:val="en-GB"/>
        </w:rPr>
        <w:t xml:space="preserve"> </w:t>
      </w:r>
      <w:r w:rsidR="00341A70">
        <w:rPr>
          <w:rFonts w:eastAsia="Times New Roman" w:cs="Times New Roman"/>
          <w:sz w:val="22"/>
          <w:szCs w:val="22"/>
          <w:lang w:val="en-GB"/>
        </w:rPr>
        <w:t>pointed out for key</w:t>
      </w:r>
      <w:r w:rsidR="00DE4B28">
        <w:rPr>
          <w:rFonts w:eastAsia="Times New Roman" w:cs="Times New Roman"/>
          <w:sz w:val="22"/>
          <w:szCs w:val="22"/>
          <w:lang w:val="en-GB"/>
        </w:rPr>
        <w:t xml:space="preserve"> sectors </w:t>
      </w:r>
      <w:r w:rsidR="00CB54C8">
        <w:rPr>
          <w:rFonts w:eastAsia="Times New Roman" w:cs="Times New Roman"/>
          <w:sz w:val="22"/>
          <w:szCs w:val="22"/>
          <w:lang w:val="en-GB"/>
        </w:rPr>
        <w:t xml:space="preserve">the </w:t>
      </w:r>
      <w:r w:rsidR="00DE4B28">
        <w:rPr>
          <w:rFonts w:eastAsia="Times New Roman" w:cs="Times New Roman"/>
          <w:sz w:val="22"/>
          <w:szCs w:val="22"/>
          <w:lang w:val="en-GB"/>
        </w:rPr>
        <w:t xml:space="preserve">existing regional cooperation </w:t>
      </w:r>
      <w:r w:rsidR="00F430F5">
        <w:rPr>
          <w:rFonts w:eastAsia="Times New Roman" w:cs="Times New Roman"/>
          <w:sz w:val="22"/>
          <w:szCs w:val="22"/>
          <w:lang w:val="en-GB"/>
        </w:rPr>
        <w:t>frameworks</w:t>
      </w:r>
      <w:r w:rsidR="00341A70">
        <w:rPr>
          <w:rFonts w:eastAsia="Times New Roman" w:cs="Times New Roman"/>
          <w:sz w:val="22"/>
          <w:szCs w:val="22"/>
          <w:lang w:val="en-GB"/>
        </w:rPr>
        <w:t>,</w:t>
      </w:r>
      <w:r w:rsidR="00F430F5">
        <w:rPr>
          <w:rFonts w:eastAsia="Times New Roman" w:cs="Times New Roman"/>
          <w:sz w:val="22"/>
          <w:szCs w:val="22"/>
          <w:lang w:val="en-GB"/>
        </w:rPr>
        <w:t xml:space="preserve"> where</w:t>
      </w:r>
      <w:r w:rsidR="00DE4B28">
        <w:rPr>
          <w:rFonts w:eastAsia="Times New Roman" w:cs="Times New Roman"/>
          <w:sz w:val="22"/>
          <w:szCs w:val="22"/>
          <w:lang w:val="en-GB"/>
        </w:rPr>
        <w:t xml:space="preserve"> relevant</w:t>
      </w:r>
      <w:r w:rsidR="00777C5A">
        <w:rPr>
          <w:rStyle w:val="FootnoteReference"/>
          <w:rFonts w:eastAsia="Times New Roman" w:cs="Times New Roman"/>
          <w:sz w:val="22"/>
          <w:szCs w:val="22"/>
          <w:lang w:val="en-GB"/>
        </w:rPr>
        <w:footnoteReference w:id="83"/>
      </w:r>
      <w:r w:rsidR="00DE4B28">
        <w:rPr>
          <w:rFonts w:eastAsia="Times New Roman" w:cs="Times New Roman"/>
          <w:sz w:val="22"/>
          <w:szCs w:val="22"/>
          <w:lang w:val="en-GB"/>
        </w:rPr>
        <w:t>.</w:t>
      </w:r>
    </w:p>
    <w:p w14:paraId="0AA76B41" w14:textId="77777777" w:rsidR="00F16F0A" w:rsidRPr="00FB2C75" w:rsidRDefault="00F16F0A" w:rsidP="00F16F0A">
      <w:pPr>
        <w:spacing w:before="120" w:after="0" w:line="264" w:lineRule="auto"/>
        <w:jc w:val="both"/>
        <w:rPr>
          <w:rFonts w:eastAsia="Times New Roman" w:cs="Times New Roman"/>
          <w:sz w:val="22"/>
          <w:szCs w:val="22"/>
          <w:lang w:val="en-GB"/>
        </w:rPr>
      </w:pPr>
      <w:r w:rsidRPr="00FB2C75">
        <w:rPr>
          <w:rFonts w:eastAsia="Times New Roman" w:cs="Times New Roman"/>
          <w:b/>
          <w:sz w:val="22"/>
          <w:szCs w:val="22"/>
          <w:lang w:val="en-GB"/>
        </w:rPr>
        <w:t>Complementarity of support</w:t>
      </w:r>
      <w:r w:rsidRPr="00F12F35">
        <w:rPr>
          <w:rFonts w:eastAsia="Times New Roman" w:cs="Times New Roman"/>
          <w:sz w:val="22"/>
          <w:szCs w:val="22"/>
          <w:lang w:val="en-GB"/>
        </w:rPr>
        <w:t xml:space="preserve"> is essential to ensure the best </w:t>
      </w:r>
      <w:r w:rsidR="00C114D1">
        <w:rPr>
          <w:rFonts w:eastAsia="Times New Roman" w:cs="Times New Roman"/>
          <w:sz w:val="22"/>
          <w:szCs w:val="22"/>
          <w:lang w:val="en-GB"/>
        </w:rPr>
        <w:t>use of resources and the greatest</w:t>
      </w:r>
      <w:r w:rsidRPr="00F12F35">
        <w:rPr>
          <w:rFonts w:eastAsia="Times New Roman" w:cs="Times New Roman"/>
          <w:sz w:val="22"/>
          <w:szCs w:val="22"/>
          <w:lang w:val="en-GB"/>
        </w:rPr>
        <w:t xml:space="preserve"> results for the eligible regions and stakeholders. </w:t>
      </w:r>
      <w:r>
        <w:rPr>
          <w:rFonts w:eastAsia="Times New Roman" w:cs="Times New Roman"/>
          <w:sz w:val="22"/>
          <w:szCs w:val="22"/>
          <w:lang w:val="en-GB"/>
        </w:rPr>
        <w:t xml:space="preserve">Beyond </w:t>
      </w:r>
      <w:r w:rsidR="00E619B9">
        <w:rPr>
          <w:rFonts w:eastAsia="Times New Roman" w:cs="Times New Roman"/>
          <w:sz w:val="22"/>
          <w:szCs w:val="22"/>
          <w:lang w:val="en-GB"/>
        </w:rPr>
        <w:t>ensuring</w:t>
      </w:r>
      <w:r w:rsidR="00987F80">
        <w:rPr>
          <w:rFonts w:eastAsia="Times New Roman" w:cs="Times New Roman"/>
          <w:sz w:val="22"/>
          <w:szCs w:val="22"/>
          <w:lang w:val="en-GB"/>
        </w:rPr>
        <w:t xml:space="preserve"> further</w:t>
      </w:r>
      <w:r w:rsidR="00E619B9">
        <w:rPr>
          <w:rFonts w:eastAsia="Times New Roman" w:cs="Times New Roman"/>
          <w:sz w:val="22"/>
          <w:szCs w:val="22"/>
          <w:lang w:val="en-GB"/>
        </w:rPr>
        <w:t xml:space="preserve"> consistency </w:t>
      </w:r>
      <w:r>
        <w:rPr>
          <w:rFonts w:eastAsia="Times New Roman" w:cs="Times New Roman"/>
          <w:sz w:val="22"/>
          <w:szCs w:val="22"/>
          <w:lang w:val="en-GB"/>
        </w:rPr>
        <w:t>with other initiatives supported by the EU or at regional/national level</w:t>
      </w:r>
      <w:r w:rsidR="00B40CE8">
        <w:rPr>
          <w:rFonts w:eastAsia="Times New Roman" w:cs="Times New Roman"/>
          <w:sz w:val="22"/>
          <w:szCs w:val="22"/>
          <w:lang w:val="en-GB"/>
        </w:rPr>
        <w:t xml:space="preserve"> during programme implementation</w:t>
      </w:r>
      <w:r>
        <w:rPr>
          <w:rFonts w:eastAsia="Times New Roman" w:cs="Times New Roman"/>
          <w:sz w:val="22"/>
          <w:szCs w:val="22"/>
          <w:lang w:val="en-GB"/>
        </w:rPr>
        <w:t xml:space="preserve">, the BSB programme will also look for complementarities </w:t>
      </w:r>
      <w:r w:rsidRPr="00FB2C75">
        <w:rPr>
          <w:rFonts w:eastAsia="Times New Roman" w:cs="Times New Roman"/>
          <w:sz w:val="22"/>
          <w:szCs w:val="22"/>
          <w:lang w:val="en-GB"/>
        </w:rPr>
        <w:t xml:space="preserve">with other </w:t>
      </w:r>
      <w:r>
        <w:rPr>
          <w:rFonts w:eastAsia="Times New Roman" w:cs="Times New Roman"/>
          <w:sz w:val="22"/>
          <w:szCs w:val="22"/>
          <w:lang w:val="en-GB"/>
        </w:rPr>
        <w:t>key</w:t>
      </w:r>
      <w:r w:rsidRPr="00FB2C75">
        <w:rPr>
          <w:rFonts w:eastAsia="Times New Roman" w:cs="Times New Roman"/>
          <w:sz w:val="22"/>
          <w:szCs w:val="22"/>
          <w:lang w:val="en-GB"/>
        </w:rPr>
        <w:t xml:space="preserve"> cooperat</w:t>
      </w:r>
      <w:r>
        <w:rPr>
          <w:rFonts w:eastAsia="Times New Roman" w:cs="Times New Roman"/>
          <w:sz w:val="22"/>
          <w:szCs w:val="22"/>
          <w:lang w:val="en-GB"/>
        </w:rPr>
        <w:t>ion frameworks within</w:t>
      </w:r>
      <w:r w:rsidR="00E619B9">
        <w:rPr>
          <w:rFonts w:eastAsia="Times New Roman" w:cs="Times New Roman"/>
          <w:sz w:val="22"/>
          <w:szCs w:val="22"/>
          <w:lang w:val="en-GB"/>
        </w:rPr>
        <w:t xml:space="preserve"> the</w:t>
      </w:r>
      <w:r w:rsidRPr="00FB2C75">
        <w:rPr>
          <w:rFonts w:eastAsia="Times New Roman" w:cs="Times New Roman"/>
          <w:sz w:val="22"/>
          <w:szCs w:val="22"/>
          <w:lang w:val="en-GB"/>
        </w:rPr>
        <w:t xml:space="preserve"> BSB</w:t>
      </w:r>
      <w:r w:rsidR="00E619B9">
        <w:rPr>
          <w:rFonts w:eastAsia="Times New Roman" w:cs="Times New Roman"/>
          <w:sz w:val="22"/>
          <w:szCs w:val="22"/>
          <w:lang w:val="en-GB"/>
        </w:rPr>
        <w:t xml:space="preserve"> region</w:t>
      </w:r>
      <w:r>
        <w:rPr>
          <w:rFonts w:eastAsia="Times New Roman" w:cs="Times New Roman"/>
          <w:sz w:val="22"/>
          <w:szCs w:val="22"/>
          <w:lang w:val="en-GB"/>
        </w:rPr>
        <w:t xml:space="preserve"> and </w:t>
      </w:r>
      <w:r w:rsidR="00053A18">
        <w:rPr>
          <w:rFonts w:eastAsia="Times New Roman" w:cs="Times New Roman"/>
          <w:sz w:val="22"/>
          <w:szCs w:val="22"/>
          <w:lang w:val="en-GB"/>
        </w:rPr>
        <w:t xml:space="preserve">by </w:t>
      </w:r>
      <w:r>
        <w:rPr>
          <w:rFonts w:eastAsia="Times New Roman" w:cs="Times New Roman"/>
          <w:sz w:val="22"/>
          <w:szCs w:val="22"/>
          <w:lang w:val="en-GB"/>
        </w:rPr>
        <w:t>other donors</w:t>
      </w:r>
      <w:r w:rsidRPr="00FB2C75">
        <w:rPr>
          <w:rFonts w:eastAsia="Times New Roman" w:cs="Times New Roman"/>
          <w:sz w:val="22"/>
          <w:szCs w:val="22"/>
          <w:lang w:val="en-GB"/>
        </w:rPr>
        <w:t>, most notably:</w:t>
      </w:r>
    </w:p>
    <w:p w14:paraId="53CA4A8B" w14:textId="77777777" w:rsidR="00F16F0A" w:rsidRPr="004919D2" w:rsidRDefault="00F16F0A" w:rsidP="0057521E">
      <w:pPr>
        <w:pStyle w:val="ListParagraph"/>
        <w:widowControl w:val="0"/>
        <w:numPr>
          <w:ilvl w:val="0"/>
          <w:numId w:val="16"/>
        </w:numPr>
        <w:autoSpaceDE w:val="0"/>
        <w:autoSpaceDN w:val="0"/>
        <w:adjustRightInd w:val="0"/>
        <w:spacing w:before="120" w:after="120" w:line="264" w:lineRule="auto"/>
        <w:ind w:left="714" w:hanging="357"/>
        <w:contextualSpacing w:val="0"/>
        <w:jc w:val="both"/>
        <w:rPr>
          <w:rFonts w:cs="Times New Roman"/>
          <w:sz w:val="22"/>
          <w:szCs w:val="22"/>
          <w:lang w:val="en-GB"/>
        </w:rPr>
      </w:pPr>
      <w:r w:rsidRPr="00327AD1">
        <w:rPr>
          <w:rFonts w:cs="Times New Roman"/>
          <w:sz w:val="22"/>
          <w:szCs w:val="22"/>
          <w:lang w:val="en-GB"/>
        </w:rPr>
        <w:lastRenderedPageBreak/>
        <w:t xml:space="preserve">The </w:t>
      </w:r>
      <w:r w:rsidRPr="00607B39">
        <w:rPr>
          <w:rFonts w:cs="Times New Roman"/>
          <w:b/>
          <w:sz w:val="22"/>
          <w:szCs w:val="22"/>
          <w:lang w:val="en-GB"/>
        </w:rPr>
        <w:t>Organization of the Black Sea Economic Cooperation (BSEC)</w:t>
      </w:r>
      <w:r w:rsidRPr="00607B39">
        <w:rPr>
          <w:rFonts w:cs="Times New Roman"/>
          <w:sz w:val="22"/>
          <w:szCs w:val="22"/>
          <w:lang w:val="en-GB"/>
        </w:rPr>
        <w:t>,</w:t>
      </w:r>
      <w:r>
        <w:rPr>
          <w:rFonts w:cs="Times New Roman"/>
          <w:sz w:val="22"/>
          <w:szCs w:val="22"/>
          <w:lang w:val="en-GB"/>
        </w:rPr>
        <w:t xml:space="preserve"> created in 1992, which has a</w:t>
      </w:r>
      <w:r w:rsidRPr="00327AD1">
        <w:rPr>
          <w:rFonts w:cs="Times New Roman"/>
          <w:sz w:val="22"/>
          <w:szCs w:val="22"/>
          <w:lang w:val="en-GB"/>
        </w:rPr>
        <w:t xml:space="preserve"> larger regional scope than </w:t>
      </w:r>
      <w:r>
        <w:rPr>
          <w:rFonts w:cs="Times New Roman"/>
          <w:sz w:val="22"/>
          <w:szCs w:val="22"/>
          <w:lang w:val="en-GB"/>
        </w:rPr>
        <w:t>the BSB</w:t>
      </w:r>
      <w:r w:rsidR="00E86E9A">
        <w:rPr>
          <w:rFonts w:cs="Times New Roman"/>
          <w:sz w:val="22"/>
          <w:szCs w:val="22"/>
          <w:lang w:val="en-GB"/>
        </w:rPr>
        <w:t xml:space="preserve"> programme</w:t>
      </w:r>
      <w:r w:rsidRPr="00327AD1">
        <w:rPr>
          <w:rFonts w:cs="Times New Roman"/>
          <w:sz w:val="22"/>
          <w:szCs w:val="22"/>
          <w:lang w:val="en-GB"/>
        </w:rPr>
        <w:t xml:space="preserve"> as it brings together</w:t>
      </w:r>
      <w:r>
        <w:rPr>
          <w:rFonts w:cs="Times New Roman"/>
          <w:sz w:val="22"/>
          <w:szCs w:val="22"/>
          <w:lang w:val="en-GB"/>
        </w:rPr>
        <w:t xml:space="preserve"> the BSB programme participating countries, as well as Albania and Serbia. </w:t>
      </w:r>
      <w:r w:rsidRPr="004919D2">
        <w:rPr>
          <w:rFonts w:cs="Times New Roman"/>
          <w:sz w:val="22"/>
          <w:szCs w:val="22"/>
          <w:lang w:val="en-GB"/>
        </w:rPr>
        <w:t>BSEC has a permanent Secretariat in Istanbul, a Parliamentary Assembly adopting recommendations, and a Business Council. The main financial pillar of BSEC is the Black Sea Trade and Development</w:t>
      </w:r>
      <w:r w:rsidR="00E86E9A">
        <w:rPr>
          <w:rFonts w:cs="Times New Roman"/>
          <w:sz w:val="22"/>
          <w:szCs w:val="22"/>
          <w:lang w:val="en-GB"/>
        </w:rPr>
        <w:t xml:space="preserve"> Bank based in Thessaloniki</w:t>
      </w:r>
      <w:r w:rsidR="00CA22F0">
        <w:rPr>
          <w:rFonts w:cs="Times New Roman"/>
          <w:sz w:val="22"/>
          <w:szCs w:val="22"/>
          <w:lang w:val="en-GB"/>
        </w:rPr>
        <w:t>,</w:t>
      </w:r>
      <w:r w:rsidR="00E86E9A">
        <w:rPr>
          <w:rFonts w:cs="Times New Roman"/>
          <w:sz w:val="22"/>
          <w:szCs w:val="22"/>
          <w:lang w:val="en-GB"/>
        </w:rPr>
        <w:t xml:space="preserve"> which</w:t>
      </w:r>
      <w:r w:rsidRPr="004919D2">
        <w:rPr>
          <w:rFonts w:cs="Times New Roman"/>
          <w:sz w:val="22"/>
          <w:szCs w:val="22"/>
          <w:lang w:val="en-GB"/>
        </w:rPr>
        <w:t xml:space="preserve"> supports economic development and regional cooperation. The International Centre for Black Sea Studies (ICBSS), based in Athens, is a regional think-tank associated with BSEC, which has notably developed a B</w:t>
      </w:r>
      <w:r w:rsidR="009E4185">
        <w:rPr>
          <w:rFonts w:cs="Times New Roman"/>
          <w:sz w:val="22"/>
          <w:szCs w:val="22"/>
          <w:lang w:val="en-GB"/>
        </w:rPr>
        <w:t>lack Sea Research Network that aims</w:t>
      </w:r>
      <w:r w:rsidRPr="004919D2">
        <w:rPr>
          <w:rFonts w:cs="Times New Roman"/>
          <w:sz w:val="22"/>
          <w:szCs w:val="22"/>
          <w:lang w:val="en-GB"/>
        </w:rPr>
        <w:t xml:space="preserve"> to exchange views and practices among research institutes. </w:t>
      </w:r>
      <w:r>
        <w:rPr>
          <w:rFonts w:cs="Times New Roman"/>
          <w:sz w:val="22"/>
          <w:szCs w:val="22"/>
          <w:lang w:val="en-GB"/>
        </w:rPr>
        <w:t>Co</w:t>
      </w:r>
      <w:r w:rsidR="00CA22F0">
        <w:rPr>
          <w:rFonts w:cs="Times New Roman"/>
          <w:sz w:val="22"/>
          <w:szCs w:val="22"/>
          <w:lang w:val="en-GB"/>
        </w:rPr>
        <w:t>untries cooperate within BSEC in various fields</w:t>
      </w:r>
      <w:r>
        <w:rPr>
          <w:rFonts w:cs="Times New Roman"/>
          <w:sz w:val="22"/>
          <w:szCs w:val="22"/>
          <w:lang w:val="en-GB"/>
        </w:rPr>
        <w:t xml:space="preserve"> including</w:t>
      </w:r>
      <w:r w:rsidR="00CA22F0">
        <w:rPr>
          <w:rFonts w:cs="Times New Roman"/>
          <w:sz w:val="22"/>
          <w:szCs w:val="22"/>
          <w:lang w:val="en-GB"/>
        </w:rPr>
        <w:t>,</w:t>
      </w:r>
      <w:r>
        <w:rPr>
          <w:rFonts w:cs="Times New Roman"/>
          <w:sz w:val="22"/>
          <w:szCs w:val="22"/>
          <w:lang w:val="en-GB"/>
        </w:rPr>
        <w:t xml:space="preserve"> most relevant for complementarities and synergies with BSB programme</w:t>
      </w:r>
      <w:r w:rsidR="007A6999">
        <w:rPr>
          <w:rFonts w:cs="Times New Roman"/>
          <w:sz w:val="22"/>
          <w:szCs w:val="22"/>
          <w:lang w:val="en-GB"/>
        </w:rPr>
        <w:t>,</w:t>
      </w:r>
      <w:r>
        <w:rPr>
          <w:rFonts w:cs="Times New Roman"/>
          <w:sz w:val="22"/>
          <w:szCs w:val="22"/>
          <w:lang w:val="en-GB"/>
        </w:rPr>
        <w:t xml:space="preserve"> the areas of tourism, agriculture and environmental protection.</w:t>
      </w:r>
    </w:p>
    <w:p w14:paraId="129A9D9A" w14:textId="77777777" w:rsidR="00F16F0A" w:rsidRDefault="00F16F0A" w:rsidP="00EE745F">
      <w:pPr>
        <w:pStyle w:val="ListParagraph"/>
        <w:widowControl w:val="0"/>
        <w:numPr>
          <w:ilvl w:val="0"/>
          <w:numId w:val="16"/>
        </w:numPr>
        <w:autoSpaceDE w:val="0"/>
        <w:autoSpaceDN w:val="0"/>
        <w:adjustRightInd w:val="0"/>
        <w:spacing w:line="264" w:lineRule="auto"/>
        <w:jc w:val="both"/>
        <w:rPr>
          <w:rFonts w:cs="Times New Roman"/>
          <w:sz w:val="22"/>
          <w:szCs w:val="22"/>
          <w:lang w:val="en-GB"/>
        </w:rPr>
      </w:pPr>
      <w:r w:rsidRPr="00186618">
        <w:rPr>
          <w:rFonts w:cs="Times New Roman"/>
          <w:sz w:val="22"/>
          <w:szCs w:val="22"/>
          <w:lang w:val="en-GB"/>
        </w:rPr>
        <w:t xml:space="preserve">The </w:t>
      </w:r>
      <w:r w:rsidRPr="00186618">
        <w:rPr>
          <w:rFonts w:cs="Times New Roman"/>
          <w:b/>
          <w:sz w:val="22"/>
          <w:szCs w:val="22"/>
          <w:lang w:val="en-GB"/>
        </w:rPr>
        <w:t>Commission for the Protection of the Black Sea</w:t>
      </w:r>
      <w:r w:rsidRPr="00186618">
        <w:rPr>
          <w:rFonts w:cs="Times New Roman"/>
          <w:sz w:val="22"/>
          <w:szCs w:val="22"/>
          <w:lang w:val="en-GB"/>
        </w:rPr>
        <w:t xml:space="preserve"> </w:t>
      </w:r>
      <w:r w:rsidR="00B42BEA">
        <w:rPr>
          <w:rFonts w:cs="Times New Roman"/>
          <w:b/>
          <w:sz w:val="22"/>
          <w:szCs w:val="22"/>
          <w:lang w:val="en-GB"/>
        </w:rPr>
        <w:t>a</w:t>
      </w:r>
      <w:r w:rsidRPr="00186618">
        <w:rPr>
          <w:rFonts w:cs="Times New Roman"/>
          <w:b/>
          <w:sz w:val="22"/>
          <w:szCs w:val="22"/>
          <w:lang w:val="en-GB"/>
        </w:rPr>
        <w:t>gainst Pollution (BSC),</w:t>
      </w:r>
      <w:r w:rsidRPr="00186618">
        <w:rPr>
          <w:rFonts w:cs="Times New Roman"/>
          <w:sz w:val="22"/>
          <w:szCs w:val="22"/>
          <w:lang w:val="en-GB"/>
        </w:rPr>
        <w:t xml:space="preserve"> with a permanent Secretariat in Istanbul, acts as the coordinating mechanism for the implementation of the Convention on the Protection of </w:t>
      </w:r>
      <w:r w:rsidR="00B42BEA">
        <w:rPr>
          <w:rFonts w:cs="Times New Roman"/>
          <w:sz w:val="22"/>
          <w:szCs w:val="22"/>
          <w:lang w:val="en-GB"/>
        </w:rPr>
        <w:t>the Black Sea against pollution and was</w:t>
      </w:r>
      <w:r w:rsidRPr="00186618">
        <w:rPr>
          <w:rFonts w:cs="Times New Roman"/>
          <w:sz w:val="22"/>
          <w:szCs w:val="22"/>
          <w:lang w:val="en-GB"/>
        </w:rPr>
        <w:t xml:space="preserve"> adopted in 1992 by six countries</w:t>
      </w:r>
      <w:r>
        <w:rPr>
          <w:rFonts w:cs="Times New Roman"/>
          <w:sz w:val="22"/>
          <w:szCs w:val="22"/>
          <w:lang w:val="en-GB"/>
        </w:rPr>
        <w:t>:</w:t>
      </w:r>
      <w:r w:rsidRPr="00186618">
        <w:rPr>
          <w:rFonts w:cs="Times New Roman"/>
          <w:sz w:val="22"/>
          <w:szCs w:val="22"/>
          <w:lang w:val="en-GB"/>
        </w:rPr>
        <w:t xml:space="preserve"> </w:t>
      </w:r>
      <w:r w:rsidRPr="002002EA">
        <w:rPr>
          <w:rFonts w:eastAsia="Times New Roman" w:cs="Times New Roman"/>
          <w:sz w:val="22"/>
          <w:szCs w:val="22"/>
          <w:lang w:val="en-GB"/>
        </w:rPr>
        <w:t>Bulgaria, Georgia, Romania, Russian Federation, Turkey and Ukraine. BSC implements the</w:t>
      </w:r>
      <w:r w:rsidRPr="00186618">
        <w:rPr>
          <w:rFonts w:cs="Times New Roman"/>
          <w:sz w:val="22"/>
          <w:szCs w:val="22"/>
          <w:lang w:val="en-GB"/>
        </w:rPr>
        <w:t xml:space="preserve"> Black Sea Strategic Action Plan for the environmental protection and rehabilitation of the Black Sea (updated in 2009). The BSB programme will build upon the experience accumulated</w:t>
      </w:r>
      <w:r>
        <w:rPr>
          <w:rFonts w:cs="Times New Roman"/>
          <w:sz w:val="22"/>
          <w:szCs w:val="22"/>
          <w:lang w:val="en-GB"/>
        </w:rPr>
        <w:t xml:space="preserve"> within BSC and look for synergies with its</w:t>
      </w:r>
      <w:r w:rsidRPr="00186618">
        <w:rPr>
          <w:rFonts w:cs="Times New Roman"/>
          <w:sz w:val="22"/>
          <w:szCs w:val="22"/>
          <w:lang w:val="en-GB"/>
        </w:rPr>
        <w:t xml:space="preserve"> ong</w:t>
      </w:r>
      <w:r>
        <w:rPr>
          <w:rFonts w:cs="Times New Roman"/>
          <w:sz w:val="22"/>
          <w:szCs w:val="22"/>
          <w:lang w:val="en-GB"/>
        </w:rPr>
        <w:t>oing activities, in particular</w:t>
      </w:r>
      <w:r w:rsidRPr="00186618">
        <w:rPr>
          <w:rFonts w:cs="Times New Roman"/>
          <w:sz w:val="22"/>
          <w:szCs w:val="22"/>
          <w:lang w:val="en-GB"/>
        </w:rPr>
        <w:t xml:space="preserve"> under Priority 2.1 </w:t>
      </w:r>
      <w:r w:rsidRPr="00186618">
        <w:rPr>
          <w:rFonts w:cs="Times New Roman"/>
          <w:i/>
          <w:sz w:val="22"/>
          <w:szCs w:val="22"/>
          <w:lang w:val="en-GB"/>
        </w:rPr>
        <w:t>Improve joint environmental monitoring</w:t>
      </w:r>
      <w:r>
        <w:rPr>
          <w:rFonts w:cs="Times New Roman"/>
          <w:sz w:val="22"/>
          <w:szCs w:val="22"/>
          <w:lang w:val="en-GB"/>
        </w:rPr>
        <w:t xml:space="preserve">, but also </w:t>
      </w:r>
      <w:r w:rsidRPr="00186618">
        <w:rPr>
          <w:rFonts w:cs="Times New Roman"/>
          <w:sz w:val="22"/>
          <w:szCs w:val="22"/>
          <w:lang w:val="en-GB"/>
        </w:rPr>
        <w:t xml:space="preserve">under Priority 2.2 </w:t>
      </w:r>
      <w:r w:rsidRPr="00186618">
        <w:rPr>
          <w:i/>
          <w:sz w:val="22"/>
          <w:szCs w:val="22"/>
          <w:lang w:val="en-GB"/>
        </w:rPr>
        <w:t>Promote common awareness-raising and joint actions to reduce river and marine litter</w:t>
      </w:r>
      <w:r w:rsidRPr="00186618">
        <w:rPr>
          <w:rFonts w:cs="Times New Roman"/>
          <w:sz w:val="22"/>
          <w:szCs w:val="22"/>
          <w:lang w:val="en-GB"/>
        </w:rPr>
        <w:t>.</w:t>
      </w:r>
    </w:p>
    <w:p w14:paraId="509CCE06" w14:textId="51C44F38" w:rsidR="00F16F0A" w:rsidRDefault="00F16F0A" w:rsidP="0057521E">
      <w:pPr>
        <w:pStyle w:val="ListParagraph"/>
        <w:widowControl w:val="0"/>
        <w:numPr>
          <w:ilvl w:val="0"/>
          <w:numId w:val="16"/>
        </w:numPr>
        <w:autoSpaceDE w:val="0"/>
        <w:autoSpaceDN w:val="0"/>
        <w:adjustRightInd w:val="0"/>
        <w:spacing w:before="120" w:line="264" w:lineRule="auto"/>
        <w:ind w:left="714" w:hanging="357"/>
        <w:contextualSpacing w:val="0"/>
        <w:jc w:val="both"/>
        <w:rPr>
          <w:rFonts w:cs="Times New Roman"/>
          <w:sz w:val="22"/>
          <w:szCs w:val="22"/>
          <w:lang w:val="en-GB"/>
        </w:rPr>
      </w:pPr>
      <w:r w:rsidRPr="00F843EF">
        <w:rPr>
          <w:rFonts w:cs="Times New Roman"/>
          <w:b/>
          <w:sz w:val="22"/>
          <w:szCs w:val="22"/>
          <w:lang w:val="en-GB"/>
        </w:rPr>
        <w:t>Other international donors</w:t>
      </w:r>
      <w:r w:rsidR="0009688E" w:rsidRPr="00F843EF">
        <w:rPr>
          <w:rFonts w:cs="Times New Roman"/>
          <w:sz w:val="22"/>
          <w:szCs w:val="22"/>
          <w:lang w:val="en-GB"/>
        </w:rPr>
        <w:t>,</w:t>
      </w:r>
      <w:r w:rsidR="00867260" w:rsidRPr="00F843EF">
        <w:rPr>
          <w:rFonts w:cs="Times New Roman"/>
          <w:sz w:val="22"/>
          <w:szCs w:val="22"/>
          <w:lang w:val="en-GB"/>
        </w:rPr>
        <w:t xml:space="preserve"> </w:t>
      </w:r>
      <w:r w:rsidR="00370EA0">
        <w:rPr>
          <w:rFonts w:cs="Times New Roman"/>
          <w:sz w:val="22"/>
          <w:szCs w:val="22"/>
          <w:lang w:val="en-GB"/>
        </w:rPr>
        <w:t>active mo</w:t>
      </w:r>
      <w:r w:rsidRPr="00F843EF">
        <w:rPr>
          <w:rFonts w:cs="Times New Roman"/>
          <w:sz w:val="22"/>
          <w:szCs w:val="22"/>
          <w:lang w:val="en-GB"/>
        </w:rPr>
        <w:t>s</w:t>
      </w:r>
      <w:r w:rsidR="00370EA0">
        <w:rPr>
          <w:rFonts w:cs="Times New Roman"/>
          <w:sz w:val="22"/>
          <w:szCs w:val="22"/>
          <w:lang w:val="en-GB"/>
        </w:rPr>
        <w:t>t</w:t>
      </w:r>
      <w:r w:rsidRPr="00F843EF">
        <w:rPr>
          <w:rFonts w:cs="Times New Roman"/>
          <w:sz w:val="22"/>
          <w:szCs w:val="22"/>
          <w:lang w:val="en-GB"/>
        </w:rPr>
        <w:t>ly in partne</w:t>
      </w:r>
      <w:r w:rsidR="00867260" w:rsidRPr="00F843EF">
        <w:rPr>
          <w:rFonts w:cs="Times New Roman"/>
          <w:sz w:val="22"/>
          <w:szCs w:val="22"/>
          <w:lang w:val="en-GB"/>
        </w:rPr>
        <w:t>r countries and supporting issues</w:t>
      </w:r>
      <w:r w:rsidRPr="00F843EF">
        <w:rPr>
          <w:rFonts w:cs="Times New Roman"/>
          <w:sz w:val="22"/>
          <w:szCs w:val="22"/>
          <w:lang w:val="en-GB"/>
        </w:rPr>
        <w:t xml:space="preserve"> included und</w:t>
      </w:r>
      <w:r w:rsidR="00867260" w:rsidRPr="00F843EF">
        <w:rPr>
          <w:rFonts w:cs="Times New Roman"/>
          <w:sz w:val="22"/>
          <w:szCs w:val="22"/>
          <w:lang w:val="en-GB"/>
        </w:rPr>
        <w:t>er O</w:t>
      </w:r>
      <w:r w:rsidRPr="00F843EF">
        <w:rPr>
          <w:rFonts w:cs="Times New Roman"/>
          <w:sz w:val="22"/>
          <w:szCs w:val="22"/>
          <w:lang w:val="en-GB"/>
        </w:rPr>
        <w:t>bjective</w:t>
      </w:r>
      <w:r w:rsidR="00867260" w:rsidRPr="00F843EF">
        <w:rPr>
          <w:rFonts w:cs="Times New Roman"/>
          <w:sz w:val="22"/>
          <w:szCs w:val="22"/>
          <w:lang w:val="en-GB"/>
        </w:rPr>
        <w:t>s</w:t>
      </w:r>
      <w:r w:rsidRPr="00F843EF">
        <w:rPr>
          <w:rFonts w:cs="Times New Roman"/>
          <w:sz w:val="22"/>
          <w:szCs w:val="22"/>
          <w:lang w:val="en-GB"/>
        </w:rPr>
        <w:t xml:space="preserve"> 1 and 2 of t</w:t>
      </w:r>
      <w:r w:rsidR="00715854" w:rsidRPr="00F843EF">
        <w:rPr>
          <w:rFonts w:cs="Times New Roman"/>
          <w:sz w:val="22"/>
          <w:szCs w:val="22"/>
          <w:lang w:val="en-GB"/>
        </w:rPr>
        <w:t xml:space="preserve">he BSB programme, notably </w:t>
      </w:r>
      <w:r w:rsidRPr="00F843EF">
        <w:rPr>
          <w:rFonts w:cs="Times New Roman"/>
          <w:sz w:val="22"/>
          <w:szCs w:val="22"/>
          <w:lang w:val="en-GB"/>
        </w:rPr>
        <w:t>United Nations Development Programme</w:t>
      </w:r>
      <w:r w:rsidR="00715854" w:rsidRPr="00F843EF">
        <w:rPr>
          <w:rFonts w:cs="Times New Roman"/>
          <w:sz w:val="22"/>
          <w:szCs w:val="22"/>
          <w:lang w:val="en-GB"/>
        </w:rPr>
        <w:t xml:space="preserve"> (UNDP), </w:t>
      </w:r>
      <w:r w:rsidRPr="00F843EF">
        <w:rPr>
          <w:rFonts w:cs="Times New Roman"/>
          <w:sz w:val="22"/>
          <w:szCs w:val="22"/>
          <w:lang w:val="en-GB"/>
        </w:rPr>
        <w:t xml:space="preserve">German </w:t>
      </w:r>
      <w:r w:rsidRPr="00F843EF">
        <w:rPr>
          <w:rStyle w:val="st"/>
          <w:rFonts w:eastAsia="Times New Roman" w:cs="Times New Roman"/>
          <w:sz w:val="22"/>
          <w:szCs w:val="22"/>
          <w:lang w:val="en-GB"/>
        </w:rPr>
        <w:t>Federal Enterprise for International Cooperation</w:t>
      </w:r>
      <w:r w:rsidR="00715854" w:rsidRPr="00F843EF">
        <w:rPr>
          <w:rStyle w:val="st"/>
          <w:rFonts w:eastAsia="Times New Roman" w:cs="Times New Roman"/>
          <w:sz w:val="22"/>
          <w:szCs w:val="22"/>
          <w:lang w:val="en-GB"/>
        </w:rPr>
        <w:t xml:space="preserve"> (GIZ</w:t>
      </w:r>
      <w:r w:rsidRPr="00F843EF">
        <w:rPr>
          <w:rStyle w:val="st"/>
          <w:rFonts w:eastAsia="Times New Roman" w:cs="Times New Roman"/>
          <w:sz w:val="22"/>
          <w:szCs w:val="22"/>
          <w:lang w:val="en-GB"/>
        </w:rPr>
        <w:t>)</w:t>
      </w:r>
      <w:r w:rsidRPr="00F843EF">
        <w:rPr>
          <w:rFonts w:cs="Times New Roman"/>
          <w:sz w:val="22"/>
          <w:szCs w:val="22"/>
          <w:lang w:val="en-GB"/>
        </w:rPr>
        <w:t xml:space="preserve">, </w:t>
      </w:r>
      <w:r w:rsidRPr="00F843EF">
        <w:rPr>
          <w:iCs/>
          <w:sz w:val="22"/>
          <w:szCs w:val="22"/>
          <w:lang w:val="en-GB"/>
        </w:rPr>
        <w:t>United States Agency for International</w:t>
      </w:r>
      <w:r w:rsidRPr="007112C8">
        <w:rPr>
          <w:iCs/>
          <w:sz w:val="22"/>
          <w:szCs w:val="22"/>
          <w:lang w:val="en-GB"/>
        </w:rPr>
        <w:t xml:space="preserve"> Development</w:t>
      </w:r>
      <w:r w:rsidR="003C351D">
        <w:rPr>
          <w:iCs/>
          <w:sz w:val="22"/>
          <w:szCs w:val="22"/>
          <w:lang w:val="en-GB"/>
        </w:rPr>
        <w:t xml:space="preserve"> (USAID</w:t>
      </w:r>
      <w:r w:rsidRPr="007112C8">
        <w:rPr>
          <w:iCs/>
          <w:sz w:val="22"/>
          <w:szCs w:val="22"/>
          <w:lang w:val="en-GB"/>
        </w:rPr>
        <w:t>)</w:t>
      </w:r>
      <w:r>
        <w:rPr>
          <w:i/>
          <w:iCs/>
          <w:sz w:val="22"/>
          <w:szCs w:val="22"/>
          <w:lang w:val="en-GB"/>
        </w:rPr>
        <w:t xml:space="preserve"> </w:t>
      </w:r>
      <w:r>
        <w:rPr>
          <w:rFonts w:cs="Times New Roman"/>
          <w:sz w:val="22"/>
          <w:szCs w:val="22"/>
          <w:lang w:val="en-GB"/>
        </w:rPr>
        <w:t>and the Global Environment Facility (GEF).</w:t>
      </w:r>
    </w:p>
    <w:p w14:paraId="2A98950C" w14:textId="77777777" w:rsidR="00F16F0A" w:rsidRPr="009E563E" w:rsidRDefault="00F16F0A" w:rsidP="00F16F0A">
      <w:pPr>
        <w:spacing w:before="120" w:after="0" w:line="264" w:lineRule="auto"/>
        <w:jc w:val="both"/>
        <w:rPr>
          <w:rFonts w:eastAsia="Times New Roman" w:cs="Times New Roman"/>
          <w:sz w:val="22"/>
          <w:szCs w:val="22"/>
          <w:lang w:val="en-GB"/>
        </w:rPr>
      </w:pPr>
      <w:r w:rsidRPr="009E563E">
        <w:rPr>
          <w:rFonts w:eastAsia="Times New Roman" w:cs="Times New Roman"/>
          <w:sz w:val="22"/>
          <w:szCs w:val="22"/>
          <w:lang w:val="en-GB"/>
        </w:rPr>
        <w:t>The BSB programme</w:t>
      </w:r>
      <w:r w:rsidR="00BB5D4F">
        <w:rPr>
          <w:rFonts w:eastAsia="Times New Roman" w:cs="Times New Roman"/>
          <w:sz w:val="22"/>
          <w:szCs w:val="22"/>
          <w:lang w:val="en-GB"/>
        </w:rPr>
        <w:t xml:space="preserve"> has a specific scope and focus</w:t>
      </w:r>
      <w:r w:rsidRPr="009E563E">
        <w:rPr>
          <w:rFonts w:eastAsia="Times New Roman" w:cs="Times New Roman"/>
          <w:sz w:val="22"/>
          <w:szCs w:val="22"/>
          <w:lang w:val="en-GB"/>
        </w:rPr>
        <w:t xml:space="preserve"> which</w:t>
      </w:r>
      <w:r w:rsidRPr="00F2608A">
        <w:rPr>
          <w:rFonts w:eastAsia="Times New Roman" w:cs="Times New Roman"/>
          <w:b/>
          <w:sz w:val="22"/>
          <w:szCs w:val="22"/>
          <w:lang w:val="en-GB"/>
        </w:rPr>
        <w:t xml:space="preserve"> adds value to existing cooperation frameworks and initiatives</w:t>
      </w:r>
      <w:r w:rsidR="004D408D">
        <w:rPr>
          <w:rFonts w:eastAsia="Times New Roman" w:cs="Times New Roman"/>
          <w:sz w:val="22"/>
          <w:szCs w:val="22"/>
          <w:lang w:val="en-GB"/>
        </w:rPr>
        <w:t>, due to the following</w:t>
      </w:r>
      <w:r w:rsidRPr="00374631">
        <w:rPr>
          <w:rFonts w:eastAsia="Times New Roman" w:cs="Times New Roman"/>
          <w:sz w:val="22"/>
          <w:szCs w:val="22"/>
          <w:lang w:val="en-GB"/>
        </w:rPr>
        <w:t>:</w:t>
      </w:r>
    </w:p>
    <w:p w14:paraId="3A9AB12C" w14:textId="77777777" w:rsidR="00F16F0A" w:rsidRPr="00F2608A" w:rsidRDefault="00F16F0A" w:rsidP="00CE7CC9">
      <w:pPr>
        <w:pStyle w:val="ListParagraph"/>
        <w:widowControl w:val="0"/>
        <w:numPr>
          <w:ilvl w:val="0"/>
          <w:numId w:val="16"/>
        </w:numPr>
        <w:autoSpaceDE w:val="0"/>
        <w:autoSpaceDN w:val="0"/>
        <w:adjustRightInd w:val="0"/>
        <w:spacing w:before="60" w:after="60" w:line="264" w:lineRule="auto"/>
        <w:ind w:left="714" w:hanging="357"/>
        <w:contextualSpacing w:val="0"/>
        <w:jc w:val="both"/>
        <w:rPr>
          <w:rFonts w:cs="Times New Roman"/>
          <w:sz w:val="22"/>
          <w:szCs w:val="22"/>
          <w:lang w:val="en-GB"/>
        </w:rPr>
      </w:pPr>
      <w:r w:rsidRPr="00F2608A">
        <w:rPr>
          <w:rFonts w:cs="Times New Roman"/>
          <w:sz w:val="22"/>
          <w:szCs w:val="22"/>
          <w:lang w:val="en-GB"/>
        </w:rPr>
        <w:t>Eligibility of project partners is based on the ENI regulation, but priority will be given to local and regional authorities, civil society, chambers of commerce, and the academic and educational community</w:t>
      </w:r>
      <w:r w:rsidRPr="009F38D1">
        <w:rPr>
          <w:rFonts w:cs="Times New Roman"/>
          <w:vertAlign w:val="superscript"/>
        </w:rPr>
        <w:footnoteReference w:id="84"/>
      </w:r>
      <w:r w:rsidRPr="00F2608A">
        <w:rPr>
          <w:rFonts w:cs="Times New Roman"/>
          <w:sz w:val="22"/>
          <w:szCs w:val="22"/>
          <w:lang w:val="en-GB"/>
        </w:rPr>
        <w:t>;</w:t>
      </w:r>
    </w:p>
    <w:p w14:paraId="5B8BA738" w14:textId="77777777" w:rsidR="00F16F0A" w:rsidRPr="00F2608A" w:rsidRDefault="00F16F0A" w:rsidP="00CE7CC9">
      <w:pPr>
        <w:pStyle w:val="ListParagraph"/>
        <w:widowControl w:val="0"/>
        <w:numPr>
          <w:ilvl w:val="0"/>
          <w:numId w:val="16"/>
        </w:numPr>
        <w:autoSpaceDE w:val="0"/>
        <w:autoSpaceDN w:val="0"/>
        <w:adjustRightInd w:val="0"/>
        <w:spacing w:after="60" w:line="264" w:lineRule="auto"/>
        <w:ind w:left="714" w:hanging="357"/>
        <w:contextualSpacing w:val="0"/>
        <w:jc w:val="both"/>
        <w:rPr>
          <w:rFonts w:cs="Times New Roman"/>
          <w:sz w:val="22"/>
          <w:szCs w:val="22"/>
          <w:lang w:val="en-GB"/>
        </w:rPr>
      </w:pPr>
      <w:r w:rsidRPr="00F2608A">
        <w:rPr>
          <w:rFonts w:cs="Times New Roman"/>
          <w:sz w:val="22"/>
          <w:szCs w:val="22"/>
          <w:lang w:val="en-GB"/>
        </w:rPr>
        <w:t xml:space="preserve">Project definition is in the hands of these local and regional actors on the basis of the programme priorities; </w:t>
      </w:r>
    </w:p>
    <w:p w14:paraId="179AFF11" w14:textId="77777777" w:rsidR="00F16F0A" w:rsidRPr="00F2608A" w:rsidRDefault="00F16F0A" w:rsidP="00CE7CC9">
      <w:pPr>
        <w:pStyle w:val="ListParagraph"/>
        <w:widowControl w:val="0"/>
        <w:numPr>
          <w:ilvl w:val="0"/>
          <w:numId w:val="16"/>
        </w:numPr>
        <w:autoSpaceDE w:val="0"/>
        <w:autoSpaceDN w:val="0"/>
        <w:adjustRightInd w:val="0"/>
        <w:spacing w:after="60" w:line="264" w:lineRule="auto"/>
        <w:ind w:left="714" w:hanging="357"/>
        <w:contextualSpacing w:val="0"/>
        <w:jc w:val="both"/>
        <w:rPr>
          <w:rFonts w:cs="Times New Roman"/>
          <w:sz w:val="22"/>
          <w:szCs w:val="22"/>
          <w:lang w:val="en-GB"/>
        </w:rPr>
      </w:pPr>
      <w:r w:rsidRPr="00F2608A">
        <w:rPr>
          <w:rFonts w:cs="Times New Roman"/>
          <w:sz w:val="22"/>
          <w:szCs w:val="22"/>
          <w:lang w:val="en-GB"/>
        </w:rPr>
        <w:t>Projects are prepared and implemented in a partnership spirit, with similar organisations sharing experience with their partners across the borders, working together to address common challenges or to develop a joint potential;</w:t>
      </w:r>
    </w:p>
    <w:p w14:paraId="3037DBFC" w14:textId="77777777" w:rsidR="00F16F0A" w:rsidRPr="00F2608A" w:rsidRDefault="00F16F0A" w:rsidP="00CE7CC9">
      <w:pPr>
        <w:pStyle w:val="ListParagraph"/>
        <w:widowControl w:val="0"/>
        <w:numPr>
          <w:ilvl w:val="0"/>
          <w:numId w:val="16"/>
        </w:numPr>
        <w:autoSpaceDE w:val="0"/>
        <w:autoSpaceDN w:val="0"/>
        <w:adjustRightInd w:val="0"/>
        <w:spacing w:after="60" w:line="264" w:lineRule="auto"/>
        <w:ind w:left="714" w:hanging="357"/>
        <w:contextualSpacing w:val="0"/>
        <w:jc w:val="both"/>
        <w:rPr>
          <w:rFonts w:cs="Times New Roman"/>
          <w:sz w:val="22"/>
          <w:szCs w:val="22"/>
          <w:lang w:val="en-GB"/>
        </w:rPr>
      </w:pPr>
      <w:r w:rsidRPr="00F2608A">
        <w:rPr>
          <w:rFonts w:cs="Times New Roman"/>
          <w:sz w:val="22"/>
          <w:szCs w:val="22"/>
          <w:lang w:val="en-GB"/>
        </w:rPr>
        <w:t>Projects will have a cross-border impact;</w:t>
      </w:r>
    </w:p>
    <w:p w14:paraId="69FF1DD9" w14:textId="4D838265" w:rsidR="00F16F0A" w:rsidRPr="00F2608A" w:rsidRDefault="00F16F0A" w:rsidP="00CE7CC9">
      <w:pPr>
        <w:pStyle w:val="ListParagraph"/>
        <w:widowControl w:val="0"/>
        <w:numPr>
          <w:ilvl w:val="0"/>
          <w:numId w:val="16"/>
        </w:numPr>
        <w:autoSpaceDE w:val="0"/>
        <w:autoSpaceDN w:val="0"/>
        <w:adjustRightInd w:val="0"/>
        <w:spacing w:after="60" w:line="264" w:lineRule="auto"/>
        <w:ind w:left="714" w:hanging="357"/>
        <w:contextualSpacing w:val="0"/>
        <w:jc w:val="both"/>
        <w:rPr>
          <w:rFonts w:cs="Times New Roman"/>
          <w:sz w:val="22"/>
          <w:szCs w:val="22"/>
          <w:lang w:val="en-GB"/>
        </w:rPr>
      </w:pPr>
      <w:r w:rsidRPr="00F2608A">
        <w:rPr>
          <w:rFonts w:cs="Times New Roman"/>
          <w:sz w:val="22"/>
          <w:szCs w:val="22"/>
          <w:lang w:val="en-GB"/>
        </w:rPr>
        <w:t>The programme priorities concentrate on the common needs of the eligible regions, and were jointly identified by participating countries;</w:t>
      </w:r>
    </w:p>
    <w:p w14:paraId="7B28FCB9" w14:textId="77777777" w:rsidR="00F16F0A" w:rsidRPr="00F2608A" w:rsidRDefault="00F16F0A" w:rsidP="00CE7CC9">
      <w:pPr>
        <w:pStyle w:val="ListParagraph"/>
        <w:widowControl w:val="0"/>
        <w:numPr>
          <w:ilvl w:val="0"/>
          <w:numId w:val="16"/>
        </w:numPr>
        <w:autoSpaceDE w:val="0"/>
        <w:autoSpaceDN w:val="0"/>
        <w:adjustRightInd w:val="0"/>
        <w:spacing w:after="60" w:line="264" w:lineRule="auto"/>
        <w:ind w:left="714" w:hanging="357"/>
        <w:contextualSpacing w:val="0"/>
        <w:jc w:val="both"/>
        <w:rPr>
          <w:rFonts w:cs="Times New Roman"/>
          <w:sz w:val="22"/>
          <w:szCs w:val="22"/>
          <w:lang w:val="en-GB"/>
        </w:rPr>
      </w:pPr>
      <w:r w:rsidRPr="00F2608A">
        <w:rPr>
          <w:rFonts w:cs="Times New Roman"/>
          <w:sz w:val="22"/>
          <w:szCs w:val="22"/>
          <w:lang w:val="en-GB"/>
        </w:rPr>
        <w:t>The area of cooperation defined by the programme for the Black Sea Basin is broad, regionally coherent and unique.</w:t>
      </w:r>
    </w:p>
    <w:p w14:paraId="6E743ED0" w14:textId="548E22DF" w:rsidR="00F16F0A" w:rsidRDefault="00F16F0A" w:rsidP="00D70F63">
      <w:pPr>
        <w:spacing w:before="240" w:after="0" w:line="264" w:lineRule="auto"/>
        <w:jc w:val="both"/>
        <w:rPr>
          <w:rFonts w:eastAsia="Times New Roman" w:cs="Times New Roman"/>
          <w:sz w:val="22"/>
          <w:szCs w:val="22"/>
          <w:lang w:val="en-GB"/>
        </w:rPr>
      </w:pPr>
      <w:r>
        <w:rPr>
          <w:rFonts w:eastAsia="Times New Roman" w:cs="Times New Roman"/>
          <w:sz w:val="22"/>
          <w:szCs w:val="22"/>
          <w:lang w:val="en-GB"/>
        </w:rPr>
        <w:t xml:space="preserve">The ENI </w:t>
      </w:r>
      <w:r w:rsidRPr="009814A5">
        <w:rPr>
          <w:rFonts w:eastAsia="Times New Roman" w:cs="Times New Roman"/>
          <w:sz w:val="22"/>
          <w:szCs w:val="22"/>
          <w:lang w:val="en-GB"/>
        </w:rPr>
        <w:t>C</w:t>
      </w:r>
      <w:r>
        <w:rPr>
          <w:rFonts w:eastAsia="Times New Roman" w:cs="Times New Roman"/>
          <w:sz w:val="22"/>
          <w:szCs w:val="22"/>
          <w:lang w:val="en-GB"/>
        </w:rPr>
        <w:t xml:space="preserve">BC programme will </w:t>
      </w:r>
      <w:r w:rsidR="00D0786C">
        <w:rPr>
          <w:rFonts w:eastAsia="Times New Roman" w:cs="Times New Roman"/>
          <w:sz w:val="22"/>
          <w:szCs w:val="22"/>
          <w:lang w:val="en-GB"/>
        </w:rPr>
        <w:t xml:space="preserve">seek to </w:t>
      </w:r>
      <w:r w:rsidRPr="00584698">
        <w:rPr>
          <w:rFonts w:eastAsia="Times New Roman" w:cs="Times New Roman"/>
          <w:b/>
          <w:sz w:val="22"/>
          <w:szCs w:val="22"/>
          <w:lang w:val="en-GB"/>
        </w:rPr>
        <w:t>b</w:t>
      </w:r>
      <w:r w:rsidR="00BC0954">
        <w:rPr>
          <w:rFonts w:eastAsia="Times New Roman" w:cs="Times New Roman"/>
          <w:b/>
          <w:sz w:val="22"/>
          <w:szCs w:val="22"/>
          <w:lang w:val="en-GB"/>
        </w:rPr>
        <w:t xml:space="preserve">uild upon, complement and </w:t>
      </w:r>
      <w:r w:rsidRPr="00584698">
        <w:rPr>
          <w:rFonts w:eastAsia="Times New Roman" w:cs="Times New Roman"/>
          <w:b/>
          <w:sz w:val="22"/>
          <w:szCs w:val="22"/>
          <w:lang w:val="en-GB"/>
        </w:rPr>
        <w:t>achieve synergies</w:t>
      </w:r>
      <w:r>
        <w:rPr>
          <w:rFonts w:eastAsia="Times New Roman" w:cs="Times New Roman"/>
          <w:sz w:val="22"/>
          <w:szCs w:val="22"/>
          <w:lang w:val="en-GB"/>
        </w:rPr>
        <w:t xml:space="preserve"> with the </w:t>
      </w:r>
      <w:r w:rsidRPr="009814A5">
        <w:rPr>
          <w:rFonts w:eastAsia="Times New Roman" w:cs="Times New Roman"/>
          <w:sz w:val="22"/>
          <w:szCs w:val="22"/>
          <w:lang w:val="en-GB"/>
        </w:rPr>
        <w:t xml:space="preserve">various initiatives </w:t>
      </w:r>
      <w:r>
        <w:rPr>
          <w:rFonts w:eastAsia="Times New Roman" w:cs="Times New Roman"/>
          <w:sz w:val="22"/>
          <w:szCs w:val="22"/>
          <w:lang w:val="en-GB"/>
        </w:rPr>
        <w:t>(</w:t>
      </w:r>
      <w:r w:rsidRPr="009814A5">
        <w:rPr>
          <w:rFonts w:eastAsia="Times New Roman" w:cs="Times New Roman"/>
          <w:sz w:val="22"/>
          <w:szCs w:val="22"/>
          <w:lang w:val="en-GB"/>
        </w:rPr>
        <w:t>at regional, national, cross-bo</w:t>
      </w:r>
      <w:r>
        <w:rPr>
          <w:rFonts w:eastAsia="Times New Roman" w:cs="Times New Roman"/>
          <w:sz w:val="22"/>
          <w:szCs w:val="22"/>
          <w:lang w:val="en-GB"/>
        </w:rPr>
        <w:t xml:space="preserve">rder and international levels) that support projects with similar objectives in part or the whole of the eligible area. </w:t>
      </w:r>
      <w:r w:rsidR="005E6686">
        <w:rPr>
          <w:rFonts w:eastAsia="Times New Roman" w:cs="Times New Roman"/>
          <w:sz w:val="22"/>
          <w:szCs w:val="22"/>
          <w:lang w:val="en-GB"/>
        </w:rPr>
        <w:t xml:space="preserve">Particular attention will be paid, in the preparation of the </w:t>
      </w:r>
      <w:r w:rsidR="005E6686">
        <w:rPr>
          <w:rFonts w:eastAsia="Times New Roman" w:cs="Times New Roman"/>
          <w:sz w:val="22"/>
          <w:szCs w:val="22"/>
          <w:lang w:val="en-GB"/>
        </w:rPr>
        <w:lastRenderedPageBreak/>
        <w:t>calls, to ensure complementarity of support with other EU initiatives</w:t>
      </w:r>
      <w:r w:rsidR="0053058F">
        <w:rPr>
          <w:rFonts w:eastAsia="Times New Roman" w:cs="Times New Roman"/>
          <w:sz w:val="22"/>
          <w:szCs w:val="22"/>
          <w:lang w:val="en-GB"/>
        </w:rPr>
        <w:t xml:space="preserve"> </w:t>
      </w:r>
      <w:r w:rsidR="00621834">
        <w:rPr>
          <w:rFonts w:eastAsia="Times New Roman" w:cs="Times New Roman"/>
          <w:sz w:val="22"/>
          <w:szCs w:val="22"/>
          <w:lang w:val="en-GB"/>
        </w:rPr>
        <w:t>in the</w:t>
      </w:r>
      <w:r w:rsidR="00591C30">
        <w:rPr>
          <w:rFonts w:eastAsia="Times New Roman" w:cs="Times New Roman"/>
          <w:sz w:val="22"/>
          <w:szCs w:val="22"/>
          <w:lang w:val="en-GB"/>
        </w:rPr>
        <w:t xml:space="preserve"> environmental field</w:t>
      </w:r>
      <w:r w:rsidR="00F53185">
        <w:rPr>
          <w:rFonts w:eastAsia="Times New Roman" w:cs="Times New Roman"/>
          <w:sz w:val="22"/>
          <w:szCs w:val="22"/>
          <w:lang w:val="en-GB"/>
        </w:rPr>
        <w:t xml:space="preserve"> (</w:t>
      </w:r>
      <w:r w:rsidR="00F53185">
        <w:rPr>
          <w:rFonts w:cs="Times New Roman"/>
          <w:sz w:val="22"/>
          <w:szCs w:val="22"/>
          <w:lang w:val="en-GB"/>
        </w:rPr>
        <w:t>for example, Framework Programme Horizon 2020, Shared Environmental Information System,</w:t>
      </w:r>
      <w:r w:rsidR="00F53185" w:rsidRPr="00F53185">
        <w:rPr>
          <w:rFonts w:cs="Times New Roman"/>
          <w:sz w:val="22"/>
          <w:szCs w:val="22"/>
          <w:lang w:val="en-GB"/>
        </w:rPr>
        <w:t xml:space="preserve"> </w:t>
      </w:r>
      <w:r w:rsidR="00F53185">
        <w:rPr>
          <w:rFonts w:cs="Times New Roman"/>
          <w:sz w:val="22"/>
          <w:szCs w:val="22"/>
          <w:lang w:val="en-GB"/>
        </w:rPr>
        <w:t>EU Water Initiative),</w:t>
      </w:r>
      <w:r w:rsidR="00621834">
        <w:rPr>
          <w:rFonts w:eastAsia="Times New Roman" w:cs="Times New Roman"/>
          <w:sz w:val="22"/>
          <w:szCs w:val="22"/>
          <w:lang w:val="en-GB"/>
        </w:rPr>
        <w:t xml:space="preserve"> as well as</w:t>
      </w:r>
      <w:r w:rsidR="00BE6DAD">
        <w:rPr>
          <w:rFonts w:eastAsia="Times New Roman" w:cs="Times New Roman"/>
          <w:sz w:val="22"/>
          <w:szCs w:val="22"/>
          <w:lang w:val="en-GB"/>
        </w:rPr>
        <w:t xml:space="preserve"> in other sectors (</w:t>
      </w:r>
      <w:proofErr w:type="spellStart"/>
      <w:r w:rsidR="00BE6DAD">
        <w:rPr>
          <w:rFonts w:eastAsia="Times New Roman" w:cs="Times New Roman"/>
          <w:sz w:val="22"/>
          <w:szCs w:val="22"/>
          <w:lang w:val="en-GB"/>
        </w:rPr>
        <w:t>e.g</w:t>
      </w:r>
      <w:proofErr w:type="spellEnd"/>
      <w:r w:rsidR="00BE6DAD">
        <w:rPr>
          <w:rFonts w:eastAsia="Times New Roman" w:cs="Times New Roman"/>
          <w:sz w:val="22"/>
          <w:szCs w:val="22"/>
          <w:lang w:val="en-GB"/>
        </w:rPr>
        <w:t xml:space="preserve"> agriculture, transport, </w:t>
      </w:r>
      <w:r w:rsidR="00674231">
        <w:rPr>
          <w:rFonts w:eastAsia="Times New Roman" w:cs="Times New Roman"/>
          <w:sz w:val="22"/>
          <w:szCs w:val="22"/>
          <w:lang w:val="en-GB"/>
        </w:rPr>
        <w:t xml:space="preserve">research, </w:t>
      </w:r>
      <w:r w:rsidR="00BE6DAD">
        <w:rPr>
          <w:rFonts w:eastAsia="Times New Roman" w:cs="Times New Roman"/>
          <w:sz w:val="22"/>
          <w:szCs w:val="22"/>
          <w:lang w:val="en-GB"/>
        </w:rPr>
        <w:t>etc</w:t>
      </w:r>
      <w:r w:rsidR="005E6686">
        <w:rPr>
          <w:rFonts w:eastAsia="Times New Roman" w:cs="Times New Roman"/>
          <w:sz w:val="22"/>
          <w:szCs w:val="22"/>
          <w:lang w:val="en-GB"/>
        </w:rPr>
        <w:t>.</w:t>
      </w:r>
      <w:r w:rsidR="00BE6DAD">
        <w:rPr>
          <w:rFonts w:eastAsia="Times New Roman" w:cs="Times New Roman"/>
          <w:sz w:val="22"/>
          <w:szCs w:val="22"/>
          <w:lang w:val="en-GB"/>
        </w:rPr>
        <w:t>)</w:t>
      </w:r>
      <w:r w:rsidR="005E6686">
        <w:rPr>
          <w:rFonts w:eastAsia="Times New Roman" w:cs="Times New Roman"/>
          <w:sz w:val="22"/>
          <w:szCs w:val="22"/>
          <w:lang w:val="en-GB"/>
        </w:rPr>
        <w:t xml:space="preserve"> </w:t>
      </w:r>
      <w:r>
        <w:rPr>
          <w:rFonts w:eastAsia="Times New Roman" w:cs="Times New Roman"/>
          <w:sz w:val="22"/>
          <w:szCs w:val="22"/>
          <w:lang w:val="en-GB"/>
        </w:rPr>
        <w:t>It shall in any case</w:t>
      </w:r>
      <w:r w:rsidR="00531F4B">
        <w:rPr>
          <w:rFonts w:eastAsia="Times New Roman" w:cs="Times New Roman"/>
          <w:sz w:val="22"/>
          <w:szCs w:val="22"/>
          <w:lang w:val="en-GB"/>
        </w:rPr>
        <w:t xml:space="preserve"> seek to</w:t>
      </w:r>
      <w:r w:rsidR="00133913">
        <w:rPr>
          <w:rFonts w:eastAsia="Times New Roman" w:cs="Times New Roman"/>
          <w:sz w:val="22"/>
          <w:szCs w:val="22"/>
          <w:lang w:val="en-GB"/>
        </w:rPr>
        <w:t xml:space="preserve"> avoid double funding and over</w:t>
      </w:r>
      <w:r>
        <w:rPr>
          <w:rFonts w:eastAsia="Times New Roman" w:cs="Times New Roman"/>
          <w:sz w:val="22"/>
          <w:szCs w:val="22"/>
          <w:lang w:val="en-GB"/>
        </w:rPr>
        <w:t xml:space="preserve">lapping of activities, for which the main risk lies within the other CBC and transnational/interregional programmes supported by the EU. During </w:t>
      </w:r>
      <w:r w:rsidR="008543D7">
        <w:rPr>
          <w:rFonts w:eastAsia="Times New Roman" w:cs="Times New Roman"/>
          <w:sz w:val="22"/>
          <w:szCs w:val="22"/>
          <w:lang w:val="en-GB"/>
        </w:rPr>
        <w:t>the implementation of the BSB programme,</w:t>
      </w:r>
      <w:r>
        <w:rPr>
          <w:rFonts w:eastAsia="Times New Roman" w:cs="Times New Roman"/>
          <w:sz w:val="22"/>
          <w:szCs w:val="22"/>
          <w:lang w:val="en-GB"/>
        </w:rPr>
        <w:t xml:space="preserve"> coherence of </w:t>
      </w:r>
      <w:r w:rsidRPr="0098406B">
        <w:rPr>
          <w:rFonts w:eastAsia="Times New Roman" w:cs="Times New Roman"/>
          <w:sz w:val="22"/>
          <w:szCs w:val="22"/>
          <w:lang w:val="en-GB"/>
        </w:rPr>
        <w:t>support with other initiatives and projects</w:t>
      </w:r>
      <w:r w:rsidR="00ED1776">
        <w:rPr>
          <w:rFonts w:eastAsia="Times New Roman" w:cs="Times New Roman"/>
          <w:sz w:val="22"/>
          <w:szCs w:val="22"/>
          <w:lang w:val="en-GB"/>
        </w:rPr>
        <w:t xml:space="preserve"> </w:t>
      </w:r>
      <w:r w:rsidR="00D0786C">
        <w:rPr>
          <w:rFonts w:eastAsia="Times New Roman" w:cs="Times New Roman"/>
          <w:sz w:val="22"/>
          <w:szCs w:val="22"/>
          <w:lang w:val="en-GB"/>
        </w:rPr>
        <w:t xml:space="preserve">may </w:t>
      </w:r>
      <w:r>
        <w:rPr>
          <w:rFonts w:eastAsia="Times New Roman" w:cs="Times New Roman"/>
          <w:sz w:val="22"/>
          <w:szCs w:val="22"/>
          <w:lang w:val="en-GB"/>
        </w:rPr>
        <w:t>be ensured in the following way</w:t>
      </w:r>
      <w:r w:rsidRPr="0098406B">
        <w:rPr>
          <w:rFonts w:eastAsia="Times New Roman" w:cs="Times New Roman"/>
          <w:sz w:val="22"/>
          <w:szCs w:val="22"/>
          <w:lang w:val="en-GB"/>
        </w:rPr>
        <w:t xml:space="preserve">: </w:t>
      </w:r>
    </w:p>
    <w:p w14:paraId="7C9AAA45" w14:textId="77777777" w:rsidR="00F16F0A" w:rsidRDefault="00F16F0A" w:rsidP="00D70F63">
      <w:pPr>
        <w:pStyle w:val="ListParagraph"/>
        <w:widowControl w:val="0"/>
        <w:numPr>
          <w:ilvl w:val="0"/>
          <w:numId w:val="16"/>
        </w:numPr>
        <w:autoSpaceDE w:val="0"/>
        <w:autoSpaceDN w:val="0"/>
        <w:adjustRightInd w:val="0"/>
        <w:spacing w:before="120" w:after="0" w:line="264" w:lineRule="auto"/>
        <w:ind w:left="714" w:hanging="357"/>
        <w:contextualSpacing w:val="0"/>
        <w:jc w:val="both"/>
        <w:rPr>
          <w:rFonts w:cs="Times New Roman"/>
          <w:sz w:val="22"/>
          <w:szCs w:val="22"/>
          <w:lang w:val="en-GB"/>
        </w:rPr>
      </w:pPr>
      <w:r w:rsidRPr="00075FEF">
        <w:rPr>
          <w:rFonts w:cs="Times New Roman"/>
          <w:sz w:val="22"/>
          <w:szCs w:val="22"/>
          <w:lang w:val="en-GB"/>
        </w:rPr>
        <w:t xml:space="preserve">The </w:t>
      </w:r>
      <w:r w:rsidR="00F41A77">
        <w:rPr>
          <w:rFonts w:cs="Times New Roman"/>
          <w:sz w:val="22"/>
          <w:szCs w:val="22"/>
          <w:lang w:val="en-GB"/>
        </w:rPr>
        <w:t xml:space="preserve">BSB </w:t>
      </w:r>
      <w:r w:rsidRPr="00075FEF">
        <w:rPr>
          <w:rFonts w:cs="Times New Roman"/>
          <w:sz w:val="22"/>
          <w:szCs w:val="22"/>
          <w:lang w:val="en-GB"/>
        </w:rPr>
        <w:t xml:space="preserve">programme MA/JTS </w:t>
      </w:r>
      <w:r w:rsidR="00D0786C">
        <w:rPr>
          <w:rFonts w:cs="Times New Roman"/>
          <w:sz w:val="22"/>
          <w:szCs w:val="22"/>
          <w:lang w:val="en-GB"/>
        </w:rPr>
        <w:t>may</w:t>
      </w:r>
      <w:r w:rsidRPr="00F36236">
        <w:rPr>
          <w:rFonts w:cs="Times New Roman"/>
          <w:sz w:val="22"/>
          <w:szCs w:val="22"/>
          <w:lang w:val="en-GB"/>
        </w:rPr>
        <w:t xml:space="preserve"> exchange</w:t>
      </w:r>
      <w:r w:rsidRPr="00075FEF">
        <w:rPr>
          <w:rFonts w:cs="Times New Roman"/>
          <w:sz w:val="22"/>
          <w:szCs w:val="22"/>
          <w:lang w:val="en-GB"/>
        </w:rPr>
        <w:t xml:space="preserve"> information</w:t>
      </w:r>
      <w:r>
        <w:rPr>
          <w:rFonts w:cs="Times New Roman"/>
          <w:sz w:val="22"/>
          <w:szCs w:val="22"/>
          <w:lang w:val="en-GB"/>
        </w:rPr>
        <w:t xml:space="preserve"> </w:t>
      </w:r>
      <w:r w:rsidRPr="00075FEF">
        <w:rPr>
          <w:rFonts w:cs="Times New Roman"/>
          <w:sz w:val="22"/>
          <w:szCs w:val="22"/>
          <w:lang w:val="en-GB"/>
        </w:rPr>
        <w:t>with</w:t>
      </w:r>
      <w:r w:rsidRPr="0072778A">
        <w:rPr>
          <w:vertAlign w:val="superscript"/>
        </w:rPr>
        <w:footnoteReference w:id="85"/>
      </w:r>
      <w:r>
        <w:rPr>
          <w:rFonts w:cs="Times New Roman"/>
          <w:sz w:val="22"/>
          <w:szCs w:val="22"/>
          <w:lang w:val="en-GB"/>
        </w:rPr>
        <w:t>:</w:t>
      </w:r>
    </w:p>
    <w:p w14:paraId="54830AE2" w14:textId="6167856A" w:rsidR="00F16F0A" w:rsidRDefault="00F16F0A" w:rsidP="00EE745F">
      <w:pPr>
        <w:pStyle w:val="ListParagraph"/>
        <w:widowControl w:val="0"/>
        <w:numPr>
          <w:ilvl w:val="1"/>
          <w:numId w:val="16"/>
        </w:numPr>
        <w:autoSpaceDE w:val="0"/>
        <w:autoSpaceDN w:val="0"/>
        <w:adjustRightInd w:val="0"/>
        <w:spacing w:line="264" w:lineRule="auto"/>
        <w:jc w:val="both"/>
        <w:rPr>
          <w:rFonts w:cs="Times New Roman"/>
          <w:sz w:val="22"/>
          <w:szCs w:val="22"/>
          <w:lang w:val="en-GB"/>
        </w:rPr>
      </w:pPr>
      <w:r>
        <w:rPr>
          <w:rFonts w:cs="Times New Roman"/>
          <w:sz w:val="22"/>
          <w:szCs w:val="22"/>
          <w:lang w:val="en-GB"/>
        </w:rPr>
        <w:t>The</w:t>
      </w:r>
      <w:r w:rsidRPr="00075FEF">
        <w:rPr>
          <w:rFonts w:cs="Times New Roman"/>
          <w:sz w:val="22"/>
          <w:szCs w:val="22"/>
          <w:lang w:val="en-GB"/>
        </w:rPr>
        <w:t xml:space="preserve"> MAs of </w:t>
      </w:r>
      <w:r>
        <w:rPr>
          <w:rFonts w:cs="Times New Roman"/>
          <w:sz w:val="22"/>
          <w:szCs w:val="22"/>
          <w:lang w:val="en-GB"/>
        </w:rPr>
        <w:t xml:space="preserve">the </w:t>
      </w:r>
      <w:r w:rsidRPr="00075FEF">
        <w:rPr>
          <w:rFonts w:cs="Times New Roman"/>
          <w:sz w:val="22"/>
          <w:szCs w:val="22"/>
          <w:lang w:val="en-GB"/>
        </w:rPr>
        <w:t>other CBC and transnational/interregional programmes supported by the EU</w:t>
      </w:r>
      <w:r>
        <w:rPr>
          <w:rFonts w:cs="Times New Roman"/>
          <w:sz w:val="22"/>
          <w:szCs w:val="22"/>
          <w:lang w:val="en-GB"/>
        </w:rPr>
        <w:t xml:space="preserve"> within parts of the BSB</w:t>
      </w:r>
      <w:r w:rsidRPr="00D5321D">
        <w:rPr>
          <w:vertAlign w:val="superscript"/>
        </w:rPr>
        <w:footnoteReference w:id="86"/>
      </w:r>
      <w:r w:rsidR="007D706B">
        <w:rPr>
          <w:rFonts w:cs="Times New Roman"/>
          <w:sz w:val="22"/>
          <w:szCs w:val="22"/>
          <w:lang w:val="en-GB"/>
        </w:rPr>
        <w:t xml:space="preserve">, </w:t>
      </w:r>
      <w:r>
        <w:rPr>
          <w:rFonts w:cs="Times New Roman"/>
          <w:sz w:val="22"/>
          <w:szCs w:val="22"/>
          <w:lang w:val="en-GB"/>
        </w:rPr>
        <w:t>to ensure a good complementarity of support,</w:t>
      </w:r>
      <w:r w:rsidRPr="00075FEF">
        <w:rPr>
          <w:rFonts w:cs="Times New Roman"/>
          <w:sz w:val="22"/>
          <w:szCs w:val="22"/>
          <w:lang w:val="en-GB"/>
        </w:rPr>
        <w:t xml:space="preserve"> </w:t>
      </w:r>
    </w:p>
    <w:p w14:paraId="424556A5" w14:textId="20438B95" w:rsidR="00F16F0A" w:rsidRDefault="00FC3229" w:rsidP="00EE745F">
      <w:pPr>
        <w:pStyle w:val="ListParagraph"/>
        <w:widowControl w:val="0"/>
        <w:numPr>
          <w:ilvl w:val="1"/>
          <w:numId w:val="16"/>
        </w:numPr>
        <w:autoSpaceDE w:val="0"/>
        <w:autoSpaceDN w:val="0"/>
        <w:adjustRightInd w:val="0"/>
        <w:spacing w:line="264" w:lineRule="auto"/>
        <w:jc w:val="both"/>
        <w:rPr>
          <w:rFonts w:cs="Times New Roman"/>
          <w:sz w:val="22"/>
          <w:szCs w:val="22"/>
          <w:lang w:val="en-GB"/>
        </w:rPr>
      </w:pPr>
      <w:r>
        <w:rPr>
          <w:rFonts w:cs="Times New Roman"/>
          <w:sz w:val="22"/>
          <w:szCs w:val="22"/>
          <w:lang w:val="en-GB"/>
        </w:rPr>
        <w:t>NAs and t</w:t>
      </w:r>
      <w:r w:rsidR="00F16F0A" w:rsidRPr="00075FEF">
        <w:rPr>
          <w:rFonts w:cs="Times New Roman"/>
          <w:sz w:val="22"/>
          <w:szCs w:val="22"/>
          <w:lang w:val="en-GB"/>
        </w:rPr>
        <w:t>he EU Delegations</w:t>
      </w:r>
      <w:r w:rsidR="00F16F0A">
        <w:rPr>
          <w:rFonts w:cs="Times New Roman"/>
          <w:sz w:val="22"/>
          <w:szCs w:val="22"/>
          <w:lang w:val="en-GB"/>
        </w:rPr>
        <w:t xml:space="preserve"> in partner countries and in Turkey to ensure a good overview and synergies within EU support at country level,</w:t>
      </w:r>
    </w:p>
    <w:p w14:paraId="7919C9E9" w14:textId="5A0D085E" w:rsidR="00F16F0A" w:rsidRPr="00075FEF" w:rsidRDefault="00F16F0A" w:rsidP="00D70F63">
      <w:pPr>
        <w:pStyle w:val="ListParagraph"/>
        <w:widowControl w:val="0"/>
        <w:numPr>
          <w:ilvl w:val="1"/>
          <w:numId w:val="16"/>
        </w:numPr>
        <w:autoSpaceDE w:val="0"/>
        <w:autoSpaceDN w:val="0"/>
        <w:adjustRightInd w:val="0"/>
        <w:spacing w:after="120" w:line="264" w:lineRule="auto"/>
        <w:ind w:left="1434" w:hanging="357"/>
        <w:contextualSpacing w:val="0"/>
        <w:jc w:val="both"/>
        <w:rPr>
          <w:rFonts w:cs="Times New Roman"/>
          <w:sz w:val="22"/>
          <w:szCs w:val="22"/>
          <w:lang w:val="en-GB"/>
        </w:rPr>
      </w:pPr>
      <w:r>
        <w:rPr>
          <w:rFonts w:cs="Times New Roman"/>
          <w:sz w:val="22"/>
          <w:szCs w:val="22"/>
          <w:lang w:val="en-GB"/>
        </w:rPr>
        <w:t>T</w:t>
      </w:r>
      <w:r w:rsidRPr="00075FEF">
        <w:rPr>
          <w:rFonts w:cs="Times New Roman"/>
          <w:sz w:val="22"/>
          <w:szCs w:val="22"/>
          <w:lang w:val="en-GB"/>
        </w:rPr>
        <w:t xml:space="preserve">he relevant international organizations and key cooperation frameworks </w:t>
      </w:r>
      <w:r>
        <w:rPr>
          <w:rFonts w:cs="Times New Roman"/>
          <w:sz w:val="22"/>
          <w:szCs w:val="22"/>
          <w:lang w:val="en-GB"/>
        </w:rPr>
        <w:t>active in the eligible area.</w:t>
      </w:r>
    </w:p>
    <w:p w14:paraId="6D63E4E8" w14:textId="77777777" w:rsidR="00F16F0A" w:rsidRDefault="00F16F0A" w:rsidP="00D70F63">
      <w:pPr>
        <w:pStyle w:val="ListParagraph"/>
        <w:widowControl w:val="0"/>
        <w:numPr>
          <w:ilvl w:val="0"/>
          <w:numId w:val="16"/>
        </w:numPr>
        <w:autoSpaceDE w:val="0"/>
        <w:autoSpaceDN w:val="0"/>
        <w:adjustRightInd w:val="0"/>
        <w:spacing w:before="120" w:after="0" w:line="264" w:lineRule="auto"/>
        <w:ind w:left="714" w:hanging="357"/>
        <w:contextualSpacing w:val="0"/>
        <w:jc w:val="both"/>
        <w:rPr>
          <w:rFonts w:cs="Times New Roman"/>
          <w:sz w:val="22"/>
          <w:szCs w:val="22"/>
          <w:lang w:val="en-GB"/>
        </w:rPr>
      </w:pPr>
      <w:r w:rsidRPr="00D57ABF">
        <w:rPr>
          <w:rFonts w:cs="Times New Roman"/>
          <w:sz w:val="22"/>
          <w:szCs w:val="22"/>
          <w:lang w:val="en-GB"/>
        </w:rPr>
        <w:t>In their project proposals, the applicants will</w:t>
      </w:r>
      <w:r>
        <w:rPr>
          <w:rFonts w:cs="Times New Roman"/>
          <w:sz w:val="22"/>
          <w:szCs w:val="22"/>
          <w:lang w:val="en-GB"/>
        </w:rPr>
        <w:t xml:space="preserve"> be requested to:</w:t>
      </w:r>
    </w:p>
    <w:p w14:paraId="2C517C76" w14:textId="77777777" w:rsidR="00F16F0A" w:rsidRDefault="00F16F0A" w:rsidP="00EE745F">
      <w:pPr>
        <w:pStyle w:val="ListParagraph"/>
        <w:widowControl w:val="0"/>
        <w:numPr>
          <w:ilvl w:val="1"/>
          <w:numId w:val="16"/>
        </w:numPr>
        <w:autoSpaceDE w:val="0"/>
        <w:autoSpaceDN w:val="0"/>
        <w:adjustRightInd w:val="0"/>
        <w:spacing w:line="264" w:lineRule="auto"/>
        <w:jc w:val="both"/>
        <w:rPr>
          <w:rFonts w:cs="Times New Roman"/>
          <w:sz w:val="22"/>
          <w:szCs w:val="22"/>
          <w:lang w:val="en-GB"/>
        </w:rPr>
      </w:pPr>
      <w:r>
        <w:rPr>
          <w:rFonts w:cs="Times New Roman"/>
          <w:sz w:val="22"/>
          <w:szCs w:val="22"/>
          <w:lang w:val="en-GB"/>
        </w:rPr>
        <w:t>D</w:t>
      </w:r>
      <w:r w:rsidR="00754741">
        <w:rPr>
          <w:rFonts w:cs="Times New Roman"/>
          <w:sz w:val="22"/>
          <w:szCs w:val="22"/>
          <w:lang w:val="en-GB"/>
        </w:rPr>
        <w:t xml:space="preserve">escribe how their </w:t>
      </w:r>
      <w:r w:rsidRPr="00D57ABF">
        <w:rPr>
          <w:rFonts w:cs="Times New Roman"/>
          <w:sz w:val="22"/>
          <w:szCs w:val="22"/>
          <w:lang w:val="en-GB"/>
        </w:rPr>
        <w:t>cooperation</w:t>
      </w:r>
      <w:r w:rsidR="00754741">
        <w:rPr>
          <w:rFonts w:cs="Times New Roman"/>
          <w:sz w:val="22"/>
          <w:szCs w:val="22"/>
          <w:lang w:val="en-GB"/>
        </w:rPr>
        <w:t xml:space="preserve"> project</w:t>
      </w:r>
      <w:r w:rsidRPr="00D57ABF">
        <w:rPr>
          <w:rFonts w:cs="Times New Roman"/>
          <w:sz w:val="22"/>
          <w:szCs w:val="22"/>
          <w:lang w:val="en-GB"/>
        </w:rPr>
        <w:t xml:space="preserve"> builds upon or complements other projects and initiatives, implemented by them</w:t>
      </w:r>
      <w:r w:rsidR="000E74B8">
        <w:rPr>
          <w:rFonts w:cs="Times New Roman"/>
          <w:sz w:val="22"/>
          <w:szCs w:val="22"/>
          <w:lang w:val="en-GB"/>
        </w:rPr>
        <w:t>selves</w:t>
      </w:r>
      <w:r w:rsidRPr="00D57ABF">
        <w:rPr>
          <w:rFonts w:cs="Times New Roman"/>
          <w:sz w:val="22"/>
          <w:szCs w:val="22"/>
          <w:lang w:val="en-GB"/>
        </w:rPr>
        <w:t xml:space="preserve"> or by other partners</w:t>
      </w:r>
      <w:r>
        <w:rPr>
          <w:rFonts w:cs="Times New Roman"/>
          <w:sz w:val="22"/>
          <w:szCs w:val="22"/>
          <w:lang w:val="en-GB"/>
        </w:rPr>
        <w:t>, and how they are consistent with</w:t>
      </w:r>
      <w:r w:rsidR="004D1704">
        <w:rPr>
          <w:rFonts w:cs="Times New Roman"/>
          <w:sz w:val="22"/>
          <w:szCs w:val="22"/>
          <w:lang w:val="en-GB"/>
        </w:rPr>
        <w:t xml:space="preserve"> relevant</w:t>
      </w:r>
      <w:r>
        <w:rPr>
          <w:rFonts w:cs="Times New Roman"/>
          <w:sz w:val="22"/>
          <w:szCs w:val="22"/>
          <w:lang w:val="en-GB"/>
        </w:rPr>
        <w:t xml:space="preserve"> regional/national strategies</w:t>
      </w:r>
      <w:r w:rsidR="00D0786C">
        <w:rPr>
          <w:rFonts w:cs="Times New Roman"/>
          <w:sz w:val="22"/>
          <w:szCs w:val="22"/>
          <w:lang w:val="en-GB"/>
        </w:rPr>
        <w:t>, if relevant</w:t>
      </w:r>
      <w:r w:rsidRPr="00D57ABF">
        <w:rPr>
          <w:rFonts w:cs="Times New Roman"/>
          <w:sz w:val="22"/>
          <w:szCs w:val="22"/>
          <w:lang w:val="en-GB"/>
        </w:rPr>
        <w:t>.</w:t>
      </w:r>
      <w:r w:rsidRPr="002D2FD6">
        <w:rPr>
          <w:rFonts w:cs="Times New Roman"/>
          <w:sz w:val="22"/>
          <w:szCs w:val="22"/>
          <w:lang w:val="en-GB"/>
        </w:rPr>
        <w:t xml:space="preserve"> </w:t>
      </w:r>
    </w:p>
    <w:p w14:paraId="4D208F29" w14:textId="77777777" w:rsidR="00F16F0A" w:rsidRPr="002D2FD6" w:rsidRDefault="00F16F0A" w:rsidP="00EE745F">
      <w:pPr>
        <w:pStyle w:val="ListParagraph"/>
        <w:widowControl w:val="0"/>
        <w:numPr>
          <w:ilvl w:val="1"/>
          <w:numId w:val="16"/>
        </w:numPr>
        <w:autoSpaceDE w:val="0"/>
        <w:autoSpaceDN w:val="0"/>
        <w:adjustRightInd w:val="0"/>
        <w:spacing w:line="264" w:lineRule="auto"/>
        <w:jc w:val="both"/>
        <w:rPr>
          <w:rFonts w:cs="Times New Roman"/>
          <w:sz w:val="22"/>
          <w:szCs w:val="22"/>
          <w:lang w:val="en-GB"/>
        </w:rPr>
      </w:pPr>
      <w:r>
        <w:rPr>
          <w:rFonts w:cs="Times New Roman"/>
          <w:sz w:val="22"/>
          <w:szCs w:val="22"/>
          <w:lang w:val="en-GB"/>
        </w:rPr>
        <w:t>S</w:t>
      </w:r>
      <w:r w:rsidRPr="002D2FD6">
        <w:rPr>
          <w:rFonts w:cs="Times New Roman"/>
          <w:sz w:val="22"/>
          <w:szCs w:val="22"/>
          <w:lang w:val="en-GB"/>
        </w:rPr>
        <w:t>tipu</w:t>
      </w:r>
      <w:r>
        <w:rPr>
          <w:rFonts w:cs="Times New Roman"/>
          <w:sz w:val="22"/>
          <w:szCs w:val="22"/>
          <w:lang w:val="en-GB"/>
        </w:rPr>
        <w:t xml:space="preserve">late </w:t>
      </w:r>
      <w:r w:rsidRPr="002D2FD6">
        <w:rPr>
          <w:rFonts w:cs="Times New Roman"/>
          <w:sz w:val="22"/>
          <w:szCs w:val="22"/>
          <w:lang w:val="en-GB"/>
        </w:rPr>
        <w:t>whether they are applyi</w:t>
      </w:r>
      <w:r w:rsidR="00DE5EC6">
        <w:rPr>
          <w:rFonts w:cs="Times New Roman"/>
          <w:sz w:val="22"/>
          <w:szCs w:val="22"/>
          <w:lang w:val="en-GB"/>
        </w:rPr>
        <w:t>ng to other funds for support for</w:t>
      </w:r>
      <w:r w:rsidRPr="002D2FD6">
        <w:rPr>
          <w:rFonts w:cs="Times New Roman"/>
          <w:sz w:val="22"/>
          <w:szCs w:val="22"/>
          <w:lang w:val="en-GB"/>
        </w:rPr>
        <w:t xml:space="preserve"> all or some of the activities proposed. This should not have the effect of discri</w:t>
      </w:r>
      <w:r>
        <w:rPr>
          <w:rFonts w:cs="Times New Roman"/>
          <w:sz w:val="22"/>
          <w:szCs w:val="22"/>
          <w:lang w:val="en-GB"/>
        </w:rPr>
        <w:t>minating against their proposal</w:t>
      </w:r>
      <w:r w:rsidR="00DE5EC6">
        <w:rPr>
          <w:rFonts w:cs="Times New Roman"/>
          <w:sz w:val="22"/>
          <w:szCs w:val="22"/>
          <w:lang w:val="en-GB"/>
        </w:rPr>
        <w:t xml:space="preserve"> during</w:t>
      </w:r>
      <w:r w:rsidRPr="002D2FD6">
        <w:rPr>
          <w:rFonts w:cs="Times New Roman"/>
          <w:sz w:val="22"/>
          <w:szCs w:val="22"/>
          <w:lang w:val="en-GB"/>
        </w:rPr>
        <w:t xml:space="preserve"> evaluation stage, </w:t>
      </w:r>
      <w:r w:rsidRPr="00630A48">
        <w:rPr>
          <w:rFonts w:cs="Times New Roman"/>
          <w:sz w:val="22"/>
          <w:szCs w:val="22"/>
          <w:lang w:val="en-GB"/>
        </w:rPr>
        <w:t>but it will</w:t>
      </w:r>
      <w:r w:rsidR="00DE5EC6" w:rsidRPr="00630A48">
        <w:rPr>
          <w:rFonts w:cs="Times New Roman"/>
          <w:sz w:val="22"/>
          <w:szCs w:val="22"/>
          <w:lang w:val="en-GB"/>
        </w:rPr>
        <w:t xml:space="preserve"> still be taken into account during</w:t>
      </w:r>
      <w:r w:rsidRPr="00630A48">
        <w:rPr>
          <w:rFonts w:cs="Times New Roman"/>
          <w:sz w:val="22"/>
          <w:szCs w:val="22"/>
          <w:lang w:val="en-GB"/>
        </w:rPr>
        <w:t xml:space="preserve"> the </w:t>
      </w:r>
      <w:r w:rsidR="00630A48">
        <w:rPr>
          <w:rFonts w:cs="Times New Roman"/>
          <w:sz w:val="22"/>
          <w:szCs w:val="22"/>
          <w:lang w:val="en-GB"/>
        </w:rPr>
        <w:t>contracting stage</w:t>
      </w:r>
      <w:r w:rsidRPr="002D2FD6">
        <w:rPr>
          <w:rFonts w:cs="Times New Roman"/>
          <w:sz w:val="22"/>
          <w:szCs w:val="22"/>
          <w:lang w:val="en-GB"/>
        </w:rPr>
        <w:t xml:space="preserve">. It will </w:t>
      </w:r>
      <w:r w:rsidR="0061007A">
        <w:rPr>
          <w:rFonts w:cs="Times New Roman"/>
          <w:sz w:val="22"/>
          <w:szCs w:val="22"/>
          <w:lang w:val="en-GB"/>
        </w:rPr>
        <w:t xml:space="preserve">draw the attention of </w:t>
      </w:r>
      <w:r>
        <w:rPr>
          <w:rFonts w:cs="Times New Roman"/>
          <w:sz w:val="22"/>
          <w:szCs w:val="22"/>
          <w:lang w:val="en-GB"/>
        </w:rPr>
        <w:t xml:space="preserve">JMC and </w:t>
      </w:r>
      <w:r w:rsidRPr="002D2FD6">
        <w:rPr>
          <w:rFonts w:cs="Times New Roman"/>
          <w:sz w:val="22"/>
          <w:szCs w:val="22"/>
          <w:lang w:val="en-GB"/>
        </w:rPr>
        <w:t xml:space="preserve">MA, ensuring appropriate consultation with other donors and programmes </w:t>
      </w:r>
      <w:r w:rsidR="002D61B9">
        <w:rPr>
          <w:rFonts w:cs="Times New Roman"/>
          <w:sz w:val="22"/>
          <w:szCs w:val="22"/>
          <w:lang w:val="en-GB"/>
        </w:rPr>
        <w:t>before the grant contract is</w:t>
      </w:r>
      <w:r w:rsidRPr="002D2FD6">
        <w:rPr>
          <w:rFonts w:cs="Times New Roman"/>
          <w:sz w:val="22"/>
          <w:szCs w:val="22"/>
          <w:lang w:val="en-GB"/>
        </w:rPr>
        <w:t xml:space="preserve"> signed, </w:t>
      </w:r>
      <w:proofErr w:type="gramStart"/>
      <w:r w:rsidRPr="002D2FD6">
        <w:rPr>
          <w:rFonts w:cs="Times New Roman"/>
          <w:sz w:val="22"/>
          <w:szCs w:val="22"/>
          <w:lang w:val="en-GB"/>
        </w:rPr>
        <w:t>in</w:t>
      </w:r>
      <w:proofErr w:type="gramEnd"/>
      <w:r w:rsidRPr="002D2FD6">
        <w:rPr>
          <w:rFonts w:cs="Times New Roman"/>
          <w:sz w:val="22"/>
          <w:szCs w:val="22"/>
          <w:lang w:val="en-GB"/>
        </w:rPr>
        <w:t xml:space="preserve"> order to avoid double funding of activities should the project be supported.</w:t>
      </w:r>
    </w:p>
    <w:p w14:paraId="7520FEFE" w14:textId="77777777" w:rsidR="00F16F0A" w:rsidRPr="003C6F8E" w:rsidRDefault="00F16F0A" w:rsidP="00D70F63">
      <w:pPr>
        <w:spacing w:before="120" w:after="120" w:line="264" w:lineRule="auto"/>
        <w:jc w:val="both"/>
        <w:rPr>
          <w:rFonts w:eastAsia="Times New Roman" w:cs="Times New Roman"/>
          <w:sz w:val="22"/>
          <w:szCs w:val="22"/>
          <w:lang w:val="en-GB"/>
        </w:rPr>
      </w:pPr>
      <w:r w:rsidRPr="003C6F8E">
        <w:rPr>
          <w:rFonts w:eastAsia="Times New Roman" w:cs="Times New Roman"/>
          <w:sz w:val="22"/>
          <w:szCs w:val="22"/>
          <w:lang w:val="en-GB"/>
        </w:rPr>
        <w:t>Given th</w:t>
      </w:r>
      <w:r w:rsidR="005F3FF0">
        <w:rPr>
          <w:rFonts w:eastAsia="Times New Roman" w:cs="Times New Roman"/>
          <w:sz w:val="22"/>
          <w:szCs w:val="22"/>
          <w:lang w:val="en-GB"/>
        </w:rPr>
        <w:t>e limited budget of the BSB</w:t>
      </w:r>
      <w:r w:rsidR="00BD4AEB">
        <w:rPr>
          <w:rFonts w:eastAsia="Times New Roman" w:cs="Times New Roman"/>
          <w:sz w:val="22"/>
          <w:szCs w:val="22"/>
          <w:lang w:val="en-GB"/>
        </w:rPr>
        <w:t xml:space="preserve"> programme, </w:t>
      </w:r>
      <w:r w:rsidRPr="003C6F8E">
        <w:rPr>
          <w:rFonts w:eastAsia="Times New Roman" w:cs="Times New Roman"/>
          <w:sz w:val="22"/>
          <w:szCs w:val="22"/>
          <w:lang w:val="en-GB"/>
        </w:rPr>
        <w:t>in order to achieve an impact in the eligible regions,</w:t>
      </w:r>
      <w:r w:rsidR="00BD4AEB">
        <w:rPr>
          <w:rFonts w:eastAsia="Times New Roman" w:cs="Times New Roman"/>
          <w:sz w:val="22"/>
          <w:szCs w:val="22"/>
          <w:lang w:val="en-GB"/>
        </w:rPr>
        <w:t xml:space="preserve"> it is important</w:t>
      </w:r>
      <w:r w:rsidRPr="003C6F8E">
        <w:rPr>
          <w:rFonts w:eastAsia="Times New Roman" w:cs="Times New Roman"/>
          <w:sz w:val="22"/>
          <w:szCs w:val="22"/>
          <w:lang w:val="en-GB"/>
        </w:rPr>
        <w:t xml:space="preserve"> that the programme also promotes </w:t>
      </w:r>
      <w:r w:rsidRPr="00D20FEF">
        <w:rPr>
          <w:rFonts w:eastAsia="Times New Roman" w:cs="Times New Roman"/>
          <w:b/>
          <w:sz w:val="22"/>
          <w:szCs w:val="22"/>
          <w:lang w:val="en-GB"/>
        </w:rPr>
        <w:t>springboard or multiplier effects</w:t>
      </w:r>
      <w:r w:rsidRPr="003C6F8E">
        <w:rPr>
          <w:rFonts w:eastAsia="Times New Roman" w:cs="Times New Roman"/>
          <w:sz w:val="22"/>
          <w:szCs w:val="22"/>
          <w:lang w:val="en-GB"/>
        </w:rPr>
        <w:t>. In their application, project partners will be invited to describe</w:t>
      </w:r>
      <w:r w:rsidR="00630A48">
        <w:rPr>
          <w:rFonts w:eastAsia="Times New Roman" w:cs="Times New Roman"/>
          <w:sz w:val="22"/>
          <w:szCs w:val="22"/>
          <w:lang w:val="en-GB"/>
        </w:rPr>
        <w:t xml:space="preserve">, </w:t>
      </w:r>
      <w:r w:rsidR="00D0786C">
        <w:rPr>
          <w:rFonts w:eastAsia="Times New Roman" w:cs="Times New Roman"/>
          <w:sz w:val="22"/>
          <w:szCs w:val="22"/>
          <w:lang w:val="en-GB"/>
        </w:rPr>
        <w:t xml:space="preserve">if </w:t>
      </w:r>
      <w:r w:rsidR="00FC42CE">
        <w:rPr>
          <w:rFonts w:eastAsia="Times New Roman" w:cs="Times New Roman"/>
          <w:sz w:val="22"/>
          <w:szCs w:val="22"/>
          <w:lang w:val="en-GB"/>
        </w:rPr>
        <w:t>relevant</w:t>
      </w:r>
      <w:r w:rsidR="00630A48">
        <w:rPr>
          <w:rFonts w:eastAsia="Times New Roman" w:cs="Times New Roman"/>
          <w:sz w:val="22"/>
          <w:szCs w:val="22"/>
          <w:lang w:val="en-GB"/>
        </w:rPr>
        <w:t>,</w:t>
      </w:r>
      <w:r w:rsidRPr="003C6F8E">
        <w:rPr>
          <w:rFonts w:eastAsia="Times New Roman" w:cs="Times New Roman"/>
          <w:sz w:val="22"/>
          <w:szCs w:val="22"/>
          <w:lang w:val="en-GB"/>
        </w:rPr>
        <w:t xml:space="preserve"> how their proposal may have such springboard or multiplier effects, for instance by the dissemination or replication of</w:t>
      </w:r>
      <w:r w:rsidR="00BD4AEB">
        <w:rPr>
          <w:rFonts w:eastAsia="Times New Roman" w:cs="Times New Roman"/>
          <w:sz w:val="22"/>
          <w:szCs w:val="22"/>
          <w:lang w:val="en-GB"/>
        </w:rPr>
        <w:t xml:space="preserve"> results in other regions, or because the project can be considered as a pilot that may be</w:t>
      </w:r>
      <w:r w:rsidRPr="003C6F8E">
        <w:rPr>
          <w:rFonts w:eastAsia="Times New Roman" w:cs="Times New Roman"/>
          <w:sz w:val="22"/>
          <w:szCs w:val="22"/>
          <w:lang w:val="en-GB"/>
        </w:rPr>
        <w:t xml:space="preserve"> replicated on a larger scale under other</w:t>
      </w:r>
      <w:r w:rsidR="00BD4AEB">
        <w:rPr>
          <w:rFonts w:eastAsia="Times New Roman" w:cs="Times New Roman"/>
          <w:sz w:val="22"/>
          <w:szCs w:val="22"/>
          <w:lang w:val="en-GB"/>
        </w:rPr>
        <w:t xml:space="preserve"> funding</w:t>
      </w:r>
      <w:r w:rsidRPr="003C6F8E">
        <w:rPr>
          <w:rFonts w:eastAsia="Times New Roman" w:cs="Times New Roman"/>
          <w:sz w:val="22"/>
          <w:szCs w:val="22"/>
          <w:lang w:val="en-GB"/>
        </w:rPr>
        <w:t xml:space="preserve"> initiatives. </w:t>
      </w:r>
    </w:p>
    <w:p w14:paraId="0DE35415" w14:textId="77777777" w:rsidR="00F16F0A" w:rsidRPr="003C6F8E" w:rsidRDefault="00F16F0A" w:rsidP="00D70F63">
      <w:pPr>
        <w:spacing w:before="120" w:after="120" w:line="264" w:lineRule="auto"/>
        <w:jc w:val="both"/>
        <w:rPr>
          <w:rFonts w:eastAsia="Times New Roman" w:cs="Times New Roman"/>
          <w:sz w:val="22"/>
          <w:szCs w:val="22"/>
          <w:lang w:val="en-GB"/>
        </w:rPr>
      </w:pPr>
      <w:r w:rsidRPr="003C6F8E">
        <w:rPr>
          <w:rFonts w:eastAsia="Times New Roman" w:cs="Times New Roman"/>
          <w:sz w:val="22"/>
          <w:szCs w:val="22"/>
          <w:lang w:val="en-GB"/>
        </w:rPr>
        <w:t>Throughout the programme implementation period, the MA/JTS and the programme partners will promote initiatives for the coordination and exchange of information on th</w:t>
      </w:r>
      <w:r w:rsidR="003B1B35">
        <w:rPr>
          <w:rFonts w:eastAsia="Times New Roman" w:cs="Times New Roman"/>
          <w:sz w:val="22"/>
          <w:szCs w:val="22"/>
          <w:lang w:val="en-GB"/>
        </w:rPr>
        <w:t xml:space="preserve">e BSB </w:t>
      </w:r>
      <w:r w:rsidRPr="003C6F8E">
        <w:rPr>
          <w:rFonts w:eastAsia="Times New Roman" w:cs="Times New Roman"/>
          <w:sz w:val="22"/>
          <w:szCs w:val="22"/>
          <w:lang w:val="en-GB"/>
        </w:rPr>
        <w:t>programme strategy with the organisations active in the area. This should allow the programme to use</w:t>
      </w:r>
      <w:r w:rsidR="003B1B35">
        <w:rPr>
          <w:rFonts w:eastAsia="Times New Roman" w:cs="Times New Roman"/>
          <w:sz w:val="22"/>
          <w:szCs w:val="22"/>
          <w:lang w:val="en-GB"/>
        </w:rPr>
        <w:t>, and build on,</w:t>
      </w:r>
      <w:r w:rsidR="004A3C9B">
        <w:rPr>
          <w:rFonts w:eastAsia="Times New Roman" w:cs="Times New Roman"/>
          <w:sz w:val="22"/>
          <w:szCs w:val="22"/>
          <w:lang w:val="en-GB"/>
        </w:rPr>
        <w:t xml:space="preserve"> the experience and</w:t>
      </w:r>
      <w:r w:rsidRPr="003C6F8E">
        <w:rPr>
          <w:rFonts w:eastAsia="Times New Roman" w:cs="Times New Roman"/>
          <w:sz w:val="22"/>
          <w:szCs w:val="22"/>
          <w:lang w:val="en-GB"/>
        </w:rPr>
        <w:t xml:space="preserve"> the results o</w:t>
      </w:r>
      <w:r w:rsidR="003B1B35">
        <w:rPr>
          <w:rFonts w:eastAsia="Times New Roman" w:cs="Times New Roman"/>
          <w:sz w:val="22"/>
          <w:szCs w:val="22"/>
          <w:lang w:val="en-GB"/>
        </w:rPr>
        <w:t>f other programmes working toward</w:t>
      </w:r>
      <w:r w:rsidRPr="003C6F8E">
        <w:rPr>
          <w:rFonts w:eastAsia="Times New Roman" w:cs="Times New Roman"/>
          <w:sz w:val="22"/>
          <w:szCs w:val="22"/>
          <w:lang w:val="en-GB"/>
        </w:rPr>
        <w:t xml:space="preserve"> similar priorities in the eligible</w:t>
      </w:r>
      <w:r w:rsidR="003B1B35">
        <w:rPr>
          <w:rFonts w:eastAsia="Times New Roman" w:cs="Times New Roman"/>
          <w:sz w:val="22"/>
          <w:szCs w:val="22"/>
          <w:lang w:val="en-GB"/>
        </w:rPr>
        <w:t xml:space="preserve"> regions</w:t>
      </w:r>
      <w:r w:rsidRPr="003C6F8E">
        <w:rPr>
          <w:rFonts w:eastAsia="Times New Roman" w:cs="Times New Roman"/>
          <w:sz w:val="22"/>
          <w:szCs w:val="22"/>
          <w:lang w:val="en-GB"/>
        </w:rPr>
        <w:t xml:space="preserve">. </w:t>
      </w:r>
    </w:p>
    <w:p w14:paraId="651D5C34" w14:textId="77777777" w:rsidR="00F16F0A" w:rsidRPr="003C6F8E" w:rsidRDefault="00F16F0A" w:rsidP="00D70F63">
      <w:pPr>
        <w:spacing w:before="120" w:after="120" w:line="264" w:lineRule="auto"/>
        <w:jc w:val="both"/>
        <w:rPr>
          <w:rFonts w:eastAsia="Times New Roman" w:cs="Times New Roman"/>
          <w:sz w:val="22"/>
          <w:szCs w:val="22"/>
          <w:lang w:val="en-GB"/>
        </w:rPr>
      </w:pPr>
      <w:r w:rsidRPr="003C6F8E">
        <w:rPr>
          <w:rFonts w:eastAsia="Times New Roman" w:cs="Times New Roman"/>
          <w:sz w:val="22"/>
          <w:szCs w:val="22"/>
          <w:lang w:val="en-GB"/>
        </w:rPr>
        <w:t>Through an active policy of information and dissemination</w:t>
      </w:r>
      <w:r w:rsidRPr="00F16F0A">
        <w:rPr>
          <w:rFonts w:eastAsia="Times New Roman" w:cs="Times New Roman"/>
          <w:vertAlign w:val="superscript"/>
          <w:lang w:val="en-GB"/>
        </w:rPr>
        <w:footnoteReference w:id="87"/>
      </w:r>
      <w:r w:rsidRPr="003C6F8E">
        <w:rPr>
          <w:rFonts w:eastAsia="Times New Roman" w:cs="Times New Roman"/>
          <w:sz w:val="22"/>
          <w:szCs w:val="22"/>
          <w:lang w:val="en-GB"/>
        </w:rPr>
        <w:t>, the MA/JTS will ensure that the pro</w:t>
      </w:r>
      <w:r w:rsidR="00847606">
        <w:rPr>
          <w:rFonts w:eastAsia="Times New Roman" w:cs="Times New Roman"/>
          <w:sz w:val="22"/>
          <w:szCs w:val="22"/>
          <w:lang w:val="en-GB"/>
        </w:rPr>
        <w:t>jects results and lessons learned</w:t>
      </w:r>
      <w:r w:rsidRPr="003C6F8E">
        <w:rPr>
          <w:rFonts w:eastAsia="Times New Roman" w:cs="Times New Roman"/>
          <w:sz w:val="22"/>
          <w:szCs w:val="22"/>
          <w:lang w:val="en-GB"/>
        </w:rPr>
        <w:t xml:space="preserve"> are made widely available to other programmes and initiatives.</w:t>
      </w:r>
    </w:p>
    <w:p w14:paraId="32672809" w14:textId="77777777" w:rsidR="00F16F0A" w:rsidRPr="003C6F8E" w:rsidRDefault="00F16F0A" w:rsidP="00D70F63">
      <w:pPr>
        <w:spacing w:before="120" w:after="120" w:line="264" w:lineRule="auto"/>
        <w:jc w:val="both"/>
        <w:rPr>
          <w:rFonts w:eastAsia="Times New Roman" w:cs="Times New Roman"/>
          <w:sz w:val="22"/>
          <w:szCs w:val="22"/>
          <w:lang w:val="en-GB"/>
        </w:rPr>
      </w:pPr>
    </w:p>
    <w:p w14:paraId="3A779F63" w14:textId="77777777" w:rsidR="002E04C8" w:rsidRPr="00DD025B" w:rsidRDefault="005C61C3" w:rsidP="002E04C8">
      <w:pPr>
        <w:pStyle w:val="Heading2"/>
        <w:spacing w:after="0" w:line="252" w:lineRule="auto"/>
        <w:jc w:val="left"/>
        <w:rPr>
          <w:sz w:val="10"/>
          <w:szCs w:val="10"/>
          <w:lang w:val="en-GB"/>
        </w:rPr>
      </w:pPr>
      <w:r>
        <w:rPr>
          <w:sz w:val="22"/>
          <w:szCs w:val="22"/>
          <w:lang w:val="en-GB"/>
        </w:rPr>
        <w:br w:type="column"/>
      </w:r>
      <w:bookmarkStart w:id="85" w:name="_Toc402864385"/>
    </w:p>
    <w:p w14:paraId="1A2A62B2" w14:textId="77777777" w:rsidR="00BF239E" w:rsidRDefault="006377FF" w:rsidP="006377FF">
      <w:pPr>
        <w:pStyle w:val="Heading1"/>
        <w:spacing w:before="120" w:after="0" w:line="264" w:lineRule="auto"/>
        <w:ind w:left="1080"/>
        <w:jc w:val="left"/>
        <w:rPr>
          <w:sz w:val="40"/>
          <w:szCs w:val="40"/>
          <w:lang w:val="en-GB"/>
        </w:rPr>
      </w:pPr>
      <w:bookmarkStart w:id="86" w:name="_Toc423436295"/>
      <w:r w:rsidRPr="006377FF">
        <w:rPr>
          <w:bCs w:val="0"/>
          <w:sz w:val="40"/>
          <w:szCs w:val="40"/>
          <w:lang w:val="en-GB"/>
        </w:rPr>
        <w:t>6.</w:t>
      </w:r>
      <w:r>
        <w:rPr>
          <w:sz w:val="40"/>
          <w:szCs w:val="40"/>
          <w:lang w:val="en-GB"/>
        </w:rPr>
        <w:t xml:space="preserve">    </w:t>
      </w:r>
      <w:r w:rsidR="00BF239E">
        <w:rPr>
          <w:sz w:val="40"/>
          <w:szCs w:val="40"/>
          <w:lang w:val="en-GB"/>
        </w:rPr>
        <w:t>Programme structures</w:t>
      </w:r>
      <w:r w:rsidR="00A34E74">
        <w:rPr>
          <w:sz w:val="40"/>
          <w:szCs w:val="40"/>
          <w:lang w:val="en-GB"/>
        </w:rPr>
        <w:t xml:space="preserve"> and national bodies</w:t>
      </w:r>
      <w:bookmarkEnd w:id="86"/>
    </w:p>
    <w:p w14:paraId="67191650" w14:textId="77777777" w:rsidR="0028075A" w:rsidRPr="002B2C50" w:rsidRDefault="0028075A" w:rsidP="00BF239E">
      <w:pPr>
        <w:pStyle w:val="Heading1"/>
        <w:spacing w:before="120" w:after="0" w:line="264" w:lineRule="auto"/>
        <w:ind w:left="1440"/>
        <w:jc w:val="left"/>
        <w:rPr>
          <w:rFonts w:asciiTheme="minorHAnsi" w:hAnsiTheme="minorHAnsi"/>
          <w:sz w:val="22"/>
          <w:szCs w:val="22"/>
          <w:lang w:val="en-GB"/>
        </w:rPr>
      </w:pPr>
    </w:p>
    <w:p w14:paraId="4879D820" w14:textId="77777777" w:rsidR="0028075A" w:rsidRPr="00682784" w:rsidRDefault="0028075A" w:rsidP="003574FD">
      <w:pPr>
        <w:spacing w:before="120" w:line="252" w:lineRule="auto"/>
        <w:contextualSpacing/>
        <w:jc w:val="both"/>
        <w:rPr>
          <w:rFonts w:cs="ArialMT"/>
          <w:bCs/>
          <w:sz w:val="22"/>
          <w:szCs w:val="22"/>
          <w:lang w:val="en-GB"/>
        </w:rPr>
      </w:pPr>
      <w:r w:rsidRPr="00682784">
        <w:rPr>
          <w:rFonts w:cs="ArialMT"/>
          <w:bCs/>
          <w:sz w:val="22"/>
          <w:szCs w:val="22"/>
          <w:lang w:val="en-GB"/>
        </w:rPr>
        <w:t xml:space="preserve">The Black Sea Basin </w:t>
      </w:r>
      <w:r w:rsidR="006860AD" w:rsidRPr="00682784">
        <w:rPr>
          <w:rFonts w:cs="ArialMT"/>
          <w:bCs/>
          <w:sz w:val="22"/>
          <w:szCs w:val="22"/>
          <w:lang w:val="en-GB"/>
        </w:rPr>
        <w:t xml:space="preserve">ENI-CBC </w:t>
      </w:r>
      <w:r w:rsidRPr="00682784">
        <w:rPr>
          <w:rFonts w:cs="ArialMT"/>
          <w:bCs/>
          <w:sz w:val="22"/>
          <w:szCs w:val="22"/>
          <w:lang w:val="en-GB"/>
        </w:rPr>
        <w:t>Programme management and control system will be organised with the following authorities, structures and bodies:</w:t>
      </w:r>
    </w:p>
    <w:p w14:paraId="05650E08" w14:textId="77777777" w:rsidR="0028075A" w:rsidRPr="00682784" w:rsidRDefault="0028075A" w:rsidP="003574FD">
      <w:pPr>
        <w:numPr>
          <w:ilvl w:val="0"/>
          <w:numId w:val="44"/>
        </w:numPr>
        <w:spacing w:before="200" w:after="0" w:line="252" w:lineRule="auto"/>
        <w:ind w:left="714" w:hanging="357"/>
        <w:jc w:val="both"/>
        <w:rPr>
          <w:rFonts w:cs="ArialMT"/>
          <w:bCs/>
          <w:sz w:val="22"/>
          <w:szCs w:val="22"/>
          <w:lang w:val="en-GB"/>
        </w:rPr>
      </w:pPr>
      <w:r w:rsidRPr="00682784">
        <w:rPr>
          <w:rFonts w:cs="ArialMT"/>
          <w:b/>
          <w:sz w:val="22"/>
          <w:szCs w:val="22"/>
          <w:lang w:val="en-GB"/>
        </w:rPr>
        <w:t>Joint Monitoring Committee (JMC)</w:t>
      </w:r>
      <w:r w:rsidRPr="00682784">
        <w:rPr>
          <w:rFonts w:cs="ArialMT"/>
          <w:bCs/>
          <w:sz w:val="22"/>
          <w:szCs w:val="22"/>
          <w:lang w:val="en-GB"/>
        </w:rPr>
        <w:t>: supervises and monitors programme implementation and is responsible for the approval of project proposals;</w:t>
      </w:r>
    </w:p>
    <w:p w14:paraId="10D80A8C"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Managing Authority (MA)</w:t>
      </w:r>
      <w:r w:rsidRPr="00682784">
        <w:rPr>
          <w:rFonts w:cs="ArialMT"/>
          <w:bCs/>
          <w:sz w:val="22"/>
          <w:szCs w:val="22"/>
          <w:lang w:val="en-GB"/>
        </w:rPr>
        <w:t xml:space="preserve">: responsible for the management and implementation of the programme; </w:t>
      </w:r>
    </w:p>
    <w:p w14:paraId="4B1954D5"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Audit Authority (AA)</w:t>
      </w:r>
      <w:r w:rsidRPr="00682784">
        <w:rPr>
          <w:rFonts w:cs="ArialMT"/>
          <w:bCs/>
          <w:sz w:val="22"/>
          <w:szCs w:val="22"/>
          <w:lang w:val="en-GB"/>
        </w:rPr>
        <w:t>: carries out audits on the programme management and control systems, on an appropriate sample of projects and on the annual accounts of the programme;</w:t>
      </w:r>
    </w:p>
    <w:p w14:paraId="25D83D28"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National Authorities (NAs)</w:t>
      </w:r>
      <w:r w:rsidRPr="00682784">
        <w:rPr>
          <w:rFonts w:cs="ArialMT"/>
          <w:bCs/>
          <w:sz w:val="22"/>
          <w:szCs w:val="22"/>
          <w:lang w:val="en-GB"/>
        </w:rPr>
        <w:t>: national counterpart institution to the Managing Authority in each participating country and overall responsible for supporting the MA in the implementation of the programme in their own countries;</w:t>
      </w:r>
    </w:p>
    <w:p w14:paraId="73AEEFD6"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Group of Auditors (</w:t>
      </w:r>
      <w:proofErr w:type="spellStart"/>
      <w:r w:rsidRPr="00682784">
        <w:rPr>
          <w:rFonts w:cs="ArialMT"/>
          <w:b/>
          <w:sz w:val="22"/>
          <w:szCs w:val="22"/>
          <w:lang w:val="en-GB"/>
        </w:rPr>
        <w:t>GoA</w:t>
      </w:r>
      <w:proofErr w:type="spellEnd"/>
      <w:r w:rsidRPr="00682784">
        <w:rPr>
          <w:rFonts w:cs="ArialMT"/>
          <w:b/>
          <w:sz w:val="22"/>
          <w:szCs w:val="22"/>
          <w:lang w:val="en-GB"/>
        </w:rPr>
        <w:t>)</w:t>
      </w:r>
      <w:r w:rsidRPr="00682784">
        <w:rPr>
          <w:rFonts w:cs="ArialMT"/>
          <w:bCs/>
          <w:sz w:val="22"/>
          <w:szCs w:val="22"/>
          <w:lang w:val="en-GB"/>
        </w:rPr>
        <w:t>: assists the Audit Authority in carrying out its tasks;</w:t>
      </w:r>
    </w:p>
    <w:p w14:paraId="1933C973"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Control Contact Points (CCPs)</w:t>
      </w:r>
      <w:r w:rsidRPr="00682784">
        <w:rPr>
          <w:rFonts w:cs="ArialMT"/>
          <w:bCs/>
          <w:sz w:val="22"/>
          <w:szCs w:val="22"/>
          <w:lang w:val="en-GB"/>
        </w:rPr>
        <w:t>: support the Managing Authority in its control functions;</w:t>
      </w:r>
    </w:p>
    <w:p w14:paraId="72C3F90C"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Joint Technical Secretariat (JTS)</w:t>
      </w:r>
      <w:r w:rsidRPr="00682784">
        <w:rPr>
          <w:rFonts w:cs="ArialMT"/>
          <w:bCs/>
          <w:sz w:val="22"/>
          <w:szCs w:val="22"/>
          <w:lang w:val="en-GB"/>
        </w:rPr>
        <w:t>: assists the MA, JMC, AA and the SC in carrying out their respective duties;</w:t>
      </w:r>
    </w:p>
    <w:p w14:paraId="63362B02" w14:textId="77777777" w:rsidR="0028075A" w:rsidRPr="00682784" w:rsidRDefault="0028075A" w:rsidP="003574FD">
      <w:pPr>
        <w:numPr>
          <w:ilvl w:val="0"/>
          <w:numId w:val="44"/>
        </w:numPr>
        <w:spacing w:before="200" w:after="0" w:line="252" w:lineRule="auto"/>
        <w:ind w:left="714" w:hanging="357"/>
        <w:contextualSpacing/>
        <w:jc w:val="both"/>
        <w:rPr>
          <w:rFonts w:cs="ArialMT"/>
          <w:bCs/>
          <w:sz w:val="22"/>
          <w:szCs w:val="22"/>
          <w:lang w:val="en-GB"/>
        </w:rPr>
      </w:pPr>
      <w:r w:rsidRPr="00682784">
        <w:rPr>
          <w:rFonts w:cs="ArialMT"/>
          <w:b/>
          <w:sz w:val="22"/>
          <w:szCs w:val="22"/>
          <w:lang w:val="en-GB"/>
        </w:rPr>
        <w:t>Selection Committee (SC)</w:t>
      </w:r>
      <w:r w:rsidRPr="00682784">
        <w:rPr>
          <w:rFonts w:cs="ArialMT"/>
          <w:bCs/>
          <w:sz w:val="22"/>
          <w:szCs w:val="22"/>
          <w:lang w:val="en-GB"/>
        </w:rPr>
        <w:t>: supervises the evaluation and selection</w:t>
      </w:r>
      <w:r w:rsidRPr="00682784">
        <w:rPr>
          <w:lang w:val="en-GB"/>
        </w:rPr>
        <w:t xml:space="preserve"> </w:t>
      </w:r>
      <w:r w:rsidRPr="00682784">
        <w:rPr>
          <w:rFonts w:cs="ArialMT"/>
          <w:bCs/>
          <w:sz w:val="22"/>
          <w:szCs w:val="22"/>
          <w:lang w:val="en-GB"/>
        </w:rPr>
        <w:t>of the project proposals received during calls and issues recommendations for award decisions to JMC</w:t>
      </w:r>
      <w:r w:rsidRPr="002B2C50">
        <w:rPr>
          <w:rStyle w:val="FootnoteReference"/>
          <w:rFonts w:cs="ArialMT"/>
          <w:bCs/>
          <w:sz w:val="22"/>
          <w:szCs w:val="22"/>
        </w:rPr>
        <w:footnoteReference w:id="88"/>
      </w:r>
      <w:r w:rsidRPr="00682784">
        <w:rPr>
          <w:rFonts w:cs="ArialMT"/>
          <w:bCs/>
          <w:sz w:val="22"/>
          <w:szCs w:val="22"/>
          <w:lang w:val="en-GB"/>
        </w:rPr>
        <w:t>.</w:t>
      </w:r>
    </w:p>
    <w:p w14:paraId="301CCA10" w14:textId="77777777" w:rsidR="0028075A" w:rsidRPr="00682784" w:rsidRDefault="0028075A" w:rsidP="006259DB">
      <w:pPr>
        <w:tabs>
          <w:tab w:val="left" w:pos="284"/>
        </w:tabs>
        <w:jc w:val="both"/>
        <w:rPr>
          <w:rFonts w:cs="Arial"/>
          <w:b/>
          <w:bCs/>
          <w:iCs/>
          <w:color w:val="8DB3E2"/>
          <w:sz w:val="12"/>
          <w:szCs w:val="12"/>
          <w:lang w:val="en-GB"/>
        </w:rPr>
      </w:pPr>
    </w:p>
    <w:p w14:paraId="5B809596" w14:textId="77777777" w:rsidR="0028075A" w:rsidRPr="002B2A70" w:rsidRDefault="006377FF" w:rsidP="006259DB">
      <w:pPr>
        <w:pStyle w:val="Heading3"/>
        <w:spacing w:before="240" w:after="240" w:line="264" w:lineRule="auto"/>
        <w:jc w:val="both"/>
        <w:rPr>
          <w:b/>
          <w:sz w:val="28"/>
          <w:szCs w:val="28"/>
          <w:lang w:val="en-GB"/>
        </w:rPr>
      </w:pPr>
      <w:bookmarkStart w:id="87" w:name="_Toc423436296"/>
      <w:r>
        <w:rPr>
          <w:b/>
          <w:sz w:val="28"/>
          <w:szCs w:val="28"/>
          <w:lang w:val="en-GB"/>
        </w:rPr>
        <w:t xml:space="preserve">6.1 </w:t>
      </w:r>
      <w:r w:rsidR="0028075A" w:rsidRPr="002B2A70">
        <w:rPr>
          <w:b/>
          <w:sz w:val="28"/>
          <w:szCs w:val="28"/>
          <w:lang w:val="en-GB"/>
        </w:rPr>
        <w:t>Joint Monitoring Committee (JMC)</w:t>
      </w:r>
      <w:bookmarkEnd w:id="87"/>
    </w:p>
    <w:p w14:paraId="6EF78A29" w14:textId="77777777" w:rsidR="0028075A" w:rsidRPr="00682784" w:rsidRDefault="0028075A" w:rsidP="003574FD">
      <w:pPr>
        <w:tabs>
          <w:tab w:val="left" w:pos="284"/>
        </w:tabs>
        <w:spacing w:line="252" w:lineRule="auto"/>
        <w:jc w:val="both"/>
        <w:rPr>
          <w:rFonts w:cs="ArialMT"/>
          <w:bCs/>
          <w:sz w:val="22"/>
          <w:szCs w:val="22"/>
          <w:lang w:val="en-GB"/>
        </w:rPr>
      </w:pPr>
      <w:r w:rsidRPr="00682784">
        <w:rPr>
          <w:rFonts w:cs="ArialMT"/>
          <w:bCs/>
          <w:sz w:val="22"/>
          <w:szCs w:val="22"/>
          <w:lang w:val="en-GB"/>
        </w:rPr>
        <w:t xml:space="preserve">The countries participating in the programme will establish a Joint Monitoring Committee (JMC) within three months of the date of the adoption of the programme by the European Commission. The JMC will be the joint decision-making structure for the programme. </w:t>
      </w:r>
    </w:p>
    <w:p w14:paraId="297C2B9A" w14:textId="364214B7" w:rsidR="0028075A" w:rsidRPr="00A409E3" w:rsidRDefault="0028075A" w:rsidP="006259DB">
      <w:pPr>
        <w:spacing w:before="240" w:after="120"/>
        <w:jc w:val="both"/>
        <w:rPr>
          <w:b/>
          <w:lang w:val="en-GB"/>
        </w:rPr>
      </w:pPr>
      <w:r w:rsidRPr="00A409E3">
        <w:rPr>
          <w:b/>
          <w:lang w:val="en-GB"/>
        </w:rPr>
        <w:t>Composition</w:t>
      </w:r>
      <w:r w:rsidR="007D201B">
        <w:rPr>
          <w:b/>
          <w:lang w:val="en-GB"/>
        </w:rPr>
        <w:t xml:space="preserve"> </w:t>
      </w:r>
      <w:r w:rsidR="007D201B" w:rsidRPr="007D201B">
        <w:rPr>
          <w:lang w:val="en-GB"/>
        </w:rPr>
        <w:t>(in accordance with Article 21 of ENI CBC I</w:t>
      </w:r>
      <w:r w:rsidR="00B55F57">
        <w:rPr>
          <w:lang w:val="en-GB"/>
        </w:rPr>
        <w:t xml:space="preserve">mplementing </w:t>
      </w:r>
      <w:r w:rsidR="007D201B" w:rsidRPr="007D201B">
        <w:rPr>
          <w:lang w:val="en-GB"/>
        </w:rPr>
        <w:t>R</w:t>
      </w:r>
      <w:r w:rsidR="00B55F57">
        <w:rPr>
          <w:lang w:val="en-GB"/>
        </w:rPr>
        <w:t>ules</w:t>
      </w:r>
      <w:r w:rsidR="007D201B" w:rsidRPr="007D201B">
        <w:rPr>
          <w:lang w:val="en-GB"/>
        </w:rPr>
        <w:t>)</w:t>
      </w:r>
    </w:p>
    <w:p w14:paraId="1BA16B38" w14:textId="77777777" w:rsidR="0028075A" w:rsidRPr="00682784" w:rsidRDefault="0028075A" w:rsidP="00F0771E">
      <w:pPr>
        <w:spacing w:after="120" w:line="252" w:lineRule="auto"/>
        <w:jc w:val="both"/>
        <w:rPr>
          <w:rFonts w:cs="ArialMT"/>
          <w:bCs/>
          <w:sz w:val="22"/>
          <w:szCs w:val="22"/>
          <w:lang w:val="en-GB"/>
        </w:rPr>
      </w:pPr>
      <w:r w:rsidRPr="00682784">
        <w:rPr>
          <w:rFonts w:cs="ArialMT"/>
          <w:bCs/>
          <w:sz w:val="22"/>
          <w:szCs w:val="22"/>
          <w:lang w:val="en-GB"/>
        </w:rPr>
        <w:t>Each participating country shall appoint its representatives to the JMC before it is set up. The appointment is functional and not personal.</w:t>
      </w:r>
      <w:r w:rsidRPr="00682784">
        <w:rPr>
          <w:lang w:val="en-GB"/>
        </w:rPr>
        <w:t xml:space="preserve"> </w:t>
      </w:r>
      <w:r w:rsidRPr="00682784">
        <w:rPr>
          <w:rFonts w:cs="ArialMT"/>
          <w:bCs/>
          <w:sz w:val="22"/>
          <w:szCs w:val="22"/>
          <w:lang w:val="en-GB"/>
        </w:rPr>
        <w:t>The JMC will include:</w:t>
      </w:r>
    </w:p>
    <w:p w14:paraId="1A9B06A2" w14:textId="77777777" w:rsidR="0028075A" w:rsidRPr="00682784" w:rsidRDefault="0028075A" w:rsidP="003574FD">
      <w:pPr>
        <w:numPr>
          <w:ilvl w:val="0"/>
          <w:numId w:val="45"/>
        </w:numPr>
        <w:spacing w:before="200" w:after="0" w:line="252" w:lineRule="auto"/>
        <w:ind w:left="714" w:hanging="357"/>
        <w:contextualSpacing/>
        <w:jc w:val="both"/>
        <w:rPr>
          <w:rFonts w:cs="ArialMT"/>
          <w:bCs/>
          <w:sz w:val="22"/>
          <w:szCs w:val="22"/>
          <w:lang w:val="en-GB"/>
        </w:rPr>
      </w:pPr>
      <w:r w:rsidRPr="00682784">
        <w:rPr>
          <w:rFonts w:cs="ArialMT"/>
          <w:bCs/>
          <w:sz w:val="22"/>
          <w:szCs w:val="22"/>
          <w:lang w:val="en-GB"/>
        </w:rPr>
        <w:t>A delegation from each country participating in the programme, with one voting right per delegation</w:t>
      </w:r>
    </w:p>
    <w:p w14:paraId="485A2CAC" w14:textId="43284E4E" w:rsidR="0028075A" w:rsidRPr="00682784" w:rsidRDefault="0028075A" w:rsidP="003574FD">
      <w:pPr>
        <w:numPr>
          <w:ilvl w:val="0"/>
          <w:numId w:val="45"/>
        </w:numPr>
        <w:spacing w:before="200" w:after="0" w:line="252" w:lineRule="auto"/>
        <w:ind w:left="714" w:hanging="357"/>
        <w:contextualSpacing/>
        <w:jc w:val="both"/>
        <w:rPr>
          <w:rFonts w:cs="ArialMT"/>
          <w:bCs/>
          <w:sz w:val="22"/>
          <w:szCs w:val="22"/>
          <w:lang w:val="en-GB"/>
        </w:rPr>
      </w:pPr>
      <w:r w:rsidRPr="00682784">
        <w:rPr>
          <w:rFonts w:cs="ArialMT"/>
          <w:bCs/>
          <w:sz w:val="22"/>
          <w:szCs w:val="22"/>
          <w:lang w:val="en-GB"/>
        </w:rPr>
        <w:t>A Chairperson, the role will be fulfilled by the Head of the MA or any other person</w:t>
      </w:r>
      <w:r w:rsidR="009B7942">
        <w:rPr>
          <w:rFonts w:cs="ArialMT"/>
          <w:bCs/>
          <w:sz w:val="22"/>
          <w:szCs w:val="22"/>
          <w:lang w:val="en-GB"/>
        </w:rPr>
        <w:t xml:space="preserve"> from the MA</w:t>
      </w:r>
      <w:r w:rsidRPr="00682784">
        <w:rPr>
          <w:rFonts w:cs="ArialMT"/>
          <w:bCs/>
          <w:sz w:val="22"/>
          <w:szCs w:val="22"/>
          <w:lang w:val="en-GB"/>
        </w:rPr>
        <w:t xml:space="preserve"> appointed to replace him/her, without voting rights;</w:t>
      </w:r>
    </w:p>
    <w:p w14:paraId="4670A8B0" w14:textId="77777777" w:rsidR="0028075A" w:rsidRPr="00682784" w:rsidRDefault="0028075A" w:rsidP="003574FD">
      <w:pPr>
        <w:numPr>
          <w:ilvl w:val="0"/>
          <w:numId w:val="45"/>
        </w:numPr>
        <w:spacing w:before="200" w:after="0" w:line="252" w:lineRule="auto"/>
        <w:ind w:left="714" w:hanging="357"/>
        <w:contextualSpacing/>
        <w:jc w:val="both"/>
        <w:rPr>
          <w:rFonts w:cs="ArialMT"/>
          <w:bCs/>
          <w:sz w:val="22"/>
          <w:szCs w:val="22"/>
          <w:lang w:val="en-GB"/>
        </w:rPr>
      </w:pPr>
      <w:r w:rsidRPr="00682784">
        <w:rPr>
          <w:rFonts w:cs="ArialMT"/>
          <w:bCs/>
          <w:sz w:val="22"/>
          <w:szCs w:val="22"/>
          <w:lang w:val="en-GB"/>
        </w:rPr>
        <w:t>A Secretary appointed by the MA, without voting rights;</w:t>
      </w:r>
    </w:p>
    <w:p w14:paraId="6B04387C" w14:textId="77777777" w:rsidR="0028075A" w:rsidRPr="00682784" w:rsidRDefault="0028075A" w:rsidP="003574FD">
      <w:pPr>
        <w:numPr>
          <w:ilvl w:val="0"/>
          <w:numId w:val="45"/>
        </w:numPr>
        <w:spacing w:before="200" w:after="0" w:line="252" w:lineRule="auto"/>
        <w:ind w:left="714" w:hanging="357"/>
        <w:contextualSpacing/>
        <w:jc w:val="both"/>
        <w:rPr>
          <w:rFonts w:cs="ArialMT"/>
          <w:bCs/>
          <w:sz w:val="22"/>
          <w:szCs w:val="22"/>
          <w:lang w:val="en-GB"/>
        </w:rPr>
      </w:pPr>
      <w:r w:rsidRPr="00682784">
        <w:rPr>
          <w:rFonts w:cs="ArialMT"/>
          <w:bCs/>
          <w:sz w:val="22"/>
          <w:szCs w:val="22"/>
          <w:lang w:val="en-GB"/>
        </w:rPr>
        <w:t>A representative/representatives of the European Commission as observer/s;</w:t>
      </w:r>
    </w:p>
    <w:p w14:paraId="1BF7D101" w14:textId="77777777" w:rsidR="0028075A" w:rsidRDefault="0028075A" w:rsidP="003574FD">
      <w:pPr>
        <w:numPr>
          <w:ilvl w:val="0"/>
          <w:numId w:val="45"/>
        </w:numPr>
        <w:spacing w:before="200" w:after="0" w:line="252" w:lineRule="auto"/>
        <w:ind w:left="714" w:hanging="357"/>
        <w:contextualSpacing/>
        <w:jc w:val="both"/>
        <w:rPr>
          <w:rFonts w:cs="ArialMT"/>
          <w:bCs/>
          <w:sz w:val="22"/>
          <w:szCs w:val="22"/>
          <w:lang w:val="en-GB"/>
        </w:rPr>
      </w:pPr>
      <w:r w:rsidRPr="00682784">
        <w:rPr>
          <w:rFonts w:cs="ArialMT"/>
          <w:bCs/>
          <w:sz w:val="22"/>
          <w:szCs w:val="22"/>
          <w:lang w:val="en-GB"/>
        </w:rPr>
        <w:t>Other observers, at the proposal of any delegation, the MA or the EC.</w:t>
      </w:r>
    </w:p>
    <w:p w14:paraId="338E1F47" w14:textId="77777777" w:rsidR="007D201B" w:rsidRPr="00682784" w:rsidRDefault="007D201B" w:rsidP="007D201B">
      <w:pPr>
        <w:spacing w:before="200" w:after="0" w:line="252" w:lineRule="auto"/>
        <w:ind w:left="714"/>
        <w:contextualSpacing/>
        <w:jc w:val="both"/>
        <w:rPr>
          <w:rFonts w:cs="ArialMT"/>
          <w:bCs/>
          <w:sz w:val="22"/>
          <w:szCs w:val="22"/>
          <w:lang w:val="en-GB"/>
        </w:rPr>
      </w:pPr>
    </w:p>
    <w:p w14:paraId="0D19D2D5" w14:textId="77777777" w:rsidR="0028075A" w:rsidRPr="00682784" w:rsidRDefault="0028075A" w:rsidP="003574FD">
      <w:pPr>
        <w:spacing w:line="252" w:lineRule="auto"/>
        <w:jc w:val="both"/>
        <w:rPr>
          <w:rFonts w:cs="ArialMT"/>
          <w:bCs/>
          <w:sz w:val="22"/>
          <w:szCs w:val="22"/>
          <w:lang w:val="en-GB"/>
        </w:rPr>
      </w:pPr>
      <w:r w:rsidRPr="00682784">
        <w:rPr>
          <w:rFonts w:cs="ArialMT"/>
          <w:bCs/>
          <w:sz w:val="22"/>
          <w:szCs w:val="22"/>
          <w:lang w:val="en-GB"/>
        </w:rPr>
        <w:t>Participating countries shall ensure, whenever possible and appropriate, the adequate participation of all actors concerned and, in particular, local stakeholders including civil society organisations and local authorities in order to ensure their participation in the implementation of the programme.</w:t>
      </w:r>
    </w:p>
    <w:p w14:paraId="6E52A7E7" w14:textId="77777777" w:rsidR="007D201B" w:rsidRDefault="007D201B" w:rsidP="006259DB">
      <w:pPr>
        <w:spacing w:before="240" w:after="120"/>
        <w:jc w:val="both"/>
        <w:rPr>
          <w:b/>
          <w:lang w:val="en-GB"/>
        </w:rPr>
      </w:pPr>
    </w:p>
    <w:p w14:paraId="50A6E793" w14:textId="680C9D31" w:rsidR="007D201B" w:rsidRPr="007D201B" w:rsidRDefault="0028075A" w:rsidP="007D201B">
      <w:pPr>
        <w:spacing w:before="240" w:after="120"/>
        <w:jc w:val="both"/>
        <w:rPr>
          <w:lang w:val="en-GB"/>
        </w:rPr>
      </w:pPr>
      <w:r w:rsidRPr="00A409E3">
        <w:rPr>
          <w:b/>
          <w:lang w:val="en-GB"/>
        </w:rPr>
        <w:lastRenderedPageBreak/>
        <w:t>Functions</w:t>
      </w:r>
      <w:r w:rsidR="007D201B" w:rsidRPr="001E5BE2">
        <w:rPr>
          <w:lang w:val="en-GB"/>
        </w:rPr>
        <w:t xml:space="preserve"> </w:t>
      </w:r>
      <w:r w:rsidR="007D201B" w:rsidRPr="007D201B">
        <w:rPr>
          <w:b/>
          <w:lang w:val="en-GB"/>
        </w:rPr>
        <w:t xml:space="preserve">of the JMC </w:t>
      </w:r>
      <w:r w:rsidR="007D201B" w:rsidRPr="007D201B">
        <w:rPr>
          <w:lang w:val="en-GB"/>
        </w:rPr>
        <w:t xml:space="preserve">(in accordance with Article 24 of the ENI CBC </w:t>
      </w:r>
      <w:r w:rsidR="00B55F57" w:rsidRPr="007D201B">
        <w:rPr>
          <w:lang w:val="en-GB"/>
        </w:rPr>
        <w:t>I</w:t>
      </w:r>
      <w:r w:rsidR="00B55F57">
        <w:rPr>
          <w:lang w:val="en-GB"/>
        </w:rPr>
        <w:t xml:space="preserve">mplementing </w:t>
      </w:r>
      <w:r w:rsidR="00B55F57" w:rsidRPr="007D201B">
        <w:rPr>
          <w:lang w:val="en-GB"/>
        </w:rPr>
        <w:t>R</w:t>
      </w:r>
      <w:r w:rsidR="00B55F57">
        <w:rPr>
          <w:lang w:val="en-GB"/>
        </w:rPr>
        <w:t>ules</w:t>
      </w:r>
      <w:r w:rsidR="007D201B" w:rsidRPr="007D201B">
        <w:rPr>
          <w:lang w:val="en-GB"/>
        </w:rPr>
        <w:t>)</w:t>
      </w:r>
    </w:p>
    <w:p w14:paraId="2E0EE1BF" w14:textId="5B347FBE" w:rsidR="007D201B" w:rsidRPr="007D201B" w:rsidRDefault="007D201B" w:rsidP="007D201B">
      <w:pPr>
        <w:spacing w:before="240" w:after="120"/>
        <w:jc w:val="both"/>
        <w:rPr>
          <w:sz w:val="22"/>
          <w:szCs w:val="22"/>
          <w:lang w:val="en-GB"/>
        </w:rPr>
      </w:pPr>
      <w:r w:rsidRPr="007D201B">
        <w:rPr>
          <w:sz w:val="22"/>
          <w:szCs w:val="22"/>
          <w:lang w:val="en-GB"/>
        </w:rPr>
        <w:t>The JMC shall follow the programme implementation and progress towards its priorities using the objectively verifiable indicators and related target va</w:t>
      </w:r>
      <w:r w:rsidR="0017013C">
        <w:rPr>
          <w:sz w:val="22"/>
          <w:szCs w:val="22"/>
          <w:lang w:val="en-GB"/>
        </w:rPr>
        <w:t xml:space="preserve">lues defined in the programme. </w:t>
      </w:r>
      <w:r w:rsidRPr="007D201B">
        <w:rPr>
          <w:sz w:val="22"/>
          <w:szCs w:val="22"/>
          <w:lang w:val="en-GB"/>
        </w:rPr>
        <w:t>The JMC shall examine all issues affecting the programme performance.</w:t>
      </w:r>
    </w:p>
    <w:p w14:paraId="32B9E316" w14:textId="13A77238" w:rsidR="0028075A" w:rsidRPr="007D201B" w:rsidRDefault="007D201B" w:rsidP="007D201B">
      <w:pPr>
        <w:spacing w:before="240" w:after="120"/>
        <w:jc w:val="both"/>
        <w:rPr>
          <w:sz w:val="22"/>
          <w:szCs w:val="22"/>
          <w:lang w:val="en-GB"/>
        </w:rPr>
      </w:pPr>
      <w:r w:rsidRPr="007D201B">
        <w:rPr>
          <w:sz w:val="22"/>
          <w:szCs w:val="22"/>
          <w:lang w:val="en-GB"/>
        </w:rPr>
        <w:t>The JMC may issue recommendations to the Managing Authority regarding the programme implementation and evaluation. It shall monitor actions undertaken as a result of its recommendations.</w:t>
      </w:r>
    </w:p>
    <w:p w14:paraId="20499531" w14:textId="77777777" w:rsidR="0028075A" w:rsidRPr="00682784" w:rsidRDefault="0028075A" w:rsidP="00F0771E">
      <w:pPr>
        <w:spacing w:after="120" w:line="21" w:lineRule="atLeast"/>
        <w:jc w:val="both"/>
        <w:rPr>
          <w:rFonts w:cs="ArialMT"/>
          <w:bCs/>
          <w:sz w:val="22"/>
          <w:szCs w:val="22"/>
          <w:lang w:val="en-GB"/>
        </w:rPr>
      </w:pPr>
      <w:r w:rsidRPr="00682784">
        <w:rPr>
          <w:rFonts w:cs="ArialMT"/>
          <w:bCs/>
          <w:sz w:val="22"/>
          <w:szCs w:val="22"/>
          <w:lang w:val="en-GB"/>
        </w:rPr>
        <w:t>The main functions of the JMC will be:</w:t>
      </w:r>
    </w:p>
    <w:p w14:paraId="41ED363E"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Approve the MA work programme and financial plan, including the use of technical assistance;</w:t>
      </w:r>
    </w:p>
    <w:p w14:paraId="4446C044"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Monitor the implementation by the MA of the work programme and financial plan;</w:t>
      </w:r>
    </w:p>
    <w:p w14:paraId="694ABF13"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 xml:space="preserve">Approve the criteria for selecting projects to be financed; </w:t>
      </w:r>
    </w:p>
    <w:p w14:paraId="73913BF4"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 xml:space="preserve">Be responsible for the evaluation and selection procedure of projects to be financed; </w:t>
      </w:r>
    </w:p>
    <w:p w14:paraId="25B5E9BE"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Approve any proposal to revise the programme or the description of management and control systems;</w:t>
      </w:r>
    </w:p>
    <w:p w14:paraId="4ED4D94B"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 xml:space="preserve">Examine all reports submitted by MA and, if necessary, take appropriate measures; </w:t>
      </w:r>
    </w:p>
    <w:p w14:paraId="56A0DFB9"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Examine all contentious cases brought to its attention by MA, including the recovery of funds;</w:t>
      </w:r>
    </w:p>
    <w:p w14:paraId="74B38F00" w14:textId="1E7E43C9"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Examine and approve annual reports</w:t>
      </w:r>
      <w:r w:rsidR="007D201B">
        <w:rPr>
          <w:rFonts w:cs="ArialMT"/>
          <w:bCs/>
          <w:sz w:val="22"/>
          <w:szCs w:val="22"/>
          <w:lang w:val="en-GB"/>
        </w:rPr>
        <w:t xml:space="preserve"> referred to in Article 77 of  ENI CBC </w:t>
      </w:r>
      <w:r w:rsidR="00B55F57" w:rsidRPr="00B55F57">
        <w:rPr>
          <w:rFonts w:cs="ArialMT"/>
          <w:bCs/>
          <w:sz w:val="22"/>
          <w:szCs w:val="22"/>
          <w:lang w:val="en-GB"/>
        </w:rPr>
        <w:t>Implementing Rules</w:t>
      </w:r>
      <w:r w:rsidRPr="00682784">
        <w:rPr>
          <w:rFonts w:cs="ArialMT"/>
          <w:bCs/>
          <w:sz w:val="22"/>
          <w:szCs w:val="22"/>
          <w:lang w:val="en-GB"/>
        </w:rPr>
        <w:t>;</w:t>
      </w:r>
    </w:p>
    <w:p w14:paraId="2781E831" w14:textId="79B5B7DC" w:rsidR="0028075A" w:rsidRPr="00682784" w:rsidRDefault="0028075A" w:rsidP="00B55F57">
      <w:pPr>
        <w:numPr>
          <w:ilvl w:val="0"/>
          <w:numId w:val="46"/>
        </w:numPr>
        <w:spacing w:before="200" w:after="0" w:line="21" w:lineRule="atLeast"/>
        <w:contextualSpacing/>
        <w:jc w:val="both"/>
        <w:rPr>
          <w:rFonts w:cs="ArialMT"/>
          <w:bCs/>
          <w:sz w:val="22"/>
          <w:szCs w:val="22"/>
          <w:lang w:val="en-GB"/>
        </w:rPr>
      </w:pPr>
      <w:r w:rsidRPr="00682784">
        <w:rPr>
          <w:rFonts w:cs="ArialMT"/>
          <w:bCs/>
          <w:sz w:val="22"/>
          <w:szCs w:val="22"/>
          <w:lang w:val="en-GB"/>
        </w:rPr>
        <w:t>Examine and approve the annual monitoring and evaluation plan</w:t>
      </w:r>
      <w:r w:rsidR="007D201B">
        <w:rPr>
          <w:rFonts w:cs="ArialMT"/>
          <w:bCs/>
          <w:sz w:val="22"/>
          <w:szCs w:val="22"/>
          <w:lang w:val="en-GB"/>
        </w:rPr>
        <w:t xml:space="preserve"> referred to in Article 78 of ENI CBC </w:t>
      </w:r>
      <w:r w:rsidR="00B55F57" w:rsidRPr="00B55F57">
        <w:rPr>
          <w:rFonts w:cs="ArialMT"/>
          <w:bCs/>
          <w:sz w:val="22"/>
          <w:szCs w:val="22"/>
          <w:lang w:val="en-GB"/>
        </w:rPr>
        <w:t>Implementing Rules</w:t>
      </w:r>
      <w:r w:rsidRPr="00682784">
        <w:rPr>
          <w:rFonts w:cs="ArialMT"/>
          <w:bCs/>
          <w:sz w:val="22"/>
          <w:szCs w:val="22"/>
          <w:lang w:val="en-GB"/>
        </w:rPr>
        <w:t>;</w:t>
      </w:r>
    </w:p>
    <w:p w14:paraId="3DB55693" w14:textId="77777777" w:rsidR="0028075A" w:rsidRPr="00682784" w:rsidRDefault="0028075A" w:rsidP="003574FD">
      <w:pPr>
        <w:numPr>
          <w:ilvl w:val="0"/>
          <w:numId w:val="46"/>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Examine and approve the annual information and communication plan.</w:t>
      </w:r>
    </w:p>
    <w:p w14:paraId="70C716C6" w14:textId="77777777" w:rsidR="0028075A" w:rsidRPr="00682784" w:rsidRDefault="0028075A" w:rsidP="00F0771E">
      <w:pPr>
        <w:spacing w:before="120" w:line="21" w:lineRule="atLeast"/>
        <w:jc w:val="both"/>
        <w:rPr>
          <w:rFonts w:cs="ArialMT"/>
          <w:bCs/>
          <w:sz w:val="22"/>
          <w:szCs w:val="22"/>
          <w:lang w:val="en-GB"/>
        </w:rPr>
      </w:pPr>
      <w:r w:rsidRPr="00682784">
        <w:rPr>
          <w:rFonts w:cs="ArialMT"/>
          <w:bCs/>
          <w:sz w:val="22"/>
          <w:szCs w:val="22"/>
          <w:lang w:val="en-GB"/>
        </w:rPr>
        <w:t xml:space="preserve">Notwithstanding point 4, JMC may set up </w:t>
      </w:r>
      <w:proofErr w:type="gramStart"/>
      <w:r w:rsidRPr="00682784">
        <w:rPr>
          <w:rFonts w:cs="ArialMT"/>
          <w:bCs/>
          <w:sz w:val="22"/>
          <w:szCs w:val="22"/>
          <w:lang w:val="en-GB"/>
        </w:rPr>
        <w:t>a Selection</w:t>
      </w:r>
      <w:proofErr w:type="gramEnd"/>
      <w:r w:rsidRPr="00682784">
        <w:rPr>
          <w:rFonts w:cs="ArialMT"/>
          <w:bCs/>
          <w:sz w:val="22"/>
          <w:szCs w:val="22"/>
          <w:lang w:val="en-GB"/>
        </w:rPr>
        <w:t xml:space="preserve"> Committee acting under its responsibility.</w:t>
      </w:r>
    </w:p>
    <w:p w14:paraId="20C18DD0" w14:textId="68DD51A5" w:rsidR="0028075A" w:rsidRPr="00A409E3" w:rsidRDefault="0028075A" w:rsidP="003574FD">
      <w:pPr>
        <w:spacing w:before="240" w:after="120" w:line="21" w:lineRule="atLeast"/>
        <w:jc w:val="both"/>
        <w:rPr>
          <w:b/>
          <w:lang w:val="en-GB"/>
        </w:rPr>
      </w:pPr>
      <w:r w:rsidRPr="00A409E3">
        <w:rPr>
          <w:b/>
          <w:lang w:val="en-GB"/>
        </w:rPr>
        <w:t>Functioning</w:t>
      </w:r>
      <w:r w:rsidR="00B55F57">
        <w:rPr>
          <w:b/>
          <w:lang w:val="en-GB"/>
        </w:rPr>
        <w:t xml:space="preserve"> of the JMC (</w:t>
      </w:r>
      <w:r w:rsidR="00B55F57" w:rsidRPr="00B03B7B">
        <w:rPr>
          <w:lang w:val="en-GB"/>
        </w:rPr>
        <w:t>Article 23 of the ENI CBC I</w:t>
      </w:r>
      <w:r w:rsidR="00B55F57">
        <w:rPr>
          <w:lang w:val="en-GB"/>
        </w:rPr>
        <w:t xml:space="preserve">mplementing </w:t>
      </w:r>
      <w:r w:rsidR="00B55F57" w:rsidRPr="00B03B7B">
        <w:rPr>
          <w:lang w:val="en-GB"/>
        </w:rPr>
        <w:t>R</w:t>
      </w:r>
      <w:r w:rsidR="00B55F57">
        <w:rPr>
          <w:lang w:val="en-GB"/>
        </w:rPr>
        <w:t>ules)</w:t>
      </w:r>
    </w:p>
    <w:p w14:paraId="3C6A1CFC"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The procedures of the JMC will be defined in the Rules of Procedure (</w:t>
      </w:r>
      <w:proofErr w:type="spellStart"/>
      <w:r w:rsidRPr="00682784">
        <w:rPr>
          <w:rFonts w:cs="ArialMT"/>
          <w:bCs/>
          <w:sz w:val="22"/>
          <w:szCs w:val="22"/>
          <w:lang w:val="en-GB"/>
        </w:rPr>
        <w:t>RoP</w:t>
      </w:r>
      <w:proofErr w:type="spellEnd"/>
      <w:r w:rsidRPr="00682784">
        <w:rPr>
          <w:rFonts w:cs="ArialMT"/>
          <w:bCs/>
          <w:sz w:val="22"/>
          <w:szCs w:val="22"/>
          <w:lang w:val="en-GB"/>
        </w:rPr>
        <w:t>), including the following items:</w:t>
      </w:r>
    </w:p>
    <w:p w14:paraId="4DE6C0C5" w14:textId="77777777" w:rsidR="0028075A" w:rsidRPr="00682784" w:rsidRDefault="0028075A" w:rsidP="003574FD">
      <w:pPr>
        <w:numPr>
          <w:ilvl w:val="0"/>
          <w:numId w:val="47"/>
        </w:numPr>
        <w:spacing w:before="200" w:after="0" w:line="21" w:lineRule="atLeast"/>
        <w:contextualSpacing/>
        <w:jc w:val="both"/>
        <w:rPr>
          <w:rFonts w:cs="ArialMT"/>
          <w:bCs/>
          <w:sz w:val="22"/>
          <w:szCs w:val="22"/>
          <w:lang w:val="en-GB"/>
        </w:rPr>
      </w:pPr>
      <w:r w:rsidRPr="00682784">
        <w:rPr>
          <w:rFonts w:cs="ArialMT"/>
          <w:bCs/>
          <w:sz w:val="22"/>
          <w:szCs w:val="22"/>
          <w:lang w:val="en-GB"/>
        </w:rPr>
        <w:t xml:space="preserve">The JMC shall seek to take decisions by consensus. However, a voting procedure may be followed, particularly when making decisions on the selection of projects and on the grant amounts allocated to them. The decisions to be voted upon will be adopted by a qualified majority which will be defined in the Rules of Procedure of the JMC. </w:t>
      </w:r>
    </w:p>
    <w:p w14:paraId="287E1B83" w14:textId="77777777" w:rsidR="0028075A" w:rsidRPr="00682784" w:rsidRDefault="0028075A" w:rsidP="003574FD">
      <w:pPr>
        <w:numPr>
          <w:ilvl w:val="0"/>
          <w:numId w:val="47"/>
        </w:numPr>
        <w:spacing w:before="200" w:after="0" w:line="21" w:lineRule="atLeast"/>
        <w:contextualSpacing/>
        <w:jc w:val="both"/>
        <w:rPr>
          <w:rFonts w:cs="ArialMT"/>
          <w:bCs/>
          <w:sz w:val="22"/>
          <w:szCs w:val="22"/>
          <w:lang w:val="en-GB"/>
        </w:rPr>
      </w:pPr>
      <w:r w:rsidRPr="00682784">
        <w:rPr>
          <w:rFonts w:cs="ArialMT"/>
          <w:bCs/>
          <w:sz w:val="22"/>
          <w:szCs w:val="22"/>
          <w:lang w:val="en-GB"/>
        </w:rPr>
        <w:t>JMC may make decisions using a written procedure at the initiative of its chairperson, the Managing Authority or any participating country in conformity with its Rules of Procedure. Each country will have a single vote, which will be cast by the Head of each National Delegation in accordance with internal agreements within each delegation.</w:t>
      </w:r>
    </w:p>
    <w:p w14:paraId="08F2312F" w14:textId="77777777" w:rsidR="0028075A" w:rsidRPr="00682784" w:rsidRDefault="0028075A" w:rsidP="003574FD">
      <w:pPr>
        <w:numPr>
          <w:ilvl w:val="0"/>
          <w:numId w:val="47"/>
        </w:numPr>
        <w:spacing w:before="200" w:after="0" w:line="21" w:lineRule="atLeast"/>
        <w:contextualSpacing/>
        <w:jc w:val="both"/>
        <w:rPr>
          <w:rFonts w:cs="ArialMT"/>
          <w:bCs/>
          <w:sz w:val="22"/>
          <w:szCs w:val="22"/>
          <w:lang w:val="en-GB"/>
        </w:rPr>
      </w:pPr>
      <w:r w:rsidRPr="00682784">
        <w:rPr>
          <w:rFonts w:cs="ArialMT"/>
          <w:bCs/>
          <w:sz w:val="22"/>
          <w:szCs w:val="22"/>
          <w:lang w:val="en-GB"/>
        </w:rPr>
        <w:t>The JMC is convened by its chairperson or following a duly justified request from one Head of Delegation or from the European Commission. The JMC will meet as often as necessary but at least once per year.</w:t>
      </w:r>
    </w:p>
    <w:p w14:paraId="4E557B37" w14:textId="77777777" w:rsidR="0028075A" w:rsidRPr="00682784" w:rsidRDefault="0028075A" w:rsidP="003574FD">
      <w:pPr>
        <w:numPr>
          <w:ilvl w:val="0"/>
          <w:numId w:val="47"/>
        </w:numPr>
        <w:spacing w:before="200" w:after="0" w:line="21" w:lineRule="atLeast"/>
        <w:contextualSpacing/>
        <w:jc w:val="both"/>
        <w:rPr>
          <w:rFonts w:cs="ArialMT"/>
          <w:bCs/>
          <w:sz w:val="22"/>
          <w:szCs w:val="22"/>
          <w:lang w:val="en-GB"/>
        </w:rPr>
      </w:pPr>
      <w:r w:rsidRPr="00682784">
        <w:rPr>
          <w:rFonts w:cs="ArialMT"/>
          <w:bCs/>
          <w:sz w:val="22"/>
          <w:szCs w:val="22"/>
          <w:lang w:val="en-GB"/>
        </w:rPr>
        <w:t xml:space="preserve">The MA is assisted by the JTS which acts as the secretariat and organises the JMC meetings. </w:t>
      </w:r>
    </w:p>
    <w:p w14:paraId="4064CE16" w14:textId="77777777" w:rsidR="0028075A" w:rsidRPr="00682784" w:rsidRDefault="0028075A" w:rsidP="003574FD">
      <w:pPr>
        <w:numPr>
          <w:ilvl w:val="0"/>
          <w:numId w:val="47"/>
        </w:numPr>
        <w:spacing w:before="200" w:after="0" w:line="21" w:lineRule="atLeast"/>
        <w:contextualSpacing/>
        <w:jc w:val="both"/>
        <w:rPr>
          <w:rFonts w:cs="ArialMT"/>
          <w:bCs/>
          <w:sz w:val="22"/>
          <w:szCs w:val="22"/>
          <w:lang w:val="en-GB"/>
        </w:rPr>
      </w:pPr>
      <w:r w:rsidRPr="00682784">
        <w:rPr>
          <w:rFonts w:cs="ArialMT"/>
          <w:bCs/>
          <w:sz w:val="22"/>
          <w:szCs w:val="22"/>
          <w:lang w:val="en-GB"/>
        </w:rPr>
        <w:t>The Chairperson shall act as the moderator and lead the discussions.</w:t>
      </w:r>
    </w:p>
    <w:p w14:paraId="76430B6A" w14:textId="77777777" w:rsidR="0028075A" w:rsidRPr="00B55F57" w:rsidRDefault="0028075A" w:rsidP="003574FD">
      <w:pPr>
        <w:numPr>
          <w:ilvl w:val="0"/>
          <w:numId w:val="47"/>
        </w:numPr>
        <w:spacing w:before="200" w:after="0" w:line="21" w:lineRule="atLeast"/>
        <w:contextualSpacing/>
        <w:jc w:val="both"/>
        <w:rPr>
          <w:szCs w:val="21"/>
          <w:lang w:val="en-GB" w:eastAsia="ca-ES"/>
        </w:rPr>
      </w:pPr>
      <w:r w:rsidRPr="00682784">
        <w:rPr>
          <w:rFonts w:cs="ArialMT"/>
          <w:bCs/>
          <w:sz w:val="22"/>
          <w:szCs w:val="22"/>
          <w:lang w:val="en-GB"/>
        </w:rPr>
        <w:t xml:space="preserve">Minutes shall be drawn up after each meeting of the JMC for signature by the Chairperson and the Secretary. A copy of these minutes shall be shared with the representatives of participating countries, the Commission and any other observer. The minutes of each meeting will have to be approved by the JMC itself either through a written decision or at its next meeting at the latest. </w:t>
      </w:r>
    </w:p>
    <w:p w14:paraId="0D92232D" w14:textId="77777777" w:rsidR="00B55F57" w:rsidRDefault="00B55F57" w:rsidP="00B55F57">
      <w:pPr>
        <w:spacing w:before="200" w:after="0" w:line="21" w:lineRule="atLeast"/>
        <w:contextualSpacing/>
        <w:jc w:val="both"/>
        <w:rPr>
          <w:rFonts w:cs="ArialMT"/>
          <w:bCs/>
          <w:sz w:val="22"/>
          <w:szCs w:val="22"/>
          <w:lang w:val="en-GB"/>
        </w:rPr>
      </w:pPr>
    </w:p>
    <w:p w14:paraId="3A5C2EF8" w14:textId="6A771ACA" w:rsidR="00B55F57" w:rsidRPr="00B55F57" w:rsidRDefault="00B55F57" w:rsidP="00B55F57">
      <w:pPr>
        <w:spacing w:before="200" w:after="0" w:line="21" w:lineRule="atLeast"/>
        <w:contextualSpacing/>
        <w:jc w:val="both"/>
        <w:rPr>
          <w:sz w:val="22"/>
          <w:szCs w:val="22"/>
          <w:lang w:val="en-GB" w:eastAsia="ca-ES"/>
        </w:rPr>
      </w:pPr>
      <w:r w:rsidRPr="00B55F57">
        <w:rPr>
          <w:sz w:val="22"/>
          <w:szCs w:val="22"/>
          <w:lang w:val="en-GB" w:eastAsia="ca-ES"/>
        </w:rPr>
        <w:t>The JMC shall draw up and adopt its rules of procedure by unanimity.</w:t>
      </w:r>
    </w:p>
    <w:p w14:paraId="0519D128" w14:textId="77777777" w:rsidR="0028075A" w:rsidRPr="00682784" w:rsidRDefault="0028075A" w:rsidP="003574FD">
      <w:pPr>
        <w:tabs>
          <w:tab w:val="left" w:pos="284"/>
        </w:tabs>
        <w:spacing w:line="21" w:lineRule="atLeast"/>
        <w:ind w:left="284" w:hanging="284"/>
        <w:rPr>
          <w:rFonts w:cs="Arial"/>
          <w:b/>
          <w:bCs/>
          <w:iCs/>
          <w:color w:val="8DB3E2"/>
          <w:sz w:val="12"/>
          <w:szCs w:val="12"/>
          <w:lang w:val="en-GB"/>
        </w:rPr>
      </w:pPr>
    </w:p>
    <w:p w14:paraId="4A799185" w14:textId="77777777" w:rsidR="0028075A" w:rsidRPr="002B2A70" w:rsidRDefault="006377FF" w:rsidP="003574FD">
      <w:pPr>
        <w:pStyle w:val="Heading3"/>
        <w:spacing w:before="240" w:after="240" w:line="21" w:lineRule="atLeast"/>
        <w:rPr>
          <w:b/>
          <w:sz w:val="28"/>
          <w:szCs w:val="28"/>
          <w:lang w:val="en-GB"/>
        </w:rPr>
      </w:pPr>
      <w:bookmarkStart w:id="88" w:name="_Toc423436297"/>
      <w:r>
        <w:rPr>
          <w:b/>
          <w:sz w:val="28"/>
          <w:szCs w:val="28"/>
          <w:lang w:val="en-GB"/>
        </w:rPr>
        <w:lastRenderedPageBreak/>
        <w:t xml:space="preserve">6.2 </w:t>
      </w:r>
      <w:r w:rsidR="0028075A" w:rsidRPr="002B2A70">
        <w:rPr>
          <w:b/>
          <w:sz w:val="28"/>
          <w:szCs w:val="28"/>
          <w:lang w:val="en-GB"/>
        </w:rPr>
        <w:t>Managing Authority (MA)</w:t>
      </w:r>
      <w:bookmarkEnd w:id="88"/>
    </w:p>
    <w:p w14:paraId="34D078AE" w14:textId="77777777" w:rsidR="0028075A" w:rsidRPr="00682784" w:rsidRDefault="0028075A" w:rsidP="00D067C0">
      <w:pPr>
        <w:spacing w:after="120" w:line="21" w:lineRule="atLeast"/>
        <w:jc w:val="both"/>
        <w:rPr>
          <w:rFonts w:cs="ArialMT"/>
          <w:bCs/>
          <w:sz w:val="22"/>
          <w:szCs w:val="22"/>
          <w:lang w:val="en-GB"/>
        </w:rPr>
      </w:pPr>
      <w:r w:rsidRPr="00682784">
        <w:rPr>
          <w:rFonts w:cs="ArialMT"/>
          <w:bCs/>
          <w:sz w:val="22"/>
          <w:szCs w:val="22"/>
          <w:lang w:val="en-GB"/>
        </w:rPr>
        <w:t xml:space="preserve">The Managing Authority (MA) is responsible for managing the implementation of the programme, in accordance with the principle of sound financial management </w:t>
      </w:r>
      <w:r w:rsidRPr="00682784">
        <w:rPr>
          <w:sz w:val="22"/>
          <w:szCs w:val="22"/>
          <w:lang w:val="en-GB"/>
        </w:rPr>
        <w:t>and for ensuring that the decisions of the Joint Monitoring Committee comply with the applicable laws and requirements</w:t>
      </w:r>
      <w:r w:rsidRPr="00682784">
        <w:rPr>
          <w:rFonts w:cs="ArialMT"/>
          <w:bCs/>
          <w:sz w:val="22"/>
          <w:szCs w:val="22"/>
          <w:lang w:val="en-GB"/>
        </w:rPr>
        <w:t>.</w:t>
      </w:r>
    </w:p>
    <w:p w14:paraId="4050A548" w14:textId="748A1CDD" w:rsidR="00A44615" w:rsidRDefault="0028075A" w:rsidP="00D067C0">
      <w:pPr>
        <w:spacing w:line="21" w:lineRule="atLeast"/>
        <w:jc w:val="both"/>
        <w:rPr>
          <w:rFonts w:cs="ArialMT"/>
          <w:bCs/>
          <w:sz w:val="22"/>
          <w:szCs w:val="22"/>
          <w:lang w:val="en-GB"/>
        </w:rPr>
      </w:pPr>
      <w:r w:rsidRPr="00682784">
        <w:rPr>
          <w:rFonts w:cs="ArialMT"/>
          <w:bCs/>
          <w:sz w:val="22"/>
          <w:szCs w:val="22"/>
          <w:lang w:val="en-GB"/>
        </w:rPr>
        <w:t xml:space="preserve">By agreement of the countries participating in the programme, the appointed Managing Authority is the Ministry of Regional Development and Public Administration and it will have its operational base in Bucharest (Romania). Its functions will be fulfilled by the Directorate of MAs for European Territorial Cooperation Programmes, the Monitoring Directorate, the Directorate for Programme Authorisation and the Directorate for Payments and Accounting, </w:t>
      </w:r>
      <w:r w:rsidR="00DB0936">
        <w:rPr>
          <w:rFonts w:cs="ArialMT"/>
          <w:bCs/>
          <w:sz w:val="22"/>
          <w:szCs w:val="22"/>
          <w:lang w:val="en-GB"/>
        </w:rPr>
        <w:t>together with other</w:t>
      </w:r>
      <w:r w:rsidRPr="00682784">
        <w:rPr>
          <w:rFonts w:cs="ArialMT"/>
          <w:bCs/>
          <w:sz w:val="22"/>
          <w:szCs w:val="22"/>
          <w:lang w:val="en-GB"/>
        </w:rPr>
        <w:t xml:space="preserve"> departments within the Ministry</w:t>
      </w:r>
      <w:r w:rsidR="00A44615">
        <w:rPr>
          <w:rFonts w:cs="ArialMT"/>
          <w:bCs/>
          <w:sz w:val="22"/>
          <w:szCs w:val="22"/>
          <w:lang w:val="en-GB"/>
        </w:rPr>
        <w:t>, as presented in the organizational chart below.</w:t>
      </w:r>
    </w:p>
    <w:p w14:paraId="1865D497" w14:textId="77777777" w:rsidR="00A44615" w:rsidRDefault="00A44615" w:rsidP="00D067C0">
      <w:pPr>
        <w:spacing w:line="21" w:lineRule="atLeast"/>
        <w:jc w:val="both"/>
        <w:rPr>
          <w:rFonts w:cs="ArialMT"/>
          <w:bCs/>
          <w:sz w:val="22"/>
          <w:szCs w:val="22"/>
          <w:lang w:val="en-GB"/>
        </w:rPr>
      </w:pPr>
    </w:p>
    <w:p w14:paraId="15995317" w14:textId="44BE7956" w:rsidR="00A44615" w:rsidRDefault="006779E6" w:rsidP="00D067C0">
      <w:pPr>
        <w:spacing w:line="21" w:lineRule="atLeast"/>
        <w:jc w:val="both"/>
        <w:rPr>
          <w:rFonts w:cs="ArialMT"/>
          <w:bCs/>
          <w:sz w:val="22"/>
          <w:szCs w:val="22"/>
          <w:lang w:val="en-GB"/>
        </w:rPr>
      </w:pPr>
      <w:r w:rsidRPr="00077772">
        <w:rPr>
          <w:rFonts w:cs="ArialMT"/>
          <w:bCs/>
          <w:noProof/>
          <w:sz w:val="22"/>
          <w:szCs w:val="22"/>
          <w:lang w:val="en-GB" w:eastAsia="en-GB"/>
        </w:rPr>
        <w:drawing>
          <wp:inline distT="0" distB="0" distL="0" distR="0" wp14:anchorId="659F8B47" wp14:editId="30AB3B6C">
            <wp:extent cx="6456990" cy="3133725"/>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56432" cy="3133454"/>
                    </a:xfrm>
                    <a:prstGeom prst="rect">
                      <a:avLst/>
                    </a:prstGeom>
                    <a:noFill/>
                  </pic:spPr>
                </pic:pic>
              </a:graphicData>
            </a:graphic>
          </wp:inline>
        </w:drawing>
      </w:r>
    </w:p>
    <w:p w14:paraId="3CB26B20" w14:textId="70E19032" w:rsidR="0028075A" w:rsidRPr="00682784" w:rsidRDefault="0028075A" w:rsidP="00D067C0">
      <w:pPr>
        <w:spacing w:line="21" w:lineRule="atLeast"/>
        <w:jc w:val="both"/>
        <w:rPr>
          <w:rFonts w:cs="ArialMT"/>
          <w:bCs/>
          <w:sz w:val="22"/>
          <w:szCs w:val="22"/>
          <w:lang w:val="en-GB"/>
        </w:rPr>
      </w:pPr>
      <w:r w:rsidRPr="00682784">
        <w:rPr>
          <w:rFonts w:cs="ArialMT"/>
          <w:bCs/>
          <w:sz w:val="22"/>
          <w:szCs w:val="22"/>
          <w:lang w:val="en-GB"/>
        </w:rPr>
        <w:t xml:space="preserve"> </w:t>
      </w:r>
    </w:p>
    <w:p w14:paraId="23C48225" w14:textId="77777777" w:rsidR="0028075A" w:rsidRPr="00A409E3" w:rsidRDefault="0028075A" w:rsidP="003574FD">
      <w:pPr>
        <w:spacing w:before="240" w:after="120" w:line="21" w:lineRule="atLeast"/>
        <w:jc w:val="both"/>
        <w:rPr>
          <w:b/>
          <w:lang w:val="en-GB"/>
        </w:rPr>
      </w:pPr>
      <w:r w:rsidRPr="00A409E3">
        <w:rPr>
          <w:b/>
          <w:lang w:val="en-GB"/>
        </w:rPr>
        <w:t>Designation process</w:t>
      </w:r>
    </w:p>
    <w:p w14:paraId="44C17EE9" w14:textId="77777777" w:rsidR="0028075A" w:rsidRPr="00682784" w:rsidRDefault="0028075A" w:rsidP="00D067C0">
      <w:pPr>
        <w:spacing w:before="120" w:after="0" w:line="21" w:lineRule="atLeast"/>
        <w:jc w:val="both"/>
        <w:rPr>
          <w:rFonts w:cs="ArialMT"/>
          <w:bCs/>
          <w:sz w:val="22"/>
          <w:szCs w:val="22"/>
          <w:lang w:val="en-GB"/>
        </w:rPr>
      </w:pPr>
      <w:r w:rsidRPr="00682784">
        <w:rPr>
          <w:rFonts w:cs="ArialMT"/>
          <w:bCs/>
          <w:sz w:val="22"/>
          <w:szCs w:val="22"/>
          <w:lang w:val="en-GB"/>
        </w:rPr>
        <w:t>The Romanian government will proceed with the designation of the Managing Authority after the Joint Operational Programme (JOP) is adopted by the European Commission, in accordance with article 25 of the ENI CBC Implementing Rules (IR).</w:t>
      </w:r>
    </w:p>
    <w:p w14:paraId="4E2E96B2" w14:textId="77777777" w:rsidR="0028075A" w:rsidRPr="00682784" w:rsidRDefault="0028075A" w:rsidP="00D067C0">
      <w:pPr>
        <w:spacing w:before="120" w:after="0" w:line="21" w:lineRule="atLeast"/>
        <w:jc w:val="both"/>
        <w:rPr>
          <w:rFonts w:cs="ArialMT"/>
          <w:bCs/>
          <w:sz w:val="22"/>
          <w:szCs w:val="22"/>
          <w:lang w:val="en-GB"/>
        </w:rPr>
      </w:pPr>
      <w:r w:rsidRPr="00682784">
        <w:rPr>
          <w:rFonts w:cs="ArialMT"/>
          <w:bCs/>
          <w:sz w:val="22"/>
          <w:szCs w:val="22"/>
          <w:lang w:val="en-GB"/>
        </w:rPr>
        <w:t xml:space="preserve">The designation body will be </w:t>
      </w:r>
      <w:r w:rsidR="00E463F6" w:rsidRPr="00682784">
        <w:rPr>
          <w:rFonts w:cs="ArialMT"/>
          <w:bCs/>
          <w:sz w:val="22"/>
          <w:szCs w:val="22"/>
          <w:lang w:val="en-GB"/>
        </w:rPr>
        <w:t>the M</w:t>
      </w:r>
      <w:r w:rsidR="00EF16E1" w:rsidRPr="00682784">
        <w:rPr>
          <w:rFonts w:cs="ArialMT"/>
          <w:bCs/>
          <w:sz w:val="22"/>
          <w:szCs w:val="22"/>
          <w:lang w:val="en-GB"/>
        </w:rPr>
        <w:t>inistry of European Funds of Romania</w:t>
      </w:r>
      <w:r w:rsidRPr="00682784">
        <w:rPr>
          <w:rFonts w:cs="ArialMT"/>
          <w:bCs/>
          <w:sz w:val="22"/>
          <w:szCs w:val="22"/>
          <w:lang w:val="en-GB"/>
        </w:rPr>
        <w:t>.</w:t>
      </w:r>
    </w:p>
    <w:p w14:paraId="6C5813A3" w14:textId="77777777" w:rsidR="00902227" w:rsidRDefault="00902227" w:rsidP="00D067C0">
      <w:pPr>
        <w:spacing w:before="120" w:after="0" w:line="21" w:lineRule="atLeast"/>
        <w:jc w:val="both"/>
        <w:rPr>
          <w:rFonts w:cs="ArialMT"/>
          <w:bCs/>
          <w:sz w:val="22"/>
          <w:szCs w:val="22"/>
          <w:lang w:val="en-GB"/>
        </w:rPr>
      </w:pPr>
      <w:r>
        <w:rPr>
          <w:rFonts w:cs="ArialMT"/>
          <w:bCs/>
          <w:sz w:val="22"/>
          <w:szCs w:val="22"/>
          <w:lang w:val="en-GB"/>
        </w:rPr>
        <w:t xml:space="preserve">The </w:t>
      </w:r>
      <w:r w:rsidRPr="00902227">
        <w:rPr>
          <w:rFonts w:cs="ArialMT"/>
          <w:bCs/>
          <w:sz w:val="22"/>
          <w:szCs w:val="22"/>
          <w:lang w:val="en-GB"/>
        </w:rPr>
        <w:t>assess</w:t>
      </w:r>
      <w:r>
        <w:rPr>
          <w:rFonts w:cs="ArialMT"/>
          <w:bCs/>
          <w:sz w:val="22"/>
          <w:szCs w:val="22"/>
          <w:lang w:val="en-GB"/>
        </w:rPr>
        <w:t xml:space="preserve">ment of </w:t>
      </w:r>
      <w:r w:rsidRPr="00902227">
        <w:rPr>
          <w:rFonts w:cs="ArialMT"/>
          <w:bCs/>
          <w:sz w:val="22"/>
          <w:szCs w:val="22"/>
          <w:lang w:val="en-GB"/>
        </w:rPr>
        <w:t>the compliance of the management and control systems</w:t>
      </w:r>
      <w:r>
        <w:rPr>
          <w:rFonts w:cs="ArialMT"/>
          <w:bCs/>
          <w:sz w:val="22"/>
          <w:szCs w:val="22"/>
          <w:lang w:val="en-GB"/>
        </w:rPr>
        <w:t xml:space="preserve"> shall be carried out by the </w:t>
      </w:r>
      <w:r w:rsidR="0028075A" w:rsidRPr="00682784">
        <w:rPr>
          <w:rFonts w:cs="ArialMT"/>
          <w:bCs/>
          <w:sz w:val="22"/>
          <w:szCs w:val="22"/>
          <w:lang w:val="en-GB"/>
        </w:rPr>
        <w:t>Audit Authority</w:t>
      </w:r>
      <w:r>
        <w:rPr>
          <w:rFonts w:cs="ArialMT"/>
          <w:bCs/>
          <w:sz w:val="22"/>
          <w:szCs w:val="22"/>
          <w:lang w:val="en-GB"/>
        </w:rPr>
        <w:t>.</w:t>
      </w:r>
    </w:p>
    <w:p w14:paraId="09F6406A" w14:textId="77777777" w:rsidR="0028075A" w:rsidRPr="00682784" w:rsidRDefault="00902227" w:rsidP="00D067C0">
      <w:pPr>
        <w:spacing w:before="120" w:after="0" w:line="21" w:lineRule="atLeast"/>
        <w:jc w:val="both"/>
        <w:rPr>
          <w:rFonts w:cs="ArialMT"/>
          <w:bCs/>
          <w:sz w:val="22"/>
          <w:szCs w:val="22"/>
          <w:lang w:val="en-GB"/>
        </w:rPr>
      </w:pPr>
      <w:r>
        <w:rPr>
          <w:rFonts w:cs="ArialMT"/>
          <w:bCs/>
          <w:sz w:val="22"/>
          <w:szCs w:val="22"/>
          <w:lang w:val="en-GB"/>
        </w:rPr>
        <w:t>The designation process</w:t>
      </w:r>
      <w:r w:rsidR="0028075A" w:rsidRPr="00682784">
        <w:rPr>
          <w:rFonts w:cs="ArialMT"/>
          <w:bCs/>
          <w:sz w:val="22"/>
          <w:szCs w:val="22"/>
          <w:lang w:val="en-GB"/>
        </w:rPr>
        <w:t xml:space="preserve"> includes the following phases:</w:t>
      </w:r>
    </w:p>
    <w:p w14:paraId="4711E113" w14:textId="41E4BC06" w:rsidR="0028075A" w:rsidRPr="00682784" w:rsidRDefault="0028075A" w:rsidP="002E2858">
      <w:pPr>
        <w:numPr>
          <w:ilvl w:val="0"/>
          <w:numId w:val="53"/>
        </w:numPr>
        <w:suppressAutoHyphens/>
        <w:spacing w:before="120" w:after="0" w:line="21" w:lineRule="atLeast"/>
        <w:jc w:val="both"/>
        <w:rPr>
          <w:rFonts w:cs="ArialMT"/>
          <w:bCs/>
          <w:sz w:val="22"/>
          <w:szCs w:val="22"/>
          <w:lang w:val="en-GB"/>
        </w:rPr>
      </w:pPr>
      <w:r w:rsidRPr="00682784">
        <w:rPr>
          <w:rFonts w:cs="ArialMT"/>
          <w:bCs/>
          <w:sz w:val="22"/>
          <w:szCs w:val="22"/>
          <w:lang w:val="en-GB"/>
        </w:rPr>
        <w:t>The receipt of the management and control system description and the gathering other relevant documents</w:t>
      </w:r>
      <w:r w:rsidR="00AB581D">
        <w:rPr>
          <w:rFonts w:cs="ArialMT"/>
          <w:bCs/>
          <w:sz w:val="22"/>
          <w:szCs w:val="22"/>
          <w:lang w:val="en-GB"/>
        </w:rPr>
        <w:t xml:space="preserve"> by the Audit Authority</w:t>
      </w:r>
      <w:r w:rsidRPr="00682784">
        <w:rPr>
          <w:rFonts w:cs="ArialMT"/>
          <w:bCs/>
          <w:sz w:val="22"/>
          <w:szCs w:val="22"/>
          <w:lang w:val="en-GB"/>
        </w:rPr>
        <w:t xml:space="preserve">. </w:t>
      </w:r>
      <w:r w:rsidR="002E2858" w:rsidRPr="002E2858">
        <w:rPr>
          <w:rFonts w:cs="ArialMT"/>
          <w:bCs/>
          <w:sz w:val="22"/>
          <w:szCs w:val="22"/>
          <w:lang w:val="en-GB"/>
        </w:rPr>
        <w:t>The audit body shall take into account, where relevant, whether the management and control systems for the programme are similar to those in place for the previous programming period, as well as any evidence of their effective functioning</w:t>
      </w:r>
      <w:r w:rsidR="002E2858">
        <w:rPr>
          <w:rFonts w:cs="ArialMT"/>
          <w:bCs/>
          <w:sz w:val="22"/>
          <w:szCs w:val="22"/>
          <w:lang w:val="en-GB"/>
        </w:rPr>
        <w:t>.</w:t>
      </w:r>
    </w:p>
    <w:p w14:paraId="13F46315" w14:textId="77777777" w:rsidR="0028075A" w:rsidRPr="00682784" w:rsidRDefault="0028075A" w:rsidP="003574FD">
      <w:pPr>
        <w:numPr>
          <w:ilvl w:val="0"/>
          <w:numId w:val="53"/>
        </w:numPr>
        <w:spacing w:after="120" w:line="21" w:lineRule="atLeast"/>
        <w:jc w:val="both"/>
        <w:rPr>
          <w:rFonts w:cs="ArialMT"/>
          <w:bCs/>
          <w:sz w:val="22"/>
          <w:szCs w:val="22"/>
          <w:lang w:val="en-GB"/>
        </w:rPr>
      </w:pPr>
      <w:r w:rsidRPr="00682784">
        <w:rPr>
          <w:rFonts w:cs="ArialMT"/>
          <w:bCs/>
          <w:sz w:val="22"/>
          <w:szCs w:val="22"/>
          <w:lang w:val="en-GB"/>
        </w:rPr>
        <w:lastRenderedPageBreak/>
        <w:t xml:space="preserve">Analysis of data gathered, examination of documents and performance of the audit work required including, where considered appropriate, interviews with staff. </w:t>
      </w:r>
    </w:p>
    <w:p w14:paraId="2189D38E" w14:textId="77777777" w:rsidR="0028075A" w:rsidRPr="00682784" w:rsidRDefault="0028075A" w:rsidP="003574FD">
      <w:pPr>
        <w:numPr>
          <w:ilvl w:val="0"/>
          <w:numId w:val="53"/>
        </w:numPr>
        <w:spacing w:after="120" w:line="21" w:lineRule="atLeast"/>
        <w:jc w:val="both"/>
        <w:rPr>
          <w:rFonts w:cs="ArialMT"/>
          <w:bCs/>
          <w:sz w:val="22"/>
          <w:szCs w:val="22"/>
          <w:lang w:val="en-GB"/>
        </w:rPr>
      </w:pPr>
      <w:r w:rsidRPr="00682784">
        <w:rPr>
          <w:rFonts w:cs="ArialMT"/>
          <w:bCs/>
          <w:sz w:val="22"/>
          <w:szCs w:val="22"/>
          <w:lang w:val="en-GB"/>
        </w:rPr>
        <w:t>Preparation of the report and opinion and a contradictory procedure, including validation of findings and conclusions. Adequate time should be allocated to this procedure to allow the authorities assessed to respond to observations and provide additional information.</w:t>
      </w:r>
    </w:p>
    <w:p w14:paraId="5F259C29" w14:textId="77777777" w:rsidR="002E2858" w:rsidRPr="002E2858" w:rsidRDefault="0028075A" w:rsidP="002E2858">
      <w:pPr>
        <w:pStyle w:val="ListParagraph"/>
        <w:numPr>
          <w:ilvl w:val="0"/>
          <w:numId w:val="53"/>
        </w:numPr>
        <w:rPr>
          <w:rFonts w:cs="ArialMT"/>
          <w:bCs/>
          <w:sz w:val="22"/>
          <w:szCs w:val="22"/>
          <w:lang w:val="en-GB"/>
        </w:rPr>
      </w:pPr>
      <w:r w:rsidRPr="002E2858">
        <w:rPr>
          <w:rFonts w:cs="ArialMT"/>
          <w:bCs/>
          <w:sz w:val="22"/>
          <w:szCs w:val="22"/>
          <w:lang w:val="en-GB"/>
        </w:rPr>
        <w:t xml:space="preserve">Formal decision by the designating body </w:t>
      </w:r>
      <w:r w:rsidR="002E2858" w:rsidRPr="002E2858">
        <w:rPr>
          <w:rFonts w:cs="ArialMT"/>
          <w:bCs/>
          <w:sz w:val="22"/>
          <w:szCs w:val="22"/>
          <w:lang w:val="en-GB"/>
        </w:rPr>
        <w:t>to be submitted to the Commission as soon as possible after programme adoption by the Commission.</w:t>
      </w:r>
    </w:p>
    <w:p w14:paraId="0578E80C" w14:textId="77777777" w:rsidR="0028075A" w:rsidRPr="00A409E3" w:rsidRDefault="0028075A" w:rsidP="003574FD">
      <w:pPr>
        <w:spacing w:before="240" w:after="120" w:line="21" w:lineRule="atLeast"/>
        <w:jc w:val="both"/>
        <w:rPr>
          <w:b/>
          <w:lang w:val="en-GB"/>
        </w:rPr>
      </w:pPr>
      <w:r w:rsidRPr="00A409E3">
        <w:rPr>
          <w:b/>
          <w:lang w:val="en-GB"/>
        </w:rPr>
        <w:t>Functions</w:t>
      </w:r>
    </w:p>
    <w:p w14:paraId="0A6ACD75"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In accordance with article 26 o</w:t>
      </w:r>
      <w:r w:rsidR="0034529A" w:rsidRPr="00682784">
        <w:rPr>
          <w:rFonts w:cs="ArialMT"/>
          <w:bCs/>
          <w:sz w:val="22"/>
          <w:szCs w:val="22"/>
          <w:lang w:val="en-GB"/>
        </w:rPr>
        <w:t>f the ENI CBC Implementing Regulation</w:t>
      </w:r>
      <w:r w:rsidRPr="00682784">
        <w:rPr>
          <w:rFonts w:cs="ArialMT"/>
          <w:bCs/>
          <w:sz w:val="22"/>
          <w:szCs w:val="22"/>
          <w:lang w:val="en-GB"/>
        </w:rPr>
        <w:t>, the main functions of the MA will be:</w:t>
      </w:r>
    </w:p>
    <w:p w14:paraId="3E58C4B7" w14:textId="77777777" w:rsidR="0028075A" w:rsidRPr="00682784" w:rsidRDefault="0028075A" w:rsidP="003574FD">
      <w:pPr>
        <w:numPr>
          <w:ilvl w:val="0"/>
          <w:numId w:val="48"/>
        </w:numPr>
        <w:spacing w:before="200" w:after="0" w:line="21" w:lineRule="atLeast"/>
        <w:contextualSpacing/>
        <w:jc w:val="both"/>
        <w:rPr>
          <w:rFonts w:cs="ArialMT"/>
          <w:bCs/>
          <w:sz w:val="22"/>
          <w:szCs w:val="22"/>
          <w:lang w:val="en-GB"/>
        </w:rPr>
      </w:pPr>
      <w:r w:rsidRPr="00682784">
        <w:rPr>
          <w:rFonts w:cs="ArialMT"/>
          <w:bCs/>
          <w:sz w:val="22"/>
          <w:szCs w:val="22"/>
          <w:lang w:val="en-GB"/>
        </w:rPr>
        <w:t xml:space="preserve">In regard to </w:t>
      </w:r>
      <w:r w:rsidRPr="00682784">
        <w:rPr>
          <w:rFonts w:cs="ArialMT"/>
          <w:bCs/>
          <w:sz w:val="22"/>
          <w:szCs w:val="22"/>
          <w:u w:val="single"/>
          <w:lang w:val="en-GB"/>
        </w:rPr>
        <w:t>programme management</w:t>
      </w:r>
      <w:r w:rsidRPr="00682784">
        <w:rPr>
          <w:rFonts w:cs="ArialMT"/>
          <w:bCs/>
          <w:sz w:val="22"/>
          <w:szCs w:val="22"/>
          <w:lang w:val="en-GB"/>
        </w:rPr>
        <w:t>:</w:t>
      </w:r>
    </w:p>
    <w:p w14:paraId="6E7F77B2" w14:textId="77777777" w:rsidR="0028075A" w:rsidRPr="00682784" w:rsidRDefault="0028075A" w:rsidP="003574FD">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Support the work of JMC and provide it with the information it requires to carry out its tasks, in particular data relating to the progress of the programme in achieving its expected results and targets;</w:t>
      </w:r>
    </w:p>
    <w:p w14:paraId="2B1FD1FD" w14:textId="77777777" w:rsidR="0028075A" w:rsidRPr="00682784" w:rsidRDefault="0028075A" w:rsidP="003574FD">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Draw up and, after approval by the JMC, submit to the European Commission the annual and the final reports;</w:t>
      </w:r>
    </w:p>
    <w:p w14:paraId="7EC7A728" w14:textId="77777777" w:rsidR="0028075A" w:rsidRPr="00682784" w:rsidRDefault="0028075A" w:rsidP="003574FD">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 xml:space="preserve">Share information with other management bodies and beneficiaries relevant to the execution of their tasks or project implementation; </w:t>
      </w:r>
    </w:p>
    <w:p w14:paraId="4C6497FA" w14:textId="77777777" w:rsidR="00C025FE" w:rsidRDefault="0028075A" w:rsidP="00C025FE">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Establish and maintain a computerised system to record and store data on each project necessary for monitoring, evaluation, financial management, control and audit, including data on individual participants in projects, where applicable. In particular, it shall record and store technical and financial reports for each project. The system shall provide all data required for drawing up payment requests and annual accounts, including records of amounts recoverable, amounts recovered and amounts reduced following cancellation of all or part of a project grant;</w:t>
      </w:r>
    </w:p>
    <w:p w14:paraId="4A2721C5" w14:textId="77777777" w:rsidR="0028075A" w:rsidRPr="00C025FE" w:rsidRDefault="0028075A" w:rsidP="00C025FE">
      <w:pPr>
        <w:numPr>
          <w:ilvl w:val="1"/>
          <w:numId w:val="48"/>
        </w:numPr>
        <w:spacing w:before="200" w:after="0" w:line="21" w:lineRule="atLeast"/>
        <w:ind w:left="993" w:hanging="284"/>
        <w:contextualSpacing/>
        <w:jc w:val="both"/>
        <w:rPr>
          <w:rFonts w:cs="ArialMT"/>
          <w:bCs/>
          <w:sz w:val="22"/>
          <w:szCs w:val="22"/>
          <w:lang w:val="en-GB"/>
        </w:rPr>
      </w:pPr>
      <w:r w:rsidRPr="00C025FE">
        <w:rPr>
          <w:rFonts w:cs="ArialMT"/>
          <w:bCs/>
          <w:sz w:val="22"/>
          <w:szCs w:val="22"/>
          <w:lang w:val="en-GB"/>
        </w:rPr>
        <w:t>Implement information and communication plans in accordance with article 79 of the ENI-CBC Implementing Rules;</w:t>
      </w:r>
    </w:p>
    <w:p w14:paraId="5A475523" w14:textId="77777777" w:rsidR="0028075A" w:rsidRPr="00682784" w:rsidRDefault="0028075A" w:rsidP="003574FD">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Implement monitoring and evaluation plans in accordance with article 78 of the ENI-CBC Implementing Rules;</w:t>
      </w:r>
    </w:p>
    <w:p w14:paraId="1580D83D" w14:textId="6B671163" w:rsidR="002E2858" w:rsidRDefault="0028075A" w:rsidP="002E2858">
      <w:pPr>
        <w:numPr>
          <w:ilvl w:val="1"/>
          <w:numId w:val="48"/>
        </w:numPr>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Ensure capitalization and put in place coordination mechanisms to foster complementarities and synergies with other programmes or financial instruments in the Black Sea area</w:t>
      </w:r>
      <w:r w:rsidR="002E2858">
        <w:rPr>
          <w:rFonts w:cs="ArialMT"/>
          <w:bCs/>
          <w:sz w:val="22"/>
          <w:szCs w:val="22"/>
          <w:lang w:val="en-GB"/>
        </w:rPr>
        <w:t>;</w:t>
      </w:r>
    </w:p>
    <w:p w14:paraId="1C5F77BA" w14:textId="0AF46272" w:rsidR="002E2858" w:rsidRPr="00682784" w:rsidRDefault="002E2858" w:rsidP="002E2858">
      <w:pPr>
        <w:numPr>
          <w:ilvl w:val="1"/>
          <w:numId w:val="48"/>
        </w:numPr>
        <w:spacing w:before="200" w:after="0" w:line="21" w:lineRule="atLeast"/>
        <w:ind w:left="993" w:hanging="284"/>
        <w:contextualSpacing/>
        <w:jc w:val="both"/>
        <w:rPr>
          <w:rFonts w:cs="ArialMT"/>
          <w:bCs/>
          <w:sz w:val="22"/>
          <w:szCs w:val="22"/>
          <w:lang w:val="en-GB"/>
        </w:rPr>
      </w:pPr>
      <w:r>
        <w:rPr>
          <w:rFonts w:cs="ArialMT"/>
          <w:bCs/>
          <w:sz w:val="22"/>
          <w:szCs w:val="22"/>
          <w:lang w:val="en-GB"/>
        </w:rPr>
        <w:t>Carry out where relevant environmental impact assessment studies at programme level.</w:t>
      </w:r>
    </w:p>
    <w:p w14:paraId="7D99FFFF" w14:textId="6C12FC6C" w:rsidR="0028075A" w:rsidRPr="00682784" w:rsidRDefault="0028075A" w:rsidP="002E2858">
      <w:pPr>
        <w:spacing w:before="200" w:after="0" w:line="21" w:lineRule="atLeast"/>
        <w:ind w:left="993"/>
        <w:contextualSpacing/>
        <w:jc w:val="both"/>
        <w:rPr>
          <w:rFonts w:cs="ArialMT"/>
          <w:bCs/>
          <w:sz w:val="22"/>
          <w:szCs w:val="22"/>
          <w:lang w:val="en-GB"/>
        </w:rPr>
      </w:pPr>
    </w:p>
    <w:p w14:paraId="17FEC323" w14:textId="77777777" w:rsidR="0028075A" w:rsidRPr="00682784" w:rsidRDefault="0028075A" w:rsidP="003574FD">
      <w:pPr>
        <w:numPr>
          <w:ilvl w:val="0"/>
          <w:numId w:val="48"/>
        </w:numPr>
        <w:spacing w:before="200" w:after="0" w:line="21" w:lineRule="atLeast"/>
        <w:ind w:left="714" w:hanging="357"/>
        <w:jc w:val="both"/>
        <w:rPr>
          <w:rFonts w:cs="ArialMT"/>
          <w:bCs/>
          <w:sz w:val="22"/>
          <w:szCs w:val="22"/>
          <w:lang w:val="en-GB"/>
        </w:rPr>
      </w:pPr>
      <w:r w:rsidRPr="00682784">
        <w:rPr>
          <w:rFonts w:cs="ArialMT"/>
          <w:bCs/>
          <w:sz w:val="22"/>
          <w:szCs w:val="22"/>
          <w:lang w:val="en-GB"/>
        </w:rPr>
        <w:t xml:space="preserve">In regard to the </w:t>
      </w:r>
      <w:r w:rsidRPr="00682784">
        <w:rPr>
          <w:rFonts w:cs="ArialMT"/>
          <w:bCs/>
          <w:sz w:val="22"/>
          <w:szCs w:val="22"/>
          <w:u w:val="single"/>
          <w:lang w:val="en-GB"/>
        </w:rPr>
        <w:t>selection and management of projects</w:t>
      </w:r>
      <w:r w:rsidRPr="00682784">
        <w:rPr>
          <w:rFonts w:cs="ArialMT"/>
          <w:bCs/>
          <w:sz w:val="22"/>
          <w:szCs w:val="22"/>
          <w:lang w:val="en-GB"/>
        </w:rPr>
        <w:t>:</w:t>
      </w:r>
    </w:p>
    <w:p w14:paraId="2390E5F7"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Draw up and launch the selection procedures;</w:t>
      </w:r>
    </w:p>
    <w:p w14:paraId="08D2FCD1"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Ensure adequate awareness raising and capacity building for potential beneficiaries in collaboration with the NAs and with the support of the JTS</w:t>
      </w:r>
    </w:p>
    <w:p w14:paraId="2139875D"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Manage the project selection procedures;</w:t>
      </w:r>
    </w:p>
    <w:p w14:paraId="370ABF6C"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sz w:val="22"/>
          <w:szCs w:val="22"/>
          <w:lang w:val="en-GB"/>
        </w:rPr>
        <w:t>Provide the lead beneficiary with a document setting out the conditions for support for each project including the financing plan and execution deadline</w:t>
      </w:r>
    </w:p>
    <w:p w14:paraId="325E5466"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sz w:val="22"/>
          <w:szCs w:val="22"/>
          <w:lang w:val="en-GB"/>
        </w:rPr>
        <w:t>Take any necessary precautionary measure in order</w:t>
      </w:r>
      <w:r w:rsidR="00C025FE">
        <w:rPr>
          <w:sz w:val="22"/>
          <w:szCs w:val="22"/>
          <w:lang w:val="en-GB"/>
        </w:rPr>
        <w:t xml:space="preserve"> to</w:t>
      </w:r>
      <w:r w:rsidRPr="00682784">
        <w:rPr>
          <w:sz w:val="22"/>
          <w:szCs w:val="22"/>
          <w:lang w:val="en-GB"/>
        </w:rPr>
        <w:t xml:space="preserve"> prevent duplication of activities among the projects funded by the EU (e.g. through consultations with NAs and EC and other relevant MAs)</w:t>
      </w:r>
    </w:p>
    <w:p w14:paraId="67D88F70"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Sign contracts with lead beneficiaries;</w:t>
      </w:r>
    </w:p>
    <w:p w14:paraId="7A03B957" w14:textId="77777777" w:rsidR="0028075A" w:rsidRPr="002B2C50"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rPr>
      </w:pPr>
      <w:r w:rsidRPr="002B2C50">
        <w:rPr>
          <w:rFonts w:cs="ArialMT"/>
          <w:bCs/>
          <w:sz w:val="22"/>
          <w:szCs w:val="22"/>
        </w:rPr>
        <w:t xml:space="preserve">Manage </w:t>
      </w:r>
      <w:proofErr w:type="spellStart"/>
      <w:r w:rsidRPr="002B2C50">
        <w:rPr>
          <w:rFonts w:cs="ArialMT"/>
          <w:bCs/>
          <w:sz w:val="22"/>
          <w:szCs w:val="22"/>
        </w:rPr>
        <w:t>projects</w:t>
      </w:r>
      <w:proofErr w:type="spellEnd"/>
      <w:r w:rsidRPr="002B2C50">
        <w:rPr>
          <w:rFonts w:cs="ArialMT"/>
          <w:bCs/>
          <w:sz w:val="22"/>
          <w:szCs w:val="22"/>
        </w:rPr>
        <w:t>.</w:t>
      </w:r>
    </w:p>
    <w:p w14:paraId="7BEA2FE5" w14:textId="77777777" w:rsidR="0028075A" w:rsidRPr="00682784" w:rsidRDefault="0028075A" w:rsidP="003574FD">
      <w:pPr>
        <w:numPr>
          <w:ilvl w:val="0"/>
          <w:numId w:val="48"/>
        </w:numPr>
        <w:tabs>
          <w:tab w:val="left" w:pos="709"/>
        </w:tabs>
        <w:spacing w:before="200" w:after="0" w:line="21" w:lineRule="atLeast"/>
        <w:ind w:left="714" w:hanging="357"/>
        <w:jc w:val="both"/>
        <w:rPr>
          <w:rFonts w:cs="ArialMT"/>
          <w:bCs/>
          <w:sz w:val="22"/>
          <w:szCs w:val="22"/>
          <w:lang w:val="en-GB"/>
        </w:rPr>
      </w:pPr>
      <w:r w:rsidRPr="00682784">
        <w:rPr>
          <w:rFonts w:cs="ArialMT"/>
          <w:bCs/>
          <w:sz w:val="22"/>
          <w:szCs w:val="22"/>
          <w:lang w:val="en-GB"/>
        </w:rPr>
        <w:t xml:space="preserve">In regard to </w:t>
      </w:r>
      <w:r w:rsidRPr="00682784">
        <w:rPr>
          <w:rFonts w:cs="ArialMT"/>
          <w:bCs/>
          <w:sz w:val="22"/>
          <w:szCs w:val="22"/>
          <w:u w:val="single"/>
          <w:lang w:val="en-GB"/>
        </w:rPr>
        <w:t>technical assistance</w:t>
      </w:r>
      <w:r w:rsidRPr="00682784">
        <w:rPr>
          <w:rFonts w:cs="ArialMT"/>
          <w:bCs/>
          <w:sz w:val="22"/>
          <w:szCs w:val="22"/>
          <w:lang w:val="en-GB"/>
        </w:rPr>
        <w:t>:</w:t>
      </w:r>
    </w:p>
    <w:p w14:paraId="623C569B"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Manage the contract award procedures;</w:t>
      </w:r>
    </w:p>
    <w:p w14:paraId="3FD3603C" w14:textId="77777777" w:rsidR="0028075A" w:rsidRPr="002B2C50"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rPr>
      </w:pPr>
      <w:proofErr w:type="spellStart"/>
      <w:r w:rsidRPr="002B2C50">
        <w:rPr>
          <w:rFonts w:cs="ArialMT"/>
          <w:bCs/>
          <w:sz w:val="22"/>
          <w:szCs w:val="22"/>
        </w:rPr>
        <w:t>Sign</w:t>
      </w:r>
      <w:proofErr w:type="spellEnd"/>
      <w:r w:rsidRPr="002B2C50">
        <w:rPr>
          <w:rFonts w:cs="ArialMT"/>
          <w:bCs/>
          <w:sz w:val="22"/>
          <w:szCs w:val="22"/>
        </w:rPr>
        <w:t xml:space="preserve"> </w:t>
      </w:r>
      <w:proofErr w:type="spellStart"/>
      <w:r w:rsidRPr="002B2C50">
        <w:rPr>
          <w:rFonts w:cs="ArialMT"/>
          <w:bCs/>
          <w:sz w:val="22"/>
          <w:szCs w:val="22"/>
        </w:rPr>
        <w:t>contracts</w:t>
      </w:r>
      <w:proofErr w:type="spellEnd"/>
      <w:r w:rsidRPr="002B2C50">
        <w:rPr>
          <w:rFonts w:cs="ArialMT"/>
          <w:bCs/>
          <w:sz w:val="22"/>
          <w:szCs w:val="22"/>
        </w:rPr>
        <w:t xml:space="preserve"> </w:t>
      </w:r>
      <w:proofErr w:type="spellStart"/>
      <w:r w:rsidRPr="002B2C50">
        <w:rPr>
          <w:rFonts w:cs="ArialMT"/>
          <w:bCs/>
          <w:sz w:val="22"/>
          <w:szCs w:val="22"/>
        </w:rPr>
        <w:t>with</w:t>
      </w:r>
      <w:proofErr w:type="spellEnd"/>
      <w:r w:rsidRPr="002B2C50">
        <w:rPr>
          <w:rFonts w:cs="ArialMT"/>
          <w:bCs/>
          <w:sz w:val="22"/>
          <w:szCs w:val="22"/>
        </w:rPr>
        <w:t xml:space="preserve"> </w:t>
      </w:r>
      <w:proofErr w:type="spellStart"/>
      <w:r w:rsidRPr="002B2C50">
        <w:rPr>
          <w:rFonts w:cs="ArialMT"/>
          <w:bCs/>
          <w:sz w:val="22"/>
          <w:szCs w:val="22"/>
        </w:rPr>
        <w:t>contractors</w:t>
      </w:r>
      <w:proofErr w:type="spellEnd"/>
      <w:r w:rsidRPr="002B2C50">
        <w:rPr>
          <w:rFonts w:cs="ArialMT"/>
          <w:bCs/>
          <w:sz w:val="22"/>
          <w:szCs w:val="22"/>
        </w:rPr>
        <w:t>;</w:t>
      </w:r>
    </w:p>
    <w:p w14:paraId="2B1FB52A" w14:textId="77777777" w:rsidR="0028075A" w:rsidRPr="002B2C50"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rPr>
      </w:pPr>
      <w:r w:rsidRPr="002B2C50">
        <w:rPr>
          <w:rFonts w:cs="ArialMT"/>
          <w:bCs/>
          <w:sz w:val="22"/>
          <w:szCs w:val="22"/>
        </w:rPr>
        <w:t xml:space="preserve">Manage </w:t>
      </w:r>
      <w:proofErr w:type="spellStart"/>
      <w:r w:rsidRPr="002B2C50">
        <w:rPr>
          <w:rFonts w:cs="ArialMT"/>
          <w:bCs/>
          <w:sz w:val="22"/>
          <w:szCs w:val="22"/>
        </w:rPr>
        <w:t>contracts</w:t>
      </w:r>
      <w:proofErr w:type="spellEnd"/>
      <w:r w:rsidRPr="002B2C50">
        <w:rPr>
          <w:rFonts w:cs="ArialMT"/>
          <w:bCs/>
          <w:sz w:val="22"/>
          <w:szCs w:val="22"/>
        </w:rPr>
        <w:t xml:space="preserve">. </w:t>
      </w:r>
    </w:p>
    <w:p w14:paraId="7A75DE27" w14:textId="77777777" w:rsidR="0028075A" w:rsidRPr="00682784" w:rsidRDefault="0028075A" w:rsidP="003574FD">
      <w:pPr>
        <w:numPr>
          <w:ilvl w:val="0"/>
          <w:numId w:val="48"/>
        </w:numPr>
        <w:tabs>
          <w:tab w:val="left" w:pos="709"/>
          <w:tab w:val="left" w:pos="1276"/>
        </w:tabs>
        <w:spacing w:before="200" w:after="0" w:line="21" w:lineRule="atLeast"/>
        <w:ind w:left="714" w:hanging="357"/>
        <w:jc w:val="both"/>
        <w:rPr>
          <w:rFonts w:cs="ArialMT"/>
          <w:bCs/>
          <w:sz w:val="22"/>
          <w:szCs w:val="22"/>
          <w:lang w:val="en-GB"/>
        </w:rPr>
      </w:pPr>
      <w:r w:rsidRPr="00682784">
        <w:rPr>
          <w:rFonts w:cs="ArialMT"/>
          <w:bCs/>
          <w:sz w:val="22"/>
          <w:szCs w:val="22"/>
          <w:lang w:val="en-GB"/>
        </w:rPr>
        <w:lastRenderedPageBreak/>
        <w:t xml:space="preserve">In regard to the </w:t>
      </w:r>
      <w:r w:rsidRPr="00682784">
        <w:rPr>
          <w:rFonts w:cs="ArialMT"/>
          <w:bCs/>
          <w:sz w:val="22"/>
          <w:szCs w:val="22"/>
          <w:u w:val="single"/>
          <w:lang w:val="en-GB"/>
        </w:rPr>
        <w:t>financial management and control of the programme</w:t>
      </w:r>
      <w:r w:rsidRPr="00682784">
        <w:rPr>
          <w:rFonts w:cs="ArialMT"/>
          <w:bCs/>
          <w:sz w:val="22"/>
          <w:szCs w:val="22"/>
          <w:lang w:val="en-GB"/>
        </w:rPr>
        <w:t>:</w:t>
      </w:r>
    </w:p>
    <w:p w14:paraId="16D86C77"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Ensure adequate training for project beneficiaries with the support of the JTS and the NAs;</w:t>
      </w:r>
    </w:p>
    <w:p w14:paraId="07C5D319"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 xml:space="preserve">Ensure adequate training of controllers, with the support of the CCPs; </w:t>
      </w:r>
    </w:p>
    <w:p w14:paraId="4B400C98" w14:textId="4F27B024" w:rsidR="0028075A" w:rsidRPr="00F34D3E" w:rsidRDefault="0028075A" w:rsidP="003574FD">
      <w:pPr>
        <w:numPr>
          <w:ilvl w:val="1"/>
          <w:numId w:val="48"/>
        </w:numPr>
        <w:tabs>
          <w:tab w:val="left" w:pos="993"/>
        </w:tabs>
        <w:spacing w:before="200" w:after="0" w:line="21" w:lineRule="atLeast"/>
        <w:ind w:left="993" w:hanging="284"/>
        <w:contextualSpacing/>
        <w:jc w:val="both"/>
        <w:rPr>
          <w:rFonts w:cs="ArialMT"/>
          <w:bCs/>
          <w:color w:val="000000" w:themeColor="text1"/>
          <w:sz w:val="22"/>
          <w:szCs w:val="22"/>
          <w:lang w:val="en-GB"/>
        </w:rPr>
      </w:pPr>
      <w:r w:rsidRPr="00682784">
        <w:rPr>
          <w:rFonts w:cs="ArialMT"/>
          <w:bCs/>
          <w:sz w:val="22"/>
          <w:szCs w:val="22"/>
          <w:lang w:val="en-GB"/>
        </w:rPr>
        <w:t>Verify that services, supplies or works have been performed, delivered and/or installed or carried out and whether expenditure declared by the beneficiaries has been paid by them and it complies with applicable law, programme rules and conditions for programme financing;</w:t>
      </w:r>
      <w:r w:rsidR="002E2858">
        <w:rPr>
          <w:rFonts w:cs="ArialMT"/>
          <w:bCs/>
          <w:sz w:val="22"/>
          <w:szCs w:val="22"/>
          <w:lang w:val="en-GB"/>
        </w:rPr>
        <w:t xml:space="preserve"> </w:t>
      </w:r>
      <w:r w:rsidR="002E2858" w:rsidRPr="00F34D3E">
        <w:rPr>
          <w:rFonts w:cs="Arial"/>
          <w:bCs/>
          <w:iCs/>
          <w:color w:val="000000" w:themeColor="text1"/>
          <w:sz w:val="22"/>
          <w:szCs w:val="22"/>
          <w:lang w:val="en-GB"/>
        </w:rPr>
        <w:t>where the institution hosting the Managing Authority is also a beneficiary under the programme, arrangements for verifications shall ensure suitable segregation of functions;</w:t>
      </w:r>
    </w:p>
    <w:p w14:paraId="73300AFE" w14:textId="32EBFAF4"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Ensure that  beneficiaries involved in project implementation maintain either a separate accounting system or a suitable accounting code for all transactions</w:t>
      </w:r>
      <w:r w:rsidR="002E2858">
        <w:rPr>
          <w:rFonts w:cs="ArialMT"/>
          <w:bCs/>
          <w:sz w:val="22"/>
          <w:szCs w:val="22"/>
          <w:lang w:val="en-GB"/>
        </w:rPr>
        <w:t xml:space="preserve"> relating to a project</w:t>
      </w:r>
      <w:r w:rsidRPr="00682784">
        <w:rPr>
          <w:rFonts w:cs="ArialMT"/>
          <w:bCs/>
          <w:sz w:val="22"/>
          <w:szCs w:val="22"/>
          <w:lang w:val="en-GB"/>
        </w:rPr>
        <w:t>;</w:t>
      </w:r>
    </w:p>
    <w:p w14:paraId="1522A212"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Keep track of the systemic and most common errors by beneficiaries and inform CCPs and NAs about them;</w:t>
      </w:r>
    </w:p>
    <w:p w14:paraId="6CB04050"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Put in place adequate correction measures concerning project irregularities and inform the relevant bodies about them;</w:t>
      </w:r>
    </w:p>
    <w:p w14:paraId="40A02A9C"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Put in place effective and proportionate anti-fraud measures taking into account the risks identified;</w:t>
      </w:r>
    </w:p>
    <w:p w14:paraId="5B8F6BBA"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Set up procedures to ensure all documents related to expenditure and audits that are required to ensure a suitable audit trail are held in accordance with the requirements of article 10 of the ENI-CBC Implementing Rules;</w:t>
      </w:r>
    </w:p>
    <w:p w14:paraId="28249C3C"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Draw up the management declaration and annual summary referred to in article 68 of the ENI-CBC Implementing Rules;</w:t>
      </w:r>
    </w:p>
    <w:p w14:paraId="1F8A5F39"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Draw up and submit payment requests to EC in accordance with article 60 of the ENI-CBC Implementing Rules;</w:t>
      </w:r>
    </w:p>
    <w:p w14:paraId="1A73D4BE"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Draw up the annual accounts;</w:t>
      </w:r>
    </w:p>
    <w:p w14:paraId="68B537FD"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Take account of the results of all audits carried out by, or under the responsibility of the Audit Authority, when drawing up and submitting payment requests;</w:t>
      </w:r>
    </w:p>
    <w:p w14:paraId="0B31E33E"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Maintain computerised accounting records for expenditure declared to the Commission and for payments made to beneficiaries;</w:t>
      </w:r>
    </w:p>
    <w:p w14:paraId="13E77E71"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Keep an account of amounts recoverable, amounts recovered and of amounts reduced following cancellation of all or part of the grant.</w:t>
      </w:r>
    </w:p>
    <w:p w14:paraId="32EA8261" w14:textId="77777777" w:rsidR="0028075A" w:rsidRPr="002B2C50" w:rsidRDefault="0028075A" w:rsidP="003574FD">
      <w:pPr>
        <w:numPr>
          <w:ilvl w:val="0"/>
          <w:numId w:val="48"/>
        </w:numPr>
        <w:tabs>
          <w:tab w:val="left" w:pos="709"/>
        </w:tabs>
        <w:spacing w:before="200" w:after="0" w:line="21" w:lineRule="atLeast"/>
        <w:ind w:left="714" w:hanging="357"/>
        <w:jc w:val="both"/>
        <w:rPr>
          <w:rFonts w:cs="ArialMT"/>
          <w:bCs/>
          <w:sz w:val="22"/>
          <w:szCs w:val="22"/>
        </w:rPr>
      </w:pPr>
      <w:r w:rsidRPr="002B2C50">
        <w:rPr>
          <w:rFonts w:cs="ArialMT"/>
          <w:bCs/>
          <w:sz w:val="22"/>
          <w:szCs w:val="22"/>
        </w:rPr>
        <w:t xml:space="preserve">In regard to </w:t>
      </w:r>
      <w:proofErr w:type="spellStart"/>
      <w:r w:rsidRPr="002B2C50">
        <w:rPr>
          <w:rFonts w:cs="ArialMT"/>
          <w:bCs/>
          <w:sz w:val="22"/>
          <w:szCs w:val="22"/>
          <w:u w:val="single"/>
        </w:rPr>
        <w:t>verifications</w:t>
      </w:r>
      <w:proofErr w:type="spellEnd"/>
      <w:r w:rsidRPr="002B2C50">
        <w:rPr>
          <w:rFonts w:cs="ArialMT"/>
          <w:bCs/>
          <w:sz w:val="22"/>
          <w:szCs w:val="22"/>
        </w:rPr>
        <w:t>:</w:t>
      </w:r>
    </w:p>
    <w:p w14:paraId="69988818"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Carry out administrative verifications for each payment request by beneficiaries;</w:t>
      </w:r>
    </w:p>
    <w:p w14:paraId="1BA9FE27" w14:textId="77777777" w:rsidR="0028075A" w:rsidRPr="00682784" w:rsidRDefault="0028075A" w:rsidP="003574FD">
      <w:pPr>
        <w:numPr>
          <w:ilvl w:val="1"/>
          <w:numId w:val="48"/>
        </w:numPr>
        <w:tabs>
          <w:tab w:val="left" w:pos="993"/>
        </w:tabs>
        <w:spacing w:before="200" w:after="0" w:line="21" w:lineRule="atLeast"/>
        <w:ind w:left="993" w:hanging="284"/>
        <w:contextualSpacing/>
        <w:jc w:val="both"/>
        <w:rPr>
          <w:rFonts w:cs="ArialMT"/>
          <w:bCs/>
          <w:sz w:val="22"/>
          <w:szCs w:val="22"/>
          <w:lang w:val="en-GB"/>
        </w:rPr>
      </w:pPr>
      <w:r w:rsidRPr="00682784">
        <w:rPr>
          <w:rFonts w:cs="ArialMT"/>
          <w:bCs/>
          <w:sz w:val="22"/>
          <w:szCs w:val="22"/>
          <w:lang w:val="en-GB"/>
        </w:rPr>
        <w:t>Carry out on-the-spot project verifications.</w:t>
      </w:r>
    </w:p>
    <w:p w14:paraId="6387D430" w14:textId="77777777" w:rsidR="0028075A" w:rsidRPr="00682784" w:rsidRDefault="0028075A" w:rsidP="003574FD">
      <w:pPr>
        <w:tabs>
          <w:tab w:val="left" w:pos="284"/>
        </w:tabs>
        <w:spacing w:line="21" w:lineRule="atLeast"/>
        <w:ind w:left="284" w:hanging="284"/>
        <w:rPr>
          <w:rFonts w:cs="Arial"/>
          <w:b/>
          <w:bCs/>
          <w:iCs/>
          <w:color w:val="8DB3E2"/>
          <w:sz w:val="12"/>
          <w:szCs w:val="12"/>
          <w:lang w:val="en-GB"/>
        </w:rPr>
      </w:pPr>
    </w:p>
    <w:p w14:paraId="6CE43437" w14:textId="1CF45DB3" w:rsidR="0028075A" w:rsidRPr="002B2A70" w:rsidRDefault="006377FF" w:rsidP="003574FD">
      <w:pPr>
        <w:pStyle w:val="Heading3"/>
        <w:spacing w:before="240" w:after="240" w:line="21" w:lineRule="atLeast"/>
        <w:rPr>
          <w:b/>
          <w:sz w:val="28"/>
          <w:szCs w:val="28"/>
          <w:lang w:val="en-GB"/>
        </w:rPr>
      </w:pPr>
      <w:bookmarkStart w:id="89" w:name="_Toc423436298"/>
      <w:r>
        <w:rPr>
          <w:b/>
          <w:sz w:val="28"/>
          <w:szCs w:val="28"/>
          <w:lang w:val="en-GB"/>
        </w:rPr>
        <w:t xml:space="preserve">6.3 </w:t>
      </w:r>
      <w:r w:rsidR="0028075A" w:rsidRPr="002B2A70">
        <w:rPr>
          <w:b/>
          <w:sz w:val="28"/>
          <w:szCs w:val="28"/>
          <w:lang w:val="en-GB"/>
        </w:rPr>
        <w:t>Audit Authority (AA) and Group of Auditors (</w:t>
      </w:r>
      <w:proofErr w:type="spellStart"/>
      <w:r w:rsidR="0028075A" w:rsidRPr="002B2A70">
        <w:rPr>
          <w:b/>
          <w:sz w:val="28"/>
          <w:szCs w:val="28"/>
          <w:lang w:val="en-GB"/>
        </w:rPr>
        <w:t>GoAs</w:t>
      </w:r>
      <w:proofErr w:type="spellEnd"/>
      <w:r w:rsidR="0028075A" w:rsidRPr="002B2A70">
        <w:rPr>
          <w:b/>
          <w:sz w:val="28"/>
          <w:szCs w:val="28"/>
          <w:lang w:val="en-GB"/>
        </w:rPr>
        <w:t>)</w:t>
      </w:r>
      <w:bookmarkEnd w:id="89"/>
      <w:r w:rsidR="0028075A" w:rsidRPr="002B2A70">
        <w:rPr>
          <w:b/>
          <w:sz w:val="28"/>
          <w:szCs w:val="28"/>
          <w:lang w:val="en-GB"/>
        </w:rPr>
        <w:t xml:space="preserve"> </w:t>
      </w:r>
      <w:r w:rsidR="002E2858" w:rsidRPr="008D1E20">
        <w:rPr>
          <w:lang w:val="en-GB"/>
        </w:rPr>
        <w:t>(Article 28 of ENI CBC I</w:t>
      </w:r>
      <w:r w:rsidR="002E2858">
        <w:rPr>
          <w:lang w:val="en-GB"/>
        </w:rPr>
        <w:t xml:space="preserve">mplementing </w:t>
      </w:r>
      <w:r w:rsidR="002E2858" w:rsidRPr="008D1E20">
        <w:rPr>
          <w:lang w:val="en-GB"/>
        </w:rPr>
        <w:t>R</w:t>
      </w:r>
      <w:r w:rsidR="002E2858">
        <w:rPr>
          <w:lang w:val="en-GB"/>
        </w:rPr>
        <w:t>ules</w:t>
      </w:r>
      <w:r w:rsidR="002E2858" w:rsidRPr="008D1E20">
        <w:rPr>
          <w:lang w:val="en-GB"/>
        </w:rPr>
        <w:t>)</w:t>
      </w:r>
    </w:p>
    <w:p w14:paraId="09B408B6" w14:textId="77777777" w:rsidR="0028075A" w:rsidRPr="00682784" w:rsidRDefault="0028075A" w:rsidP="003574FD">
      <w:pPr>
        <w:tabs>
          <w:tab w:val="left" w:pos="9072"/>
        </w:tabs>
        <w:autoSpaceDE w:val="0"/>
        <w:autoSpaceDN w:val="0"/>
        <w:adjustRightInd w:val="0"/>
        <w:spacing w:line="21" w:lineRule="atLeast"/>
        <w:jc w:val="both"/>
        <w:rPr>
          <w:rFonts w:cs="ArialMT"/>
          <w:bCs/>
          <w:sz w:val="22"/>
          <w:szCs w:val="22"/>
          <w:lang w:val="en-GB"/>
        </w:rPr>
      </w:pPr>
      <w:r w:rsidRPr="00682784">
        <w:rPr>
          <w:rFonts w:cs="ArialMT"/>
          <w:bCs/>
          <w:sz w:val="22"/>
          <w:szCs w:val="22"/>
          <w:lang w:val="en-GB"/>
        </w:rPr>
        <w:t xml:space="preserve">Upon a proposal by Romania, and by agreement of the participating countries, the appointed Audit Authority is the Romanian Court of Accounts. </w:t>
      </w:r>
    </w:p>
    <w:p w14:paraId="5ABEE2CA" w14:textId="77777777" w:rsidR="0028075A" w:rsidRPr="00682784" w:rsidRDefault="0028075A" w:rsidP="003574FD">
      <w:pPr>
        <w:tabs>
          <w:tab w:val="left" w:pos="9072"/>
        </w:tabs>
        <w:autoSpaceDE w:val="0"/>
        <w:autoSpaceDN w:val="0"/>
        <w:adjustRightInd w:val="0"/>
        <w:spacing w:line="21" w:lineRule="atLeast"/>
        <w:jc w:val="both"/>
        <w:rPr>
          <w:rFonts w:cs="ArialMT"/>
          <w:bCs/>
          <w:sz w:val="22"/>
          <w:szCs w:val="22"/>
          <w:lang w:val="en-GB"/>
        </w:rPr>
      </w:pPr>
      <w:r w:rsidRPr="00682784">
        <w:rPr>
          <w:rFonts w:cs="ArialMT"/>
          <w:bCs/>
          <w:sz w:val="22"/>
          <w:szCs w:val="22"/>
          <w:lang w:val="en-GB"/>
        </w:rPr>
        <w:t xml:space="preserve">The Audit Authority shall ensure that audits are carried out on the programme management and control systems, on an appropriate sample of projects and on the annual accounts of the programme. </w:t>
      </w:r>
    </w:p>
    <w:p w14:paraId="680F53D2" w14:textId="77777777" w:rsidR="0028075A" w:rsidRPr="00682784" w:rsidRDefault="0028075A" w:rsidP="003574FD">
      <w:pPr>
        <w:autoSpaceDE w:val="0"/>
        <w:autoSpaceDN w:val="0"/>
        <w:adjustRightInd w:val="0"/>
        <w:spacing w:line="21" w:lineRule="atLeast"/>
        <w:jc w:val="both"/>
        <w:rPr>
          <w:rFonts w:cs="ArialMT"/>
          <w:bCs/>
          <w:sz w:val="22"/>
          <w:szCs w:val="22"/>
          <w:lang w:val="en-GB"/>
        </w:rPr>
      </w:pPr>
      <w:r w:rsidRPr="00682784">
        <w:rPr>
          <w:rFonts w:cs="ArialMT"/>
          <w:bCs/>
          <w:sz w:val="22"/>
          <w:szCs w:val="22"/>
          <w:lang w:val="en-GB"/>
        </w:rPr>
        <w:t xml:space="preserve">The Audit Authority for the programme will be assisted by a Group of Auditors comprising a representative from each country participating in the programme. </w:t>
      </w:r>
    </w:p>
    <w:p w14:paraId="2F0F8378" w14:textId="77777777" w:rsidR="0028075A" w:rsidRPr="00682784" w:rsidRDefault="0028075A" w:rsidP="003574FD">
      <w:pPr>
        <w:tabs>
          <w:tab w:val="left" w:pos="9072"/>
        </w:tabs>
        <w:autoSpaceDE w:val="0"/>
        <w:autoSpaceDN w:val="0"/>
        <w:adjustRightInd w:val="0"/>
        <w:spacing w:line="21" w:lineRule="atLeast"/>
        <w:jc w:val="both"/>
        <w:rPr>
          <w:rFonts w:cs="ArialMT"/>
          <w:bCs/>
          <w:sz w:val="22"/>
          <w:szCs w:val="22"/>
          <w:lang w:val="en-GB"/>
        </w:rPr>
      </w:pPr>
      <w:r w:rsidRPr="00682784">
        <w:rPr>
          <w:rFonts w:cs="ArialMT"/>
          <w:bCs/>
          <w:sz w:val="22"/>
          <w:szCs w:val="22"/>
          <w:lang w:val="en-GB"/>
        </w:rPr>
        <w:t>The Audit Authority shall ensure that the audit work complies with internationally accepted audit standards.</w:t>
      </w:r>
    </w:p>
    <w:p w14:paraId="013366D1" w14:textId="77777777" w:rsidR="0028075A" w:rsidRPr="00A409E3" w:rsidRDefault="0028075A" w:rsidP="003574FD">
      <w:pPr>
        <w:spacing w:before="240" w:after="120" w:line="21" w:lineRule="atLeast"/>
        <w:jc w:val="both"/>
        <w:rPr>
          <w:b/>
          <w:lang w:val="en-GB"/>
        </w:rPr>
      </w:pPr>
      <w:r w:rsidRPr="00A409E3">
        <w:rPr>
          <w:b/>
          <w:lang w:val="en-GB"/>
        </w:rPr>
        <w:t>Functions</w:t>
      </w:r>
    </w:p>
    <w:p w14:paraId="2BFC19B2" w14:textId="77777777" w:rsidR="0028075A" w:rsidRPr="00682784" w:rsidRDefault="0028075A" w:rsidP="003574FD">
      <w:pPr>
        <w:spacing w:before="120" w:after="120" w:line="21" w:lineRule="atLeast"/>
        <w:jc w:val="both"/>
        <w:rPr>
          <w:rFonts w:cs="ArialMT"/>
          <w:bCs/>
          <w:sz w:val="22"/>
          <w:szCs w:val="22"/>
          <w:lang w:val="en-GB"/>
        </w:rPr>
      </w:pPr>
      <w:r w:rsidRPr="00682784">
        <w:rPr>
          <w:rFonts w:cs="ArialMT"/>
          <w:bCs/>
          <w:sz w:val="22"/>
          <w:szCs w:val="22"/>
          <w:lang w:val="en-GB"/>
        </w:rPr>
        <w:t>In accordance with article 28 o</w:t>
      </w:r>
      <w:r w:rsidR="0034529A" w:rsidRPr="00682784">
        <w:rPr>
          <w:rFonts w:cs="ArialMT"/>
          <w:bCs/>
          <w:sz w:val="22"/>
          <w:szCs w:val="22"/>
          <w:lang w:val="en-GB"/>
        </w:rPr>
        <w:t>f the ENI CBC Implementing Regulation</w:t>
      </w:r>
      <w:r w:rsidRPr="00682784">
        <w:rPr>
          <w:rFonts w:cs="ArialMT"/>
          <w:bCs/>
          <w:sz w:val="22"/>
          <w:szCs w:val="22"/>
          <w:lang w:val="en-GB"/>
        </w:rPr>
        <w:t>, the main functions of the AA will be to:</w:t>
      </w:r>
    </w:p>
    <w:p w14:paraId="01729D3B" w14:textId="77777777" w:rsidR="0028075A" w:rsidRPr="00682784" w:rsidRDefault="0028075A" w:rsidP="003574FD">
      <w:pPr>
        <w:numPr>
          <w:ilvl w:val="0"/>
          <w:numId w:val="49"/>
        </w:numPr>
        <w:spacing w:before="120" w:after="120" w:line="21" w:lineRule="atLeast"/>
        <w:contextualSpacing/>
        <w:jc w:val="both"/>
        <w:rPr>
          <w:rFonts w:cs="ArialMT"/>
          <w:bCs/>
          <w:sz w:val="22"/>
          <w:szCs w:val="22"/>
          <w:lang w:val="en-GB"/>
        </w:rPr>
      </w:pPr>
      <w:r w:rsidRPr="00682784">
        <w:rPr>
          <w:rFonts w:cs="ArialMT"/>
          <w:bCs/>
          <w:sz w:val="22"/>
          <w:szCs w:val="22"/>
          <w:lang w:val="en-GB"/>
        </w:rPr>
        <w:lastRenderedPageBreak/>
        <w:t>Prepare an audit strategy setting out the methodology and sampling methods;</w:t>
      </w:r>
    </w:p>
    <w:p w14:paraId="25069E10" w14:textId="77777777" w:rsidR="0028075A" w:rsidRPr="00682784" w:rsidRDefault="0028075A" w:rsidP="003574FD">
      <w:pPr>
        <w:numPr>
          <w:ilvl w:val="0"/>
          <w:numId w:val="49"/>
        </w:numPr>
        <w:spacing w:before="120" w:after="120" w:line="21" w:lineRule="atLeast"/>
        <w:contextualSpacing/>
        <w:jc w:val="both"/>
        <w:rPr>
          <w:rFonts w:cs="ArialMT"/>
          <w:bCs/>
          <w:sz w:val="22"/>
          <w:szCs w:val="22"/>
          <w:lang w:val="en-GB"/>
        </w:rPr>
      </w:pPr>
      <w:r w:rsidRPr="00682784">
        <w:rPr>
          <w:rFonts w:cs="ArialMT"/>
          <w:bCs/>
          <w:sz w:val="22"/>
          <w:szCs w:val="22"/>
          <w:lang w:val="en-GB"/>
        </w:rPr>
        <w:t>Ensure that audits are carried out on the management and control systems, on an appropriate sample of projects and on the annual accounts of the programme;</w:t>
      </w:r>
    </w:p>
    <w:p w14:paraId="09EAA1CC" w14:textId="77777777" w:rsidR="0028075A" w:rsidRPr="00682784" w:rsidRDefault="0028075A" w:rsidP="003574FD">
      <w:pPr>
        <w:numPr>
          <w:ilvl w:val="0"/>
          <w:numId w:val="49"/>
        </w:numPr>
        <w:spacing w:before="120" w:after="120" w:line="21" w:lineRule="atLeast"/>
        <w:contextualSpacing/>
        <w:jc w:val="both"/>
        <w:rPr>
          <w:rFonts w:cs="ArialMT"/>
          <w:bCs/>
          <w:sz w:val="22"/>
          <w:szCs w:val="22"/>
          <w:lang w:val="en-GB"/>
        </w:rPr>
      </w:pPr>
      <w:r w:rsidRPr="00682784">
        <w:rPr>
          <w:rFonts w:cs="ArialMT"/>
          <w:bCs/>
          <w:sz w:val="22"/>
          <w:szCs w:val="22"/>
          <w:lang w:val="en-GB"/>
        </w:rPr>
        <w:t>Draw up an audit opinion on the annual accounts of the preceding accounting year, in conformity with article 68 of the ENI-CBC Implementing Rules;</w:t>
      </w:r>
    </w:p>
    <w:p w14:paraId="094DCB81" w14:textId="77777777" w:rsidR="00D22DC6" w:rsidRPr="00682784" w:rsidRDefault="0028075A" w:rsidP="003574FD">
      <w:pPr>
        <w:numPr>
          <w:ilvl w:val="0"/>
          <w:numId w:val="49"/>
        </w:numPr>
        <w:spacing w:before="120" w:after="120" w:line="21" w:lineRule="atLeast"/>
        <w:contextualSpacing/>
        <w:jc w:val="both"/>
        <w:rPr>
          <w:rFonts w:cs="ArialMT"/>
          <w:bCs/>
          <w:sz w:val="22"/>
          <w:szCs w:val="22"/>
          <w:lang w:val="en-GB"/>
        </w:rPr>
      </w:pPr>
      <w:r w:rsidRPr="00682784">
        <w:rPr>
          <w:rFonts w:cs="ArialMT"/>
          <w:bCs/>
          <w:sz w:val="22"/>
          <w:szCs w:val="22"/>
          <w:lang w:val="en-GB"/>
        </w:rPr>
        <w:t>Draw up an annual audit report, in conformity with article 68 of the ENI-CBC Implementing Rules.</w:t>
      </w:r>
    </w:p>
    <w:p w14:paraId="0884D6C7" w14:textId="77777777" w:rsidR="0028075A" w:rsidRPr="00682784" w:rsidRDefault="0028075A" w:rsidP="003574FD">
      <w:pPr>
        <w:tabs>
          <w:tab w:val="left" w:pos="9072"/>
        </w:tabs>
        <w:autoSpaceDE w:val="0"/>
        <w:autoSpaceDN w:val="0"/>
        <w:adjustRightInd w:val="0"/>
        <w:spacing w:before="240" w:after="120" w:line="21" w:lineRule="atLeast"/>
        <w:jc w:val="both"/>
        <w:rPr>
          <w:rFonts w:cs="ArialMT"/>
          <w:bCs/>
          <w:sz w:val="22"/>
          <w:szCs w:val="22"/>
          <w:lang w:val="en-GB"/>
        </w:rPr>
      </w:pPr>
      <w:r w:rsidRPr="00682784">
        <w:rPr>
          <w:rFonts w:cs="ArialMT"/>
          <w:bCs/>
          <w:sz w:val="22"/>
          <w:szCs w:val="22"/>
          <w:lang w:val="en-GB"/>
        </w:rPr>
        <w:t>The Audit Authority shall, within nine months of the signature of the first financing agreement between a Partner Country and the European Commission, submit to the Commission an audit strategy for the performance of audits. The audit strategy shall set out the audit methodology on the annual accounts and on projects, the sampling method for audits on projects and the planning of audits in relation to the current accounting year and the two subsequent accounting years. The audit strategy shall be updated annually from 2017 until and including 2024. The updated audit strategy shall be submitted with the programme annual report to the Commission.</w:t>
      </w:r>
    </w:p>
    <w:p w14:paraId="6B304BA2" w14:textId="77777777" w:rsidR="0028075A" w:rsidRPr="00682784" w:rsidRDefault="0028075A" w:rsidP="003574FD">
      <w:pPr>
        <w:tabs>
          <w:tab w:val="left" w:pos="9072"/>
        </w:tabs>
        <w:autoSpaceDE w:val="0"/>
        <w:autoSpaceDN w:val="0"/>
        <w:adjustRightInd w:val="0"/>
        <w:spacing w:before="120" w:after="120" w:line="21" w:lineRule="atLeast"/>
        <w:jc w:val="both"/>
        <w:rPr>
          <w:rFonts w:cs="ArialMT"/>
          <w:bCs/>
          <w:sz w:val="22"/>
          <w:szCs w:val="22"/>
          <w:lang w:val="en-GB"/>
        </w:rPr>
      </w:pPr>
      <w:r w:rsidRPr="00682784">
        <w:rPr>
          <w:rFonts w:cs="ArialMT"/>
          <w:bCs/>
          <w:sz w:val="22"/>
          <w:szCs w:val="22"/>
          <w:lang w:val="en-GB"/>
        </w:rPr>
        <w:t>The Audit Authority will coordinate its audit plans and methods with the European Commission and share with the EC the results of the audits carried out on management and control systems.</w:t>
      </w:r>
    </w:p>
    <w:p w14:paraId="36D280A9" w14:textId="77777777" w:rsidR="0028075A" w:rsidRPr="00A409E3" w:rsidRDefault="0028075A" w:rsidP="003574FD">
      <w:pPr>
        <w:spacing w:before="240" w:after="120" w:line="21" w:lineRule="atLeast"/>
        <w:jc w:val="both"/>
        <w:rPr>
          <w:b/>
          <w:lang w:val="en-GB"/>
        </w:rPr>
      </w:pPr>
      <w:r w:rsidRPr="00A409E3">
        <w:rPr>
          <w:b/>
          <w:lang w:val="en-GB"/>
        </w:rPr>
        <w:t>Group of Auditors</w:t>
      </w:r>
    </w:p>
    <w:p w14:paraId="449EA225" w14:textId="77777777" w:rsidR="0028075A" w:rsidRPr="00682784" w:rsidRDefault="0028075A" w:rsidP="003574FD">
      <w:pPr>
        <w:tabs>
          <w:tab w:val="num" w:pos="426"/>
          <w:tab w:val="num" w:pos="720"/>
        </w:tabs>
        <w:spacing w:line="21" w:lineRule="atLeast"/>
        <w:jc w:val="both"/>
        <w:rPr>
          <w:rFonts w:cs="ArialMT"/>
          <w:bCs/>
          <w:sz w:val="22"/>
          <w:szCs w:val="22"/>
          <w:lang w:val="en-GB"/>
        </w:rPr>
      </w:pPr>
      <w:r w:rsidRPr="00682784">
        <w:rPr>
          <w:rFonts w:cs="ArialMT"/>
          <w:bCs/>
          <w:sz w:val="22"/>
          <w:szCs w:val="22"/>
          <w:lang w:val="en-GB"/>
        </w:rPr>
        <w:t>The group of auditors shall be set up within three months of the designation of the Managing Authority. It shall draw up its own rules of procedures. It will meet at least once per year and shall be chaired by the Audit Authority.</w:t>
      </w:r>
    </w:p>
    <w:p w14:paraId="14BF3B9D" w14:textId="77777777" w:rsidR="0028075A" w:rsidRPr="00682784" w:rsidRDefault="0028075A" w:rsidP="003574FD">
      <w:pPr>
        <w:tabs>
          <w:tab w:val="num" w:pos="426"/>
          <w:tab w:val="num" w:pos="720"/>
        </w:tabs>
        <w:spacing w:line="21" w:lineRule="atLeast"/>
        <w:jc w:val="both"/>
        <w:rPr>
          <w:rFonts w:cs="ArialMT"/>
          <w:bCs/>
          <w:sz w:val="22"/>
          <w:szCs w:val="22"/>
          <w:lang w:val="en-GB"/>
        </w:rPr>
      </w:pPr>
      <w:r w:rsidRPr="00682784">
        <w:rPr>
          <w:rFonts w:cs="ArialMT"/>
          <w:bCs/>
          <w:sz w:val="22"/>
          <w:szCs w:val="22"/>
          <w:lang w:val="en-GB"/>
        </w:rPr>
        <w:t xml:space="preserve">The members of </w:t>
      </w:r>
      <w:proofErr w:type="spellStart"/>
      <w:r w:rsidRPr="00682784">
        <w:rPr>
          <w:rFonts w:cs="ArialMT"/>
          <w:bCs/>
          <w:sz w:val="22"/>
          <w:szCs w:val="22"/>
          <w:lang w:val="en-GB"/>
        </w:rPr>
        <w:t>GoAs</w:t>
      </w:r>
      <w:proofErr w:type="spellEnd"/>
      <w:r w:rsidRPr="00682784">
        <w:rPr>
          <w:rFonts w:cs="ArialMT"/>
          <w:bCs/>
          <w:sz w:val="22"/>
          <w:szCs w:val="22"/>
          <w:lang w:val="en-GB"/>
        </w:rPr>
        <w:t xml:space="preserve"> will be appointed by each country and will be independent from the other national bodies participating in the programme.</w:t>
      </w:r>
    </w:p>
    <w:p w14:paraId="075EA52B" w14:textId="77777777" w:rsidR="0028075A" w:rsidRPr="00682784" w:rsidRDefault="0028075A" w:rsidP="003574FD">
      <w:pPr>
        <w:tabs>
          <w:tab w:val="num" w:pos="426"/>
          <w:tab w:val="num" w:pos="720"/>
        </w:tabs>
        <w:spacing w:line="21" w:lineRule="atLeast"/>
        <w:jc w:val="both"/>
        <w:rPr>
          <w:rFonts w:cs="ArialMT"/>
          <w:bCs/>
          <w:sz w:val="22"/>
          <w:szCs w:val="22"/>
          <w:lang w:val="en-GB"/>
        </w:rPr>
      </w:pPr>
      <w:r w:rsidRPr="00682784">
        <w:rPr>
          <w:rFonts w:cs="ArialMT"/>
          <w:bCs/>
          <w:sz w:val="22"/>
          <w:szCs w:val="22"/>
          <w:lang w:val="en-GB"/>
        </w:rPr>
        <w:t xml:space="preserve">The members of the </w:t>
      </w:r>
      <w:proofErr w:type="spellStart"/>
      <w:r w:rsidRPr="00682784">
        <w:rPr>
          <w:rFonts w:cs="ArialMT"/>
          <w:bCs/>
          <w:sz w:val="22"/>
          <w:szCs w:val="22"/>
          <w:lang w:val="en-GB"/>
        </w:rPr>
        <w:t>GoA</w:t>
      </w:r>
      <w:proofErr w:type="spellEnd"/>
      <w:r w:rsidRPr="00682784">
        <w:rPr>
          <w:rFonts w:cs="ArialMT"/>
          <w:bCs/>
          <w:sz w:val="22"/>
          <w:szCs w:val="22"/>
          <w:lang w:val="en-GB"/>
        </w:rPr>
        <w:t xml:space="preserve"> shall contribute to the following:</w:t>
      </w:r>
    </w:p>
    <w:p w14:paraId="54F31FC3" w14:textId="77777777" w:rsidR="0028075A" w:rsidRPr="00682784" w:rsidRDefault="0028075A" w:rsidP="003574FD">
      <w:pPr>
        <w:numPr>
          <w:ilvl w:val="0"/>
          <w:numId w:val="43"/>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 xml:space="preserve">The audit strategy, and further annual updates, that shall set out the audit methodology on the annual accounts and on projects, the sampling method for audits on projects and the planning of audits for the current accounting year and the two subsequent accounting years; </w:t>
      </w:r>
    </w:p>
    <w:p w14:paraId="0E165E13" w14:textId="77777777" w:rsidR="0028075A" w:rsidRPr="00682784" w:rsidRDefault="0028075A" w:rsidP="003574FD">
      <w:pPr>
        <w:numPr>
          <w:ilvl w:val="0"/>
          <w:numId w:val="43"/>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The audit opinion on the annual accounts. This opinion shall establish whether the accounts give a true and fair view, the related transactions are legal and regular and the control systems are properly put in place and function. The opinion shall also state whether the audit work casts doubt on the assertions made in the management declaration referred to in the article 71 o</w:t>
      </w:r>
      <w:r w:rsidR="0034529A" w:rsidRPr="00682784">
        <w:rPr>
          <w:rFonts w:cs="ArialMT"/>
          <w:bCs/>
          <w:sz w:val="22"/>
          <w:szCs w:val="22"/>
          <w:lang w:val="en-GB"/>
        </w:rPr>
        <w:t>f the ENI-CBC Implementing Regulation</w:t>
      </w:r>
      <w:r w:rsidRPr="00682784">
        <w:rPr>
          <w:rFonts w:cs="ArialMT"/>
          <w:bCs/>
          <w:sz w:val="22"/>
          <w:szCs w:val="22"/>
          <w:lang w:val="en-GB"/>
        </w:rPr>
        <w:t>;</w:t>
      </w:r>
    </w:p>
    <w:p w14:paraId="0B23B767" w14:textId="77777777" w:rsidR="0028075A" w:rsidRPr="00682784" w:rsidRDefault="0028075A" w:rsidP="003574FD">
      <w:pPr>
        <w:numPr>
          <w:ilvl w:val="0"/>
          <w:numId w:val="43"/>
        </w:numPr>
        <w:spacing w:before="200" w:after="0" w:line="21" w:lineRule="atLeast"/>
        <w:ind w:left="714" w:hanging="357"/>
        <w:contextualSpacing/>
        <w:jc w:val="both"/>
        <w:rPr>
          <w:rFonts w:cs="ArialMT"/>
          <w:bCs/>
          <w:sz w:val="22"/>
          <w:szCs w:val="22"/>
          <w:lang w:val="en-GB"/>
        </w:rPr>
      </w:pPr>
      <w:r w:rsidRPr="00682784">
        <w:rPr>
          <w:rFonts w:cs="ArialMT"/>
          <w:bCs/>
          <w:sz w:val="22"/>
          <w:szCs w:val="22"/>
          <w:lang w:val="en-GB"/>
        </w:rPr>
        <w:t>The annual audit report providing a summary of controls carried out, including an analysis of the nature and extent of errors and weaknesses identified, both at system level and for projects, as well as the corrective actions taken or planned.</w:t>
      </w:r>
    </w:p>
    <w:p w14:paraId="743F9C3E" w14:textId="77777777" w:rsidR="003574FD" w:rsidRPr="00682784" w:rsidRDefault="003574FD" w:rsidP="003574FD">
      <w:pPr>
        <w:spacing w:line="21" w:lineRule="atLeast"/>
        <w:contextualSpacing/>
        <w:jc w:val="both"/>
        <w:rPr>
          <w:rFonts w:cs="ArialMT"/>
          <w:bCs/>
          <w:sz w:val="22"/>
          <w:szCs w:val="22"/>
          <w:lang w:val="en-GB"/>
        </w:rPr>
      </w:pPr>
    </w:p>
    <w:p w14:paraId="4759EEB5" w14:textId="77777777" w:rsidR="0028075A" w:rsidRPr="00682784" w:rsidRDefault="0028075A" w:rsidP="003574FD">
      <w:pPr>
        <w:spacing w:line="21" w:lineRule="atLeast"/>
        <w:contextualSpacing/>
        <w:jc w:val="both"/>
        <w:rPr>
          <w:rFonts w:cs="ArialMT"/>
          <w:bCs/>
          <w:sz w:val="22"/>
          <w:szCs w:val="22"/>
          <w:lang w:val="en-GB"/>
        </w:rPr>
      </w:pPr>
      <w:r w:rsidRPr="00682784">
        <w:rPr>
          <w:rFonts w:cs="ArialMT"/>
          <w:bCs/>
          <w:sz w:val="22"/>
          <w:szCs w:val="22"/>
          <w:lang w:val="en-GB"/>
        </w:rPr>
        <w:t>The institutions acting as members of the Group of Auditors in each country are:</w:t>
      </w:r>
    </w:p>
    <w:p w14:paraId="60277D14" w14:textId="77777777" w:rsidR="0028075A" w:rsidRPr="00682784" w:rsidRDefault="0028075A" w:rsidP="003574FD">
      <w:pPr>
        <w:spacing w:line="21" w:lineRule="atLeast"/>
        <w:ind w:left="714" w:hanging="357"/>
        <w:contextualSpacing/>
        <w:rPr>
          <w:rFonts w:cs="ArialMT"/>
          <w:bCs/>
          <w:sz w:val="22"/>
          <w:szCs w:val="22"/>
          <w:lang w:val="en-GB"/>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41"/>
        <w:gridCol w:w="3909"/>
        <w:gridCol w:w="4863"/>
      </w:tblGrid>
      <w:tr w:rsidR="0028075A" w:rsidRPr="00431371" w14:paraId="26840036" w14:textId="77777777" w:rsidTr="00AE578C">
        <w:tc>
          <w:tcPr>
            <w:tcW w:w="1741" w:type="dxa"/>
            <w:tcBorders>
              <w:top w:val="nil"/>
              <w:left w:val="nil"/>
              <w:bottom w:val="single" w:sz="4" w:space="0" w:color="8EAADB"/>
              <w:right w:val="nil"/>
            </w:tcBorders>
            <w:shd w:val="clear" w:color="auto" w:fill="FFFFFF"/>
            <w:vAlign w:val="center"/>
          </w:tcPr>
          <w:p w14:paraId="65F6549C" w14:textId="77777777" w:rsidR="0028075A" w:rsidRPr="00431371" w:rsidRDefault="0028075A" w:rsidP="003574FD">
            <w:pPr>
              <w:tabs>
                <w:tab w:val="num" w:pos="426"/>
                <w:tab w:val="num" w:pos="720"/>
              </w:tabs>
              <w:spacing w:after="0" w:line="21" w:lineRule="atLeast"/>
              <w:rPr>
                <w:rFonts w:eastAsia="Calibri"/>
                <w:b/>
                <w:bCs/>
                <w:iCs/>
                <w:color w:val="1F4E79"/>
                <w:sz w:val="22"/>
                <w:szCs w:val="22"/>
              </w:rPr>
            </w:pPr>
            <w:r w:rsidRPr="00431371">
              <w:rPr>
                <w:rFonts w:eastAsia="Calibri"/>
                <w:b/>
                <w:bCs/>
                <w:iCs/>
                <w:color w:val="1F4E79"/>
                <w:sz w:val="22"/>
                <w:szCs w:val="22"/>
              </w:rPr>
              <w:t>Country</w:t>
            </w:r>
          </w:p>
        </w:tc>
        <w:tc>
          <w:tcPr>
            <w:tcW w:w="3909" w:type="dxa"/>
            <w:tcBorders>
              <w:top w:val="nil"/>
              <w:left w:val="nil"/>
              <w:right w:val="nil"/>
            </w:tcBorders>
            <w:shd w:val="clear" w:color="auto" w:fill="FFFFFF"/>
            <w:vAlign w:val="center"/>
          </w:tcPr>
          <w:p w14:paraId="3618D78A" w14:textId="77777777" w:rsidR="0028075A" w:rsidRPr="00431371" w:rsidRDefault="0028075A" w:rsidP="003574FD">
            <w:pPr>
              <w:tabs>
                <w:tab w:val="num" w:pos="426"/>
                <w:tab w:val="num" w:pos="720"/>
              </w:tabs>
              <w:spacing w:after="0" w:line="21" w:lineRule="atLeast"/>
              <w:jc w:val="center"/>
              <w:rPr>
                <w:rFonts w:eastAsia="Calibri"/>
                <w:b/>
                <w:bCs/>
                <w:color w:val="1F4E79"/>
                <w:sz w:val="22"/>
                <w:szCs w:val="22"/>
              </w:rPr>
            </w:pPr>
            <w:r w:rsidRPr="00431371">
              <w:rPr>
                <w:rFonts w:eastAsia="Calibri"/>
                <w:b/>
                <w:bCs/>
                <w:color w:val="1F4E79"/>
                <w:sz w:val="22"/>
                <w:szCs w:val="22"/>
              </w:rPr>
              <w:t>Institution</w:t>
            </w:r>
          </w:p>
        </w:tc>
        <w:tc>
          <w:tcPr>
            <w:tcW w:w="4863" w:type="dxa"/>
            <w:tcBorders>
              <w:top w:val="nil"/>
              <w:left w:val="nil"/>
              <w:right w:val="nil"/>
            </w:tcBorders>
            <w:shd w:val="clear" w:color="auto" w:fill="FFFFFF"/>
            <w:vAlign w:val="center"/>
          </w:tcPr>
          <w:p w14:paraId="72118E10" w14:textId="77777777" w:rsidR="0028075A" w:rsidRPr="00431371" w:rsidRDefault="0028075A" w:rsidP="003574FD">
            <w:pPr>
              <w:tabs>
                <w:tab w:val="num" w:pos="426"/>
                <w:tab w:val="num" w:pos="720"/>
              </w:tabs>
              <w:spacing w:after="0" w:line="21" w:lineRule="atLeast"/>
              <w:jc w:val="center"/>
              <w:rPr>
                <w:rFonts w:eastAsia="Calibri"/>
                <w:b/>
                <w:bCs/>
                <w:color w:val="1F4E79"/>
                <w:sz w:val="22"/>
                <w:szCs w:val="22"/>
              </w:rPr>
            </w:pPr>
            <w:proofErr w:type="spellStart"/>
            <w:r w:rsidRPr="00431371">
              <w:rPr>
                <w:rFonts w:eastAsia="Calibri"/>
                <w:b/>
                <w:bCs/>
                <w:color w:val="1F4E79"/>
                <w:sz w:val="22"/>
                <w:szCs w:val="22"/>
              </w:rPr>
              <w:t>Department</w:t>
            </w:r>
            <w:proofErr w:type="spellEnd"/>
          </w:p>
        </w:tc>
      </w:tr>
      <w:tr w:rsidR="0028075A" w:rsidRPr="00B71347" w14:paraId="057616D5" w14:textId="77777777" w:rsidTr="00A656C6">
        <w:tc>
          <w:tcPr>
            <w:tcW w:w="1741" w:type="dxa"/>
            <w:tcBorders>
              <w:top w:val="nil"/>
              <w:left w:val="nil"/>
              <w:bottom w:val="nil"/>
            </w:tcBorders>
            <w:shd w:val="clear" w:color="auto" w:fill="FFFFFF"/>
            <w:vAlign w:val="center"/>
          </w:tcPr>
          <w:p w14:paraId="3108EFF5"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r w:rsidRPr="00431371">
              <w:rPr>
                <w:rFonts w:eastAsia="Calibri"/>
                <w:b/>
                <w:bCs/>
                <w:iCs/>
                <w:color w:val="2F5496"/>
                <w:sz w:val="22"/>
                <w:szCs w:val="22"/>
              </w:rPr>
              <w:t>Armenia</w:t>
            </w:r>
          </w:p>
        </w:tc>
        <w:tc>
          <w:tcPr>
            <w:tcW w:w="3909" w:type="dxa"/>
            <w:shd w:val="clear" w:color="auto" w:fill="D5DDFF"/>
            <w:vAlign w:val="center"/>
          </w:tcPr>
          <w:p w14:paraId="3EEA69C3" w14:textId="77777777" w:rsidR="0028075A" w:rsidRPr="00682784" w:rsidRDefault="0028075A" w:rsidP="003574FD">
            <w:pPr>
              <w:tabs>
                <w:tab w:val="num" w:pos="426"/>
                <w:tab w:val="num" w:pos="720"/>
              </w:tabs>
              <w:spacing w:before="40" w:after="40" w:line="21" w:lineRule="atLeast"/>
              <w:rPr>
                <w:rFonts w:eastAsia="Calibri"/>
                <w:color w:val="2F5496"/>
                <w:sz w:val="22"/>
                <w:szCs w:val="22"/>
                <w:lang w:val="en-GB"/>
              </w:rPr>
            </w:pPr>
            <w:r w:rsidRPr="00682784">
              <w:rPr>
                <w:rFonts w:eastAsia="Calibri"/>
                <w:color w:val="2F5496"/>
                <w:sz w:val="22"/>
                <w:szCs w:val="22"/>
                <w:lang w:val="en-GB"/>
              </w:rPr>
              <w:t>Chamber of Control of RA</w:t>
            </w:r>
          </w:p>
        </w:tc>
        <w:tc>
          <w:tcPr>
            <w:tcW w:w="4863" w:type="dxa"/>
            <w:shd w:val="clear" w:color="auto" w:fill="D5DDFF"/>
            <w:vAlign w:val="center"/>
          </w:tcPr>
          <w:p w14:paraId="41E83CED" w14:textId="77777777" w:rsidR="0028075A" w:rsidRPr="00682784" w:rsidRDefault="0028075A" w:rsidP="003574FD">
            <w:pPr>
              <w:tabs>
                <w:tab w:val="num" w:pos="426"/>
                <w:tab w:val="num" w:pos="720"/>
              </w:tabs>
              <w:spacing w:before="40" w:after="40" w:line="21" w:lineRule="atLeast"/>
              <w:rPr>
                <w:rFonts w:eastAsia="Calibri"/>
                <w:color w:val="2F5496"/>
                <w:sz w:val="22"/>
                <w:szCs w:val="22"/>
                <w:lang w:val="en-GB"/>
              </w:rPr>
            </w:pPr>
            <w:r w:rsidRPr="00682784">
              <w:rPr>
                <w:rFonts w:eastAsia="Calibri"/>
                <w:color w:val="2F5496"/>
                <w:sz w:val="22"/>
                <w:szCs w:val="22"/>
                <w:lang w:val="en-GB"/>
              </w:rPr>
              <w:t>Methodology and International Affairs Department</w:t>
            </w:r>
          </w:p>
        </w:tc>
      </w:tr>
      <w:tr w:rsidR="0028075A" w:rsidRPr="00B71347" w14:paraId="77459548" w14:textId="77777777" w:rsidTr="00A656C6">
        <w:tc>
          <w:tcPr>
            <w:tcW w:w="1741" w:type="dxa"/>
            <w:tcBorders>
              <w:left w:val="nil"/>
              <w:bottom w:val="nil"/>
            </w:tcBorders>
            <w:shd w:val="clear" w:color="auto" w:fill="auto"/>
            <w:vAlign w:val="center"/>
          </w:tcPr>
          <w:p w14:paraId="05D342ED"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proofErr w:type="spellStart"/>
            <w:r w:rsidRPr="00431371">
              <w:rPr>
                <w:rFonts w:eastAsia="Calibri"/>
                <w:b/>
                <w:bCs/>
                <w:iCs/>
                <w:color w:val="2F5496"/>
                <w:sz w:val="22"/>
                <w:szCs w:val="22"/>
              </w:rPr>
              <w:t>Bulgaria</w:t>
            </w:r>
            <w:proofErr w:type="spellEnd"/>
          </w:p>
        </w:tc>
        <w:tc>
          <w:tcPr>
            <w:tcW w:w="3909" w:type="dxa"/>
            <w:shd w:val="clear" w:color="auto" w:fill="auto"/>
            <w:vAlign w:val="center"/>
          </w:tcPr>
          <w:p w14:paraId="14BB2331"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Audit of European Union Funds, Executive Agency to the Minister of Finance of the Republic of Bulgaria</w:t>
            </w:r>
          </w:p>
        </w:tc>
        <w:tc>
          <w:tcPr>
            <w:tcW w:w="4863" w:type="dxa"/>
            <w:shd w:val="clear" w:color="auto" w:fill="auto"/>
            <w:vAlign w:val="center"/>
          </w:tcPr>
          <w:p w14:paraId="6A41BEE7"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p>
        </w:tc>
      </w:tr>
      <w:tr w:rsidR="0028075A" w:rsidRPr="00431371" w14:paraId="603131F2" w14:textId="77777777" w:rsidTr="00A656C6">
        <w:tc>
          <w:tcPr>
            <w:tcW w:w="1741" w:type="dxa"/>
            <w:tcBorders>
              <w:left w:val="nil"/>
              <w:bottom w:val="nil"/>
            </w:tcBorders>
            <w:shd w:val="clear" w:color="auto" w:fill="auto"/>
            <w:vAlign w:val="center"/>
          </w:tcPr>
          <w:p w14:paraId="437CE48A"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r w:rsidRPr="00431371">
              <w:rPr>
                <w:rFonts w:eastAsia="Calibri"/>
                <w:b/>
                <w:bCs/>
                <w:iCs/>
                <w:color w:val="2F5496"/>
                <w:sz w:val="22"/>
                <w:szCs w:val="22"/>
              </w:rPr>
              <w:t>Georgia</w:t>
            </w:r>
          </w:p>
        </w:tc>
        <w:tc>
          <w:tcPr>
            <w:tcW w:w="3909" w:type="dxa"/>
            <w:shd w:val="clear" w:color="auto" w:fill="D5DDFF"/>
            <w:vAlign w:val="center"/>
          </w:tcPr>
          <w:p w14:paraId="295865DD"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State Audit Office of Georgia</w:t>
            </w:r>
          </w:p>
        </w:tc>
        <w:tc>
          <w:tcPr>
            <w:tcW w:w="4863" w:type="dxa"/>
            <w:shd w:val="clear" w:color="auto" w:fill="D5DDFF"/>
            <w:vAlign w:val="center"/>
          </w:tcPr>
          <w:p w14:paraId="3F48A00F" w14:textId="77777777" w:rsidR="0028075A" w:rsidRPr="00431371" w:rsidRDefault="0028075A" w:rsidP="003574FD">
            <w:pPr>
              <w:tabs>
                <w:tab w:val="num" w:pos="426"/>
                <w:tab w:val="num" w:pos="720"/>
              </w:tabs>
              <w:spacing w:before="40" w:after="40" w:line="21" w:lineRule="atLeast"/>
              <w:rPr>
                <w:rFonts w:eastAsia="Calibri"/>
                <w:bCs/>
                <w:iCs/>
                <w:color w:val="2F5496"/>
                <w:sz w:val="22"/>
                <w:szCs w:val="22"/>
              </w:rPr>
            </w:pPr>
            <w:proofErr w:type="spellStart"/>
            <w:r w:rsidRPr="00431371">
              <w:rPr>
                <w:rFonts w:eastAsia="Calibri"/>
                <w:bCs/>
                <w:iCs/>
                <w:color w:val="2F5496"/>
                <w:sz w:val="22"/>
                <w:szCs w:val="22"/>
              </w:rPr>
              <w:t>Quality</w:t>
            </w:r>
            <w:proofErr w:type="spellEnd"/>
            <w:r w:rsidRPr="00431371">
              <w:rPr>
                <w:rFonts w:eastAsia="Calibri"/>
                <w:bCs/>
                <w:iCs/>
                <w:color w:val="2F5496"/>
                <w:sz w:val="22"/>
                <w:szCs w:val="22"/>
              </w:rPr>
              <w:t xml:space="preserve"> Assurance </w:t>
            </w:r>
            <w:proofErr w:type="spellStart"/>
            <w:r w:rsidRPr="00431371">
              <w:rPr>
                <w:rFonts w:eastAsia="Calibri"/>
                <w:bCs/>
                <w:iCs/>
                <w:color w:val="2F5496"/>
                <w:sz w:val="22"/>
                <w:szCs w:val="22"/>
              </w:rPr>
              <w:t>Department</w:t>
            </w:r>
            <w:proofErr w:type="spellEnd"/>
          </w:p>
        </w:tc>
      </w:tr>
      <w:tr w:rsidR="0028075A" w:rsidRPr="00B71347" w14:paraId="1426B9AF" w14:textId="77777777" w:rsidTr="00A656C6">
        <w:tc>
          <w:tcPr>
            <w:tcW w:w="1741" w:type="dxa"/>
            <w:tcBorders>
              <w:left w:val="nil"/>
              <w:bottom w:val="nil"/>
            </w:tcBorders>
            <w:shd w:val="clear" w:color="auto" w:fill="FFFFFF"/>
            <w:vAlign w:val="center"/>
          </w:tcPr>
          <w:p w14:paraId="5A55EA3A"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proofErr w:type="spellStart"/>
            <w:r w:rsidRPr="00431371">
              <w:rPr>
                <w:rFonts w:eastAsia="Calibri"/>
                <w:b/>
                <w:bCs/>
                <w:iCs/>
                <w:color w:val="2F5496"/>
                <w:sz w:val="22"/>
                <w:szCs w:val="22"/>
              </w:rPr>
              <w:t>Greece</w:t>
            </w:r>
            <w:proofErr w:type="spellEnd"/>
          </w:p>
        </w:tc>
        <w:tc>
          <w:tcPr>
            <w:tcW w:w="3909" w:type="dxa"/>
            <w:shd w:val="clear" w:color="auto" w:fill="auto"/>
            <w:vAlign w:val="center"/>
          </w:tcPr>
          <w:p w14:paraId="2D07A0B1" w14:textId="2F7A196D" w:rsidR="0028075A" w:rsidRPr="00682784" w:rsidRDefault="005D7AB3" w:rsidP="003574FD">
            <w:pPr>
              <w:tabs>
                <w:tab w:val="num" w:pos="426"/>
                <w:tab w:val="num" w:pos="720"/>
              </w:tabs>
              <w:spacing w:before="40" w:after="40" w:line="21" w:lineRule="atLeast"/>
              <w:rPr>
                <w:rFonts w:eastAsia="Calibri"/>
                <w:bCs/>
                <w:iCs/>
                <w:color w:val="2F5496"/>
                <w:sz w:val="22"/>
                <w:szCs w:val="22"/>
                <w:lang w:val="en-GB"/>
              </w:rPr>
            </w:pPr>
            <w:r>
              <w:rPr>
                <w:rFonts w:eastAsia="Calibri"/>
                <w:bCs/>
                <w:iCs/>
                <w:color w:val="2F5496"/>
                <w:sz w:val="22"/>
                <w:szCs w:val="22"/>
                <w:lang w:val="en-GB"/>
              </w:rPr>
              <w:t>Greek Audit Authority: EDEL (Financial Control</w:t>
            </w:r>
            <w:r w:rsidR="003344D3">
              <w:rPr>
                <w:rFonts w:eastAsia="Calibri"/>
                <w:bCs/>
                <w:iCs/>
                <w:color w:val="2F5496"/>
                <w:sz w:val="22"/>
                <w:szCs w:val="22"/>
                <w:lang w:val="en-GB"/>
              </w:rPr>
              <w:t xml:space="preserve"> </w:t>
            </w:r>
            <w:r w:rsidR="00753D69">
              <w:rPr>
                <w:rFonts w:eastAsia="Calibri"/>
                <w:bCs/>
                <w:iCs/>
                <w:color w:val="2F5496"/>
                <w:sz w:val="22"/>
                <w:szCs w:val="22"/>
                <w:lang w:val="en-GB"/>
              </w:rPr>
              <w:t>Committee) –Ministry o</w:t>
            </w:r>
            <w:r w:rsidR="0028075A" w:rsidRPr="00682784">
              <w:rPr>
                <w:rFonts w:eastAsia="Calibri"/>
                <w:bCs/>
                <w:iCs/>
                <w:color w:val="2F5496"/>
                <w:sz w:val="22"/>
                <w:szCs w:val="22"/>
                <w:lang w:val="en-GB"/>
              </w:rPr>
              <w:t>f Finance</w:t>
            </w:r>
          </w:p>
        </w:tc>
        <w:tc>
          <w:tcPr>
            <w:tcW w:w="4863" w:type="dxa"/>
            <w:shd w:val="clear" w:color="auto" w:fill="auto"/>
            <w:vAlign w:val="center"/>
          </w:tcPr>
          <w:p w14:paraId="18AC762D" w14:textId="77777777" w:rsidR="0028075A" w:rsidRPr="00682784" w:rsidRDefault="0028075A" w:rsidP="003574FD">
            <w:pPr>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Planning and Evaluation Directorate (D52)-Unit C</w:t>
            </w:r>
          </w:p>
          <w:p w14:paraId="2B3E67F4" w14:textId="77777777" w:rsidR="0028075A" w:rsidRPr="00682784" w:rsidRDefault="0028075A" w:rsidP="003574FD">
            <w:pPr>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lastRenderedPageBreak/>
              <w:t>Planning and Audits Directorate (D56)-Unit C</w:t>
            </w:r>
          </w:p>
        </w:tc>
      </w:tr>
      <w:tr w:rsidR="0028075A" w:rsidRPr="00B71347" w14:paraId="0DB4F739" w14:textId="77777777" w:rsidTr="00A656C6">
        <w:tc>
          <w:tcPr>
            <w:tcW w:w="1741" w:type="dxa"/>
            <w:tcBorders>
              <w:left w:val="nil"/>
              <w:bottom w:val="nil"/>
            </w:tcBorders>
            <w:shd w:val="clear" w:color="auto" w:fill="FFFFFF"/>
            <w:vAlign w:val="center"/>
          </w:tcPr>
          <w:p w14:paraId="2CAE3156"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proofErr w:type="spellStart"/>
            <w:r w:rsidRPr="00431371">
              <w:rPr>
                <w:rFonts w:eastAsia="Calibri"/>
                <w:b/>
                <w:bCs/>
                <w:iCs/>
                <w:color w:val="2F5496"/>
                <w:sz w:val="22"/>
                <w:szCs w:val="22"/>
              </w:rPr>
              <w:lastRenderedPageBreak/>
              <w:t>Republic</w:t>
            </w:r>
            <w:proofErr w:type="spellEnd"/>
            <w:r w:rsidRPr="00431371">
              <w:rPr>
                <w:rFonts w:eastAsia="Calibri"/>
                <w:b/>
                <w:bCs/>
                <w:iCs/>
                <w:color w:val="2F5496"/>
                <w:sz w:val="22"/>
                <w:szCs w:val="22"/>
              </w:rPr>
              <w:t xml:space="preserve"> of Moldova</w:t>
            </w:r>
          </w:p>
        </w:tc>
        <w:tc>
          <w:tcPr>
            <w:tcW w:w="3909" w:type="dxa"/>
            <w:shd w:val="clear" w:color="auto" w:fill="D5DDFF"/>
            <w:vAlign w:val="center"/>
          </w:tcPr>
          <w:p w14:paraId="31A78403"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 xml:space="preserve">Court of Accounts of the Republic of Moldova </w:t>
            </w:r>
          </w:p>
        </w:tc>
        <w:tc>
          <w:tcPr>
            <w:tcW w:w="4863" w:type="dxa"/>
            <w:shd w:val="clear" w:color="auto" w:fill="D5DDFF"/>
            <w:vAlign w:val="center"/>
          </w:tcPr>
          <w:p w14:paraId="028043C8"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Division Methodology, Analysis and Planning</w:t>
            </w:r>
          </w:p>
        </w:tc>
      </w:tr>
      <w:tr w:rsidR="0028075A" w:rsidRPr="00431371" w14:paraId="6B2CA416" w14:textId="77777777" w:rsidTr="00A656C6">
        <w:tc>
          <w:tcPr>
            <w:tcW w:w="1741" w:type="dxa"/>
            <w:tcBorders>
              <w:left w:val="nil"/>
              <w:bottom w:val="nil"/>
            </w:tcBorders>
            <w:shd w:val="clear" w:color="auto" w:fill="FFFFFF"/>
            <w:vAlign w:val="center"/>
          </w:tcPr>
          <w:p w14:paraId="727CF596"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r w:rsidRPr="00431371">
              <w:rPr>
                <w:rFonts w:eastAsia="Calibri"/>
                <w:b/>
                <w:bCs/>
                <w:iCs/>
                <w:color w:val="2F5496"/>
                <w:sz w:val="22"/>
                <w:szCs w:val="22"/>
              </w:rPr>
              <w:t>Romania</w:t>
            </w:r>
          </w:p>
        </w:tc>
        <w:tc>
          <w:tcPr>
            <w:tcW w:w="3909" w:type="dxa"/>
            <w:shd w:val="clear" w:color="auto" w:fill="auto"/>
            <w:vAlign w:val="center"/>
          </w:tcPr>
          <w:p w14:paraId="3EE66EF5" w14:textId="77777777" w:rsidR="0028075A" w:rsidRPr="00682784" w:rsidRDefault="00317406"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Romanian Court of Accounts - Audit Authority</w:t>
            </w:r>
          </w:p>
        </w:tc>
        <w:tc>
          <w:tcPr>
            <w:tcW w:w="4863" w:type="dxa"/>
            <w:shd w:val="clear" w:color="auto" w:fill="auto"/>
            <w:vAlign w:val="center"/>
          </w:tcPr>
          <w:p w14:paraId="293B8366" w14:textId="77777777" w:rsidR="0028075A" w:rsidRPr="00431371" w:rsidRDefault="00317406" w:rsidP="003574FD">
            <w:pPr>
              <w:tabs>
                <w:tab w:val="num" w:pos="426"/>
                <w:tab w:val="num" w:pos="720"/>
              </w:tabs>
              <w:spacing w:before="40" w:after="40" w:line="21" w:lineRule="atLeast"/>
              <w:rPr>
                <w:rFonts w:eastAsia="Calibri"/>
                <w:bCs/>
                <w:iCs/>
                <w:color w:val="2F5496"/>
                <w:sz w:val="22"/>
                <w:szCs w:val="22"/>
              </w:rPr>
            </w:pPr>
            <w:r w:rsidRPr="006004DC">
              <w:rPr>
                <w:rFonts w:eastAsia="Calibri"/>
                <w:bCs/>
                <w:iCs/>
                <w:color w:val="2F5496"/>
                <w:sz w:val="22"/>
                <w:szCs w:val="22"/>
              </w:rPr>
              <w:t xml:space="preserve">Audit </w:t>
            </w:r>
            <w:proofErr w:type="spellStart"/>
            <w:r w:rsidRPr="006004DC">
              <w:rPr>
                <w:rFonts w:eastAsia="Calibri"/>
                <w:bCs/>
                <w:iCs/>
                <w:color w:val="2F5496"/>
                <w:sz w:val="22"/>
                <w:szCs w:val="22"/>
              </w:rPr>
              <w:t>Directorate</w:t>
            </w:r>
            <w:proofErr w:type="spellEnd"/>
            <w:r w:rsidRPr="006004DC">
              <w:rPr>
                <w:rFonts w:eastAsia="Calibri"/>
                <w:bCs/>
                <w:iCs/>
                <w:color w:val="2F5496"/>
                <w:sz w:val="22"/>
                <w:szCs w:val="22"/>
              </w:rPr>
              <w:t xml:space="preserve"> for ERDF</w:t>
            </w:r>
          </w:p>
        </w:tc>
      </w:tr>
      <w:tr w:rsidR="0028075A" w:rsidRPr="00431371" w14:paraId="2B34CF2B" w14:textId="77777777" w:rsidTr="00A656C6">
        <w:tc>
          <w:tcPr>
            <w:tcW w:w="1741" w:type="dxa"/>
            <w:tcBorders>
              <w:left w:val="nil"/>
              <w:bottom w:val="nil"/>
            </w:tcBorders>
            <w:shd w:val="clear" w:color="auto" w:fill="FFFFFF"/>
            <w:vAlign w:val="center"/>
          </w:tcPr>
          <w:p w14:paraId="2A9FDD80"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proofErr w:type="spellStart"/>
            <w:r w:rsidRPr="00431371">
              <w:rPr>
                <w:rFonts w:eastAsia="Calibri"/>
                <w:b/>
                <w:bCs/>
                <w:iCs/>
                <w:color w:val="2F5496"/>
                <w:sz w:val="22"/>
                <w:szCs w:val="22"/>
              </w:rPr>
              <w:t>Turkey</w:t>
            </w:r>
            <w:proofErr w:type="spellEnd"/>
          </w:p>
        </w:tc>
        <w:tc>
          <w:tcPr>
            <w:tcW w:w="3909" w:type="dxa"/>
            <w:shd w:val="clear" w:color="auto" w:fill="D5DDFF"/>
            <w:vAlign w:val="center"/>
          </w:tcPr>
          <w:p w14:paraId="52013491" w14:textId="77777777" w:rsidR="0028075A" w:rsidRPr="00682784" w:rsidRDefault="0028075A" w:rsidP="003574FD">
            <w:pPr>
              <w:tabs>
                <w:tab w:val="num" w:pos="426"/>
                <w:tab w:val="num" w:pos="720"/>
              </w:tabs>
              <w:spacing w:before="40" w:after="40" w:line="21" w:lineRule="atLeast"/>
              <w:rPr>
                <w:rFonts w:eastAsia="Calibri"/>
                <w:bCs/>
                <w:iCs/>
                <w:color w:val="2F5496"/>
                <w:sz w:val="22"/>
                <w:szCs w:val="22"/>
                <w:lang w:val="en-GB"/>
              </w:rPr>
            </w:pPr>
            <w:r w:rsidRPr="00682784">
              <w:rPr>
                <w:rFonts w:eastAsia="Calibri"/>
                <w:bCs/>
                <w:iCs/>
                <w:color w:val="2F5496"/>
                <w:sz w:val="22"/>
                <w:szCs w:val="22"/>
                <w:lang w:val="en-GB"/>
              </w:rPr>
              <w:t xml:space="preserve">Republic of Turkey Prime Ministry, </w:t>
            </w:r>
            <w:proofErr w:type="spellStart"/>
            <w:r w:rsidRPr="00682784">
              <w:rPr>
                <w:rFonts w:eastAsia="Calibri"/>
                <w:bCs/>
                <w:iCs/>
                <w:color w:val="2F5496"/>
                <w:sz w:val="22"/>
                <w:szCs w:val="22"/>
                <w:lang w:val="en-GB"/>
              </w:rPr>
              <w:t>Undersecretariat</w:t>
            </w:r>
            <w:proofErr w:type="spellEnd"/>
            <w:r w:rsidRPr="00682784">
              <w:rPr>
                <w:rFonts w:eastAsia="Calibri"/>
                <w:bCs/>
                <w:iCs/>
                <w:color w:val="2F5496"/>
                <w:sz w:val="22"/>
                <w:szCs w:val="22"/>
                <w:lang w:val="en-GB"/>
              </w:rPr>
              <w:t xml:space="preserve"> of Treasury</w:t>
            </w:r>
          </w:p>
        </w:tc>
        <w:tc>
          <w:tcPr>
            <w:tcW w:w="4863" w:type="dxa"/>
            <w:shd w:val="clear" w:color="auto" w:fill="D5DDFF"/>
            <w:vAlign w:val="center"/>
          </w:tcPr>
          <w:p w14:paraId="134A79F1" w14:textId="77777777" w:rsidR="0028075A" w:rsidRPr="00431371" w:rsidRDefault="0028075A" w:rsidP="003574FD">
            <w:pPr>
              <w:tabs>
                <w:tab w:val="num" w:pos="426"/>
                <w:tab w:val="num" w:pos="720"/>
              </w:tabs>
              <w:spacing w:before="40" w:after="40" w:line="21" w:lineRule="atLeast"/>
              <w:rPr>
                <w:rFonts w:eastAsia="Calibri"/>
                <w:bCs/>
                <w:iCs/>
                <w:color w:val="2F5496"/>
                <w:sz w:val="22"/>
                <w:szCs w:val="22"/>
              </w:rPr>
            </w:pPr>
            <w:proofErr w:type="spellStart"/>
            <w:r w:rsidRPr="00431371">
              <w:rPr>
                <w:rFonts w:eastAsia="Calibri"/>
                <w:bCs/>
                <w:iCs/>
                <w:color w:val="2F5496"/>
                <w:sz w:val="22"/>
                <w:szCs w:val="22"/>
              </w:rPr>
              <w:t>Board</w:t>
            </w:r>
            <w:proofErr w:type="spellEnd"/>
            <w:r w:rsidRPr="00431371">
              <w:rPr>
                <w:rFonts w:eastAsia="Calibri"/>
                <w:bCs/>
                <w:iCs/>
                <w:color w:val="2F5496"/>
                <w:sz w:val="22"/>
                <w:szCs w:val="22"/>
              </w:rPr>
              <w:t xml:space="preserve"> of </w:t>
            </w:r>
            <w:proofErr w:type="spellStart"/>
            <w:r w:rsidRPr="00431371">
              <w:rPr>
                <w:rFonts w:eastAsia="Calibri"/>
                <w:bCs/>
                <w:iCs/>
                <w:color w:val="2F5496"/>
                <w:sz w:val="22"/>
                <w:szCs w:val="22"/>
              </w:rPr>
              <w:t>Treasury</w:t>
            </w:r>
            <w:proofErr w:type="spellEnd"/>
            <w:r w:rsidRPr="00431371">
              <w:rPr>
                <w:rFonts w:eastAsia="Calibri"/>
                <w:bCs/>
                <w:iCs/>
                <w:color w:val="2F5496"/>
                <w:sz w:val="22"/>
                <w:szCs w:val="22"/>
              </w:rPr>
              <w:t xml:space="preserve"> </w:t>
            </w:r>
            <w:proofErr w:type="spellStart"/>
            <w:r w:rsidRPr="00431371">
              <w:rPr>
                <w:rFonts w:eastAsia="Calibri"/>
                <w:bCs/>
                <w:iCs/>
                <w:color w:val="2F5496"/>
                <w:sz w:val="22"/>
                <w:szCs w:val="22"/>
              </w:rPr>
              <w:t>Controllers</w:t>
            </w:r>
            <w:proofErr w:type="spellEnd"/>
          </w:p>
        </w:tc>
      </w:tr>
      <w:tr w:rsidR="0028075A" w:rsidRPr="00431371" w14:paraId="371D6E6E" w14:textId="77777777" w:rsidTr="00A656C6">
        <w:tc>
          <w:tcPr>
            <w:tcW w:w="1741" w:type="dxa"/>
            <w:tcBorders>
              <w:left w:val="nil"/>
              <w:bottom w:val="nil"/>
            </w:tcBorders>
            <w:shd w:val="clear" w:color="auto" w:fill="auto"/>
            <w:vAlign w:val="center"/>
          </w:tcPr>
          <w:p w14:paraId="23FC7C70" w14:textId="77777777" w:rsidR="0028075A" w:rsidRPr="00431371" w:rsidRDefault="0028075A" w:rsidP="003574FD">
            <w:pPr>
              <w:tabs>
                <w:tab w:val="num" w:pos="426"/>
                <w:tab w:val="num" w:pos="720"/>
              </w:tabs>
              <w:spacing w:before="40" w:after="40" w:line="21" w:lineRule="atLeast"/>
              <w:rPr>
                <w:rFonts w:eastAsia="Calibri"/>
                <w:b/>
                <w:bCs/>
                <w:iCs/>
                <w:color w:val="2F5496"/>
                <w:sz w:val="22"/>
                <w:szCs w:val="22"/>
              </w:rPr>
            </w:pPr>
            <w:r w:rsidRPr="00431371">
              <w:rPr>
                <w:rFonts w:eastAsia="Calibri"/>
                <w:b/>
                <w:bCs/>
                <w:iCs/>
                <w:color w:val="2F5496"/>
                <w:sz w:val="22"/>
                <w:szCs w:val="22"/>
              </w:rPr>
              <w:t>Ukraine</w:t>
            </w:r>
          </w:p>
        </w:tc>
        <w:tc>
          <w:tcPr>
            <w:tcW w:w="3909" w:type="dxa"/>
            <w:shd w:val="clear" w:color="auto" w:fill="auto"/>
            <w:vAlign w:val="center"/>
          </w:tcPr>
          <w:p w14:paraId="283EAA08" w14:textId="77777777" w:rsidR="0028075A" w:rsidRPr="00431371" w:rsidRDefault="0028075A" w:rsidP="003574FD">
            <w:pPr>
              <w:tabs>
                <w:tab w:val="num" w:pos="426"/>
                <w:tab w:val="num" w:pos="720"/>
              </w:tabs>
              <w:spacing w:before="40" w:after="40" w:line="21" w:lineRule="atLeast"/>
              <w:rPr>
                <w:rFonts w:eastAsia="Calibri"/>
                <w:bCs/>
                <w:iCs/>
                <w:color w:val="2F5496"/>
                <w:sz w:val="22"/>
                <w:szCs w:val="22"/>
              </w:rPr>
            </w:pPr>
            <w:proofErr w:type="spellStart"/>
            <w:r w:rsidRPr="00431371">
              <w:rPr>
                <w:rFonts w:eastAsia="Calibri"/>
                <w:bCs/>
                <w:iCs/>
                <w:color w:val="2F5496"/>
                <w:sz w:val="22"/>
                <w:szCs w:val="22"/>
              </w:rPr>
              <w:t>Accounting</w:t>
            </w:r>
            <w:proofErr w:type="spellEnd"/>
            <w:r w:rsidRPr="00431371">
              <w:rPr>
                <w:rFonts w:eastAsia="Calibri"/>
                <w:bCs/>
                <w:iCs/>
                <w:color w:val="2F5496"/>
                <w:sz w:val="22"/>
                <w:szCs w:val="22"/>
              </w:rPr>
              <w:t xml:space="preserve"> </w:t>
            </w:r>
            <w:proofErr w:type="spellStart"/>
            <w:r w:rsidRPr="00431371">
              <w:rPr>
                <w:rFonts w:eastAsia="Calibri"/>
                <w:bCs/>
                <w:iCs/>
                <w:color w:val="2F5496"/>
                <w:sz w:val="22"/>
                <w:szCs w:val="22"/>
              </w:rPr>
              <w:t>Chamber</w:t>
            </w:r>
            <w:proofErr w:type="spellEnd"/>
            <w:r w:rsidRPr="00431371">
              <w:rPr>
                <w:rFonts w:eastAsia="Calibri"/>
                <w:bCs/>
                <w:iCs/>
                <w:color w:val="2F5496"/>
                <w:sz w:val="22"/>
                <w:szCs w:val="22"/>
              </w:rPr>
              <w:t xml:space="preserve"> of Ukraine</w:t>
            </w:r>
          </w:p>
        </w:tc>
        <w:tc>
          <w:tcPr>
            <w:tcW w:w="4863" w:type="dxa"/>
            <w:shd w:val="clear" w:color="auto" w:fill="auto"/>
            <w:vAlign w:val="center"/>
          </w:tcPr>
          <w:p w14:paraId="070DCA7A" w14:textId="77777777" w:rsidR="0028075A" w:rsidRPr="00431371" w:rsidRDefault="0028075A" w:rsidP="003574FD">
            <w:pPr>
              <w:tabs>
                <w:tab w:val="num" w:pos="426"/>
                <w:tab w:val="num" w:pos="720"/>
              </w:tabs>
              <w:spacing w:before="40" w:after="40" w:line="21" w:lineRule="atLeast"/>
              <w:rPr>
                <w:rFonts w:eastAsia="Calibri"/>
                <w:bCs/>
                <w:iCs/>
                <w:color w:val="2F5496"/>
                <w:sz w:val="22"/>
                <w:szCs w:val="22"/>
              </w:rPr>
            </w:pPr>
          </w:p>
        </w:tc>
      </w:tr>
    </w:tbl>
    <w:p w14:paraId="7F225011" w14:textId="77777777" w:rsidR="0028075A" w:rsidRPr="002B2C50" w:rsidRDefault="0028075A" w:rsidP="003574FD">
      <w:pPr>
        <w:tabs>
          <w:tab w:val="left" w:pos="284"/>
        </w:tabs>
        <w:spacing w:line="21" w:lineRule="atLeast"/>
        <w:ind w:left="284" w:hanging="284"/>
        <w:rPr>
          <w:rFonts w:cs="Arial"/>
          <w:b/>
          <w:bCs/>
          <w:iCs/>
          <w:color w:val="8DB3E2"/>
        </w:rPr>
      </w:pPr>
    </w:p>
    <w:p w14:paraId="6266A1C5" w14:textId="4DA8D28B" w:rsidR="0028075A" w:rsidRPr="002B2A70" w:rsidRDefault="006377FF" w:rsidP="003574FD">
      <w:pPr>
        <w:pStyle w:val="Heading3"/>
        <w:spacing w:before="240" w:after="240" w:line="21" w:lineRule="atLeast"/>
        <w:rPr>
          <w:b/>
          <w:sz w:val="28"/>
          <w:szCs w:val="28"/>
          <w:lang w:val="en-GB"/>
        </w:rPr>
      </w:pPr>
      <w:bookmarkStart w:id="90" w:name="_Toc423436299"/>
      <w:r>
        <w:rPr>
          <w:b/>
          <w:sz w:val="28"/>
          <w:szCs w:val="28"/>
          <w:lang w:val="en-GB"/>
        </w:rPr>
        <w:t xml:space="preserve">6.4 </w:t>
      </w:r>
      <w:r w:rsidR="0028075A" w:rsidRPr="002B2A70">
        <w:rPr>
          <w:b/>
          <w:sz w:val="28"/>
          <w:szCs w:val="28"/>
          <w:lang w:val="en-GB"/>
        </w:rPr>
        <w:t>National Authorities (NAs)</w:t>
      </w:r>
      <w:bookmarkEnd w:id="90"/>
      <w:r w:rsidR="0028075A" w:rsidRPr="002B2A70">
        <w:rPr>
          <w:b/>
          <w:sz w:val="28"/>
          <w:szCs w:val="28"/>
          <w:lang w:val="en-GB"/>
        </w:rPr>
        <w:t xml:space="preserve"> </w:t>
      </w:r>
      <w:r w:rsidR="002E2858" w:rsidRPr="00823076">
        <w:rPr>
          <w:sz w:val="28"/>
          <w:szCs w:val="28"/>
          <w:lang w:val="en-GB"/>
        </w:rPr>
        <w:t>(Article 31 of ENI CBC I</w:t>
      </w:r>
      <w:r w:rsidR="002E2858">
        <w:rPr>
          <w:sz w:val="28"/>
          <w:szCs w:val="28"/>
          <w:lang w:val="en-GB"/>
        </w:rPr>
        <w:t xml:space="preserve">mplementing </w:t>
      </w:r>
      <w:r w:rsidR="002E2858" w:rsidRPr="00823076">
        <w:rPr>
          <w:sz w:val="28"/>
          <w:szCs w:val="28"/>
          <w:lang w:val="en-GB"/>
        </w:rPr>
        <w:t>R</w:t>
      </w:r>
      <w:r w:rsidR="002E2858">
        <w:rPr>
          <w:sz w:val="28"/>
          <w:szCs w:val="28"/>
          <w:lang w:val="en-GB"/>
        </w:rPr>
        <w:t>ules</w:t>
      </w:r>
      <w:r w:rsidR="002E2858" w:rsidRPr="00823076">
        <w:rPr>
          <w:sz w:val="28"/>
          <w:szCs w:val="28"/>
          <w:lang w:val="en-GB"/>
        </w:rPr>
        <w:t>)</w:t>
      </w:r>
    </w:p>
    <w:p w14:paraId="1658FDAD"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In accordance with article 2 of the Implementing Rules, the National Authority is the entity appointed by each participating country bearing the ultimate responsibility for supporting the Management Authority in the implementation of the programme in its own territory. </w:t>
      </w:r>
    </w:p>
    <w:p w14:paraId="6F089A08"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In accordance with article 31 of the Implementing Rules, each National Authority shall, </w:t>
      </w:r>
      <w:r w:rsidRPr="00682784">
        <w:rPr>
          <w:rFonts w:cs="ArialMT"/>
          <w:bCs/>
          <w:i/>
          <w:iCs/>
          <w:sz w:val="22"/>
          <w:szCs w:val="22"/>
          <w:lang w:val="en-GB"/>
        </w:rPr>
        <w:t xml:space="preserve">inter </w:t>
      </w:r>
      <w:proofErr w:type="spellStart"/>
      <w:r w:rsidRPr="00682784">
        <w:rPr>
          <w:rFonts w:cs="ArialMT"/>
          <w:bCs/>
          <w:i/>
          <w:iCs/>
          <w:sz w:val="22"/>
          <w:szCs w:val="22"/>
          <w:lang w:val="en-GB"/>
        </w:rPr>
        <w:t>allia</w:t>
      </w:r>
      <w:proofErr w:type="spellEnd"/>
      <w:r w:rsidRPr="00682784">
        <w:rPr>
          <w:rFonts w:cs="ArialMT"/>
          <w:bCs/>
          <w:sz w:val="22"/>
          <w:szCs w:val="22"/>
          <w:lang w:val="en-GB"/>
        </w:rPr>
        <w:t>:</w:t>
      </w:r>
    </w:p>
    <w:p w14:paraId="380A09FC" w14:textId="77777777" w:rsidR="0028075A" w:rsidRPr="00682784" w:rsidRDefault="0028075A" w:rsidP="003574FD">
      <w:pPr>
        <w:numPr>
          <w:ilvl w:val="0"/>
          <w:numId w:val="50"/>
        </w:numPr>
        <w:spacing w:before="200" w:after="0" w:line="21" w:lineRule="atLeast"/>
        <w:contextualSpacing/>
        <w:jc w:val="both"/>
        <w:rPr>
          <w:rFonts w:cs="ArialMT"/>
          <w:bCs/>
          <w:sz w:val="22"/>
          <w:szCs w:val="22"/>
          <w:lang w:val="en-GB"/>
        </w:rPr>
      </w:pPr>
      <w:r w:rsidRPr="00682784">
        <w:rPr>
          <w:rFonts w:cs="ArialMT"/>
          <w:bCs/>
          <w:sz w:val="22"/>
          <w:szCs w:val="22"/>
          <w:lang w:val="en-GB"/>
        </w:rPr>
        <w:t>be responsible for the set up and effective functioning of management and control systems at national level;</w:t>
      </w:r>
    </w:p>
    <w:p w14:paraId="742DE3BB" w14:textId="77777777" w:rsidR="0028075A" w:rsidRPr="00682784" w:rsidRDefault="0028075A" w:rsidP="003574FD">
      <w:pPr>
        <w:numPr>
          <w:ilvl w:val="0"/>
          <w:numId w:val="50"/>
        </w:numPr>
        <w:spacing w:before="200" w:after="0" w:line="21" w:lineRule="atLeast"/>
        <w:contextualSpacing/>
        <w:jc w:val="both"/>
        <w:rPr>
          <w:rFonts w:cs="ArialMT"/>
          <w:bCs/>
          <w:sz w:val="22"/>
          <w:szCs w:val="22"/>
          <w:lang w:val="en-GB"/>
        </w:rPr>
      </w:pPr>
      <w:r w:rsidRPr="00682784">
        <w:rPr>
          <w:rFonts w:cs="ArialMT"/>
          <w:bCs/>
          <w:sz w:val="22"/>
          <w:szCs w:val="22"/>
          <w:lang w:val="en-GB"/>
        </w:rPr>
        <w:t>ensure the overall coordination of the institutions involved at national level in the programme implementation;</w:t>
      </w:r>
    </w:p>
    <w:p w14:paraId="1F867F50" w14:textId="77777777" w:rsidR="0028075A" w:rsidRPr="00682784" w:rsidRDefault="0028075A" w:rsidP="003574FD">
      <w:pPr>
        <w:numPr>
          <w:ilvl w:val="0"/>
          <w:numId w:val="50"/>
        </w:numPr>
        <w:spacing w:before="200" w:after="0" w:line="21" w:lineRule="atLeast"/>
        <w:contextualSpacing/>
        <w:jc w:val="both"/>
        <w:rPr>
          <w:rFonts w:cs="ArialMT"/>
          <w:bCs/>
          <w:sz w:val="22"/>
          <w:szCs w:val="22"/>
          <w:lang w:val="en-GB"/>
        </w:rPr>
      </w:pPr>
      <w:proofErr w:type="gramStart"/>
      <w:r w:rsidRPr="00682784">
        <w:rPr>
          <w:rFonts w:cs="ArialMT"/>
          <w:bCs/>
          <w:sz w:val="22"/>
          <w:szCs w:val="22"/>
          <w:lang w:val="en-GB"/>
        </w:rPr>
        <w:t>represent</w:t>
      </w:r>
      <w:proofErr w:type="gramEnd"/>
      <w:r w:rsidRPr="00682784">
        <w:rPr>
          <w:rFonts w:cs="ArialMT"/>
          <w:bCs/>
          <w:sz w:val="22"/>
          <w:szCs w:val="22"/>
          <w:lang w:val="en-GB"/>
        </w:rPr>
        <w:t xml:space="preserve"> the country in the Joint Monitoring Committee.</w:t>
      </w:r>
    </w:p>
    <w:p w14:paraId="05CED5A4" w14:textId="77777777" w:rsidR="00D52F79" w:rsidRPr="00682784" w:rsidRDefault="00D52F79" w:rsidP="003574FD">
      <w:pPr>
        <w:spacing w:after="120" w:line="21" w:lineRule="atLeast"/>
        <w:jc w:val="both"/>
        <w:rPr>
          <w:rFonts w:cs="ArialMT"/>
          <w:bCs/>
          <w:sz w:val="12"/>
          <w:szCs w:val="12"/>
          <w:lang w:val="en-GB"/>
        </w:rPr>
      </w:pPr>
    </w:p>
    <w:p w14:paraId="6AE6A32E" w14:textId="77777777" w:rsidR="0028075A" w:rsidRPr="00682784" w:rsidRDefault="0028075A" w:rsidP="003574FD">
      <w:pPr>
        <w:spacing w:after="120" w:line="21" w:lineRule="atLeast"/>
        <w:jc w:val="both"/>
        <w:rPr>
          <w:rFonts w:cs="ArialMT"/>
          <w:bCs/>
          <w:sz w:val="22"/>
          <w:szCs w:val="22"/>
          <w:lang w:val="en-GB"/>
        </w:rPr>
      </w:pPr>
      <w:r w:rsidRPr="00682784">
        <w:rPr>
          <w:rFonts w:cs="ArialMT"/>
          <w:bCs/>
          <w:sz w:val="22"/>
          <w:szCs w:val="22"/>
          <w:lang w:val="en-GB"/>
        </w:rPr>
        <w:t>Its main functions shall be:</w:t>
      </w:r>
    </w:p>
    <w:p w14:paraId="2D0F1B2A"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 in the preparation of the annual report by providing, reviewing and/or commenting the information concerning the implementation of the programme on their territory;</w:t>
      </w:r>
    </w:p>
    <w:p w14:paraId="3791F30C"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 xml:space="preserve">support the MA </w:t>
      </w:r>
      <w:r w:rsidR="002B0DE5" w:rsidRPr="00682784">
        <w:rPr>
          <w:rFonts w:cs="ArialMT"/>
          <w:bCs/>
          <w:sz w:val="22"/>
          <w:szCs w:val="22"/>
          <w:lang w:val="en-GB"/>
        </w:rPr>
        <w:t xml:space="preserve">for </w:t>
      </w:r>
      <w:r w:rsidRPr="00682784">
        <w:rPr>
          <w:rFonts w:cs="ArialMT"/>
          <w:bCs/>
          <w:sz w:val="22"/>
          <w:szCs w:val="22"/>
          <w:lang w:val="en-GB"/>
        </w:rPr>
        <w:t>prepar</w:t>
      </w:r>
      <w:r w:rsidR="002B0DE5" w:rsidRPr="00682784">
        <w:rPr>
          <w:rFonts w:cs="ArialMT"/>
          <w:bCs/>
          <w:sz w:val="22"/>
          <w:szCs w:val="22"/>
          <w:lang w:val="en-GB"/>
        </w:rPr>
        <w:t>ing</w:t>
      </w:r>
      <w:r w:rsidRPr="00682784">
        <w:rPr>
          <w:rFonts w:cs="ArialMT"/>
          <w:bCs/>
          <w:sz w:val="22"/>
          <w:szCs w:val="22"/>
          <w:lang w:val="en-GB"/>
        </w:rPr>
        <w:t xml:space="preserve"> the annual monitoring and evaluation </w:t>
      </w:r>
      <w:r w:rsidR="002B0DE5" w:rsidRPr="00682784">
        <w:rPr>
          <w:rFonts w:cs="ArialMT"/>
          <w:bCs/>
          <w:sz w:val="22"/>
          <w:szCs w:val="22"/>
          <w:lang w:val="en-GB"/>
        </w:rPr>
        <w:t xml:space="preserve">of the programme </w:t>
      </w:r>
      <w:r w:rsidRPr="00682784">
        <w:rPr>
          <w:rFonts w:cs="ArialMT"/>
          <w:bCs/>
          <w:sz w:val="22"/>
          <w:szCs w:val="22"/>
          <w:lang w:val="en-GB"/>
        </w:rPr>
        <w:t>;</w:t>
      </w:r>
    </w:p>
    <w:p w14:paraId="7525F690"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the implementation of the information and communication plan and in the organisation of communication and information events on their territory;</w:t>
      </w:r>
    </w:p>
    <w:p w14:paraId="4C70DF08"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relation to the elaboration of the application pack and ensuring its compliance with the national legislation specificities;</w:t>
      </w:r>
    </w:p>
    <w:p w14:paraId="21292554"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the preparation of grant contract template and annexes;</w:t>
      </w:r>
    </w:p>
    <w:p w14:paraId="4289BED0"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in disseminating information about the call for proposals on their territory;</w:t>
      </w:r>
    </w:p>
    <w:p w14:paraId="396A0D5A"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 xml:space="preserve">propose </w:t>
      </w:r>
      <w:r w:rsidR="002B0DE5" w:rsidRPr="00682784">
        <w:rPr>
          <w:rFonts w:cs="ArialMT"/>
          <w:bCs/>
          <w:sz w:val="22"/>
          <w:szCs w:val="22"/>
          <w:lang w:val="en-GB"/>
        </w:rPr>
        <w:t xml:space="preserve">members </w:t>
      </w:r>
      <w:r w:rsidRPr="00682784">
        <w:rPr>
          <w:rFonts w:cs="ArialMT"/>
          <w:bCs/>
          <w:sz w:val="22"/>
          <w:szCs w:val="22"/>
          <w:lang w:val="en-GB"/>
        </w:rPr>
        <w:t xml:space="preserve">in the Selection Committee and check that the proposed </w:t>
      </w:r>
      <w:r w:rsidR="002B0DE5" w:rsidRPr="00682784">
        <w:rPr>
          <w:rFonts w:cs="ArialMT"/>
          <w:bCs/>
          <w:sz w:val="22"/>
          <w:szCs w:val="22"/>
          <w:lang w:val="en-GB"/>
        </w:rPr>
        <w:t>members</w:t>
      </w:r>
      <w:r w:rsidR="004D3115" w:rsidRPr="00682784">
        <w:rPr>
          <w:rFonts w:cs="ArialMT"/>
          <w:bCs/>
          <w:sz w:val="22"/>
          <w:szCs w:val="22"/>
          <w:lang w:val="en-GB"/>
        </w:rPr>
        <w:t xml:space="preserve"> </w:t>
      </w:r>
      <w:r w:rsidRPr="00682784">
        <w:rPr>
          <w:rFonts w:cs="ArialMT"/>
          <w:bCs/>
          <w:sz w:val="22"/>
          <w:szCs w:val="22"/>
          <w:lang w:val="en-GB"/>
        </w:rPr>
        <w:t>are not subject to a conflict of interest;</w:t>
      </w:r>
    </w:p>
    <w:p w14:paraId="348EFCBA"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carrying out the administrative check and ensure the eligibility check for the entities on their territory;</w:t>
      </w:r>
    </w:p>
    <w:p w14:paraId="6C824CE6"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the contracting phase, including the prevention of the duplication of activities among projects funded by EU;</w:t>
      </w:r>
    </w:p>
    <w:p w14:paraId="5DCD11E2"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in conducting project monitoring and follow-up on their territory;</w:t>
      </w:r>
    </w:p>
    <w:p w14:paraId="1F33EE89"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support the MA/JTS for on the spot visits and requests related to the results-oriented monitoring, on their territory;</w:t>
      </w:r>
    </w:p>
    <w:p w14:paraId="2652B2AC"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provide information to MA/JTS/beneficiaries located on their territory on national procedures/requirements (e.g. labour law provisions, VAT exemption, eligibility issues, procurement);</w:t>
      </w:r>
    </w:p>
    <w:p w14:paraId="4D9D2D1A"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 xml:space="preserve">contribute to capitalisation </w:t>
      </w:r>
      <w:r w:rsidR="002B0DE5" w:rsidRPr="00682784">
        <w:rPr>
          <w:rFonts w:cs="ArialMT"/>
          <w:bCs/>
          <w:sz w:val="22"/>
          <w:szCs w:val="22"/>
          <w:lang w:val="en-GB"/>
        </w:rPr>
        <w:t xml:space="preserve">of results </w:t>
      </w:r>
      <w:r w:rsidRPr="00682784">
        <w:rPr>
          <w:rFonts w:cs="ArialMT"/>
          <w:bCs/>
          <w:sz w:val="22"/>
          <w:szCs w:val="22"/>
          <w:lang w:val="en-GB"/>
        </w:rPr>
        <w:t xml:space="preserve">at national level;  </w:t>
      </w:r>
    </w:p>
    <w:p w14:paraId="21D81643"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ensure dissemination of results and good practice;</w:t>
      </w:r>
    </w:p>
    <w:p w14:paraId="79DADDAE"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lastRenderedPageBreak/>
        <w:t>inform the MA about the detection or suspecting of operational and management problems that were/may be encountered by any project implemented on their territory as soon as such information becomes available;</w:t>
      </w:r>
    </w:p>
    <w:p w14:paraId="5C775824" w14:textId="77777777" w:rsidR="0028075A" w:rsidRPr="00682784" w:rsidRDefault="0028075A" w:rsidP="003574FD">
      <w:pPr>
        <w:numPr>
          <w:ilvl w:val="0"/>
          <w:numId w:val="50"/>
        </w:numPr>
        <w:spacing w:after="160" w:line="21" w:lineRule="atLeast"/>
        <w:contextualSpacing/>
        <w:jc w:val="both"/>
        <w:rPr>
          <w:rFonts w:cs="ArialMT"/>
          <w:bCs/>
          <w:sz w:val="22"/>
          <w:szCs w:val="22"/>
          <w:lang w:val="en-GB"/>
        </w:rPr>
      </w:pPr>
      <w:r w:rsidRPr="00682784">
        <w:rPr>
          <w:rFonts w:cs="ArialMT"/>
          <w:bCs/>
          <w:sz w:val="22"/>
          <w:szCs w:val="22"/>
          <w:lang w:val="en-GB"/>
        </w:rPr>
        <w:t>notify irregularities to the MA without delay;</w:t>
      </w:r>
    </w:p>
    <w:p w14:paraId="697D47B3" w14:textId="77777777" w:rsidR="0028075A" w:rsidRPr="00682784" w:rsidRDefault="0028075A" w:rsidP="003574FD">
      <w:pPr>
        <w:numPr>
          <w:ilvl w:val="0"/>
          <w:numId w:val="50"/>
        </w:numPr>
        <w:spacing w:after="160" w:line="21" w:lineRule="atLeast"/>
        <w:ind w:left="709"/>
        <w:contextualSpacing/>
        <w:jc w:val="both"/>
        <w:rPr>
          <w:rFonts w:cs="ArialMT"/>
          <w:bCs/>
          <w:sz w:val="22"/>
          <w:szCs w:val="22"/>
          <w:lang w:val="en-GB"/>
        </w:rPr>
      </w:pPr>
      <w:r w:rsidRPr="00682784">
        <w:rPr>
          <w:rFonts w:cs="ArialMT"/>
          <w:bCs/>
          <w:sz w:val="22"/>
          <w:szCs w:val="22"/>
          <w:lang w:val="en-GB"/>
        </w:rPr>
        <w:t>support in identifying risks on their territory;</w:t>
      </w:r>
    </w:p>
    <w:p w14:paraId="06348A14" w14:textId="77777777" w:rsidR="0007709E" w:rsidRPr="00682784" w:rsidRDefault="0028075A" w:rsidP="003574FD">
      <w:pPr>
        <w:numPr>
          <w:ilvl w:val="0"/>
          <w:numId w:val="50"/>
        </w:numPr>
        <w:spacing w:after="160" w:line="21" w:lineRule="atLeast"/>
        <w:ind w:left="709"/>
        <w:contextualSpacing/>
        <w:jc w:val="both"/>
        <w:rPr>
          <w:rFonts w:cs="ArialMT"/>
          <w:bCs/>
          <w:sz w:val="22"/>
          <w:szCs w:val="22"/>
          <w:lang w:val="en-GB"/>
        </w:rPr>
      </w:pPr>
      <w:proofErr w:type="gramStart"/>
      <w:r w:rsidRPr="00682784">
        <w:rPr>
          <w:rFonts w:cs="ArialMT"/>
          <w:bCs/>
          <w:sz w:val="22"/>
          <w:szCs w:val="22"/>
          <w:lang w:val="en-GB"/>
        </w:rPr>
        <w:t>define</w:t>
      </w:r>
      <w:proofErr w:type="gramEnd"/>
      <w:r w:rsidRPr="00682784">
        <w:rPr>
          <w:rFonts w:cs="ArialMT"/>
          <w:bCs/>
          <w:sz w:val="22"/>
          <w:szCs w:val="22"/>
          <w:lang w:val="en-GB"/>
        </w:rPr>
        <w:t xml:space="preserve"> together with the MA effective and proportionate anti-fraud measures to be put in place on their territory.</w:t>
      </w:r>
    </w:p>
    <w:p w14:paraId="28A1D1E5" w14:textId="77777777" w:rsidR="00D52F79" w:rsidRPr="00682784" w:rsidRDefault="00D52F79" w:rsidP="003574FD">
      <w:pPr>
        <w:spacing w:after="160" w:line="21" w:lineRule="atLeast"/>
        <w:ind w:left="709"/>
        <w:contextualSpacing/>
        <w:jc w:val="both"/>
        <w:rPr>
          <w:rFonts w:cs="ArialMT"/>
          <w:bCs/>
          <w:sz w:val="22"/>
          <w:szCs w:val="22"/>
          <w:lang w:val="en-GB"/>
        </w:rPr>
      </w:pPr>
    </w:p>
    <w:p w14:paraId="62FE139C" w14:textId="60A1F530"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For ENI CBC Partner Countries, the National Authority is the body ultimately responsible for the implementation </w:t>
      </w:r>
      <w:r w:rsidR="002E2858">
        <w:rPr>
          <w:rFonts w:cs="ArialMT"/>
          <w:bCs/>
          <w:sz w:val="22"/>
          <w:szCs w:val="22"/>
          <w:lang w:val="en-GB"/>
        </w:rPr>
        <w:t xml:space="preserve">of </w:t>
      </w:r>
      <w:r w:rsidRPr="00682784">
        <w:rPr>
          <w:rFonts w:cs="ArialMT"/>
          <w:bCs/>
          <w:sz w:val="22"/>
          <w:szCs w:val="22"/>
          <w:lang w:val="en-GB"/>
        </w:rPr>
        <w:t>the provisions set out in the Financing Agreement signed with the European Commission.</w:t>
      </w:r>
    </w:p>
    <w:p w14:paraId="48432435"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National Authorities shall ensure support to Managing Authority from the relevant national institutions in its obligations referred to in article 30(2) of the ENI CBC Implementing Rules.</w:t>
      </w:r>
    </w:p>
    <w:p w14:paraId="52D0EB9B"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Moreover, in collaboration with the MA, each National Authority ensures either directly or through a national competent </w:t>
      </w:r>
      <w:proofErr w:type="gramStart"/>
      <w:r w:rsidRPr="00682784">
        <w:rPr>
          <w:rFonts w:cs="ArialMT"/>
          <w:bCs/>
          <w:sz w:val="22"/>
          <w:szCs w:val="22"/>
          <w:lang w:val="en-GB"/>
        </w:rPr>
        <w:t>body(</w:t>
      </w:r>
      <w:proofErr w:type="spellStart"/>
      <w:proofErr w:type="gramEnd"/>
      <w:r w:rsidRPr="00682784">
        <w:rPr>
          <w:rFonts w:cs="ArialMT"/>
          <w:bCs/>
          <w:sz w:val="22"/>
          <w:szCs w:val="22"/>
          <w:lang w:val="en-GB"/>
        </w:rPr>
        <w:t>ies</w:t>
      </w:r>
      <w:proofErr w:type="spellEnd"/>
      <w:r w:rsidRPr="00682784">
        <w:rPr>
          <w:rFonts w:cs="ArialMT"/>
          <w:bCs/>
          <w:sz w:val="22"/>
          <w:szCs w:val="22"/>
          <w:lang w:val="en-GB"/>
        </w:rPr>
        <w:t xml:space="preserve">), that appropriate mechanisms are in place in their countries in order to prevent, detect and correct irregularities on their territories. </w:t>
      </w:r>
    </w:p>
    <w:p w14:paraId="33EB77CB"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Finally, the National Authority ensures, either directly or through a national competent body, assistance to the Managing Authority in the recovery process for orders concerning beneficiaries located on its territory, in accordance with the provisions of article 74 o</w:t>
      </w:r>
      <w:r w:rsidR="00402EE1" w:rsidRPr="00682784">
        <w:rPr>
          <w:rFonts w:cs="ArialMT"/>
          <w:bCs/>
          <w:sz w:val="22"/>
          <w:szCs w:val="22"/>
          <w:lang w:val="en-GB"/>
        </w:rPr>
        <w:t>f the ENI CBC Implementing Regulation</w:t>
      </w:r>
      <w:r w:rsidRPr="00682784">
        <w:rPr>
          <w:rFonts w:cs="ArialMT"/>
          <w:bCs/>
          <w:sz w:val="22"/>
          <w:szCs w:val="22"/>
          <w:lang w:val="en-GB"/>
        </w:rPr>
        <w:t>.</w:t>
      </w:r>
    </w:p>
    <w:p w14:paraId="6B5F8275"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The details of the coordination and of the measures set to fulfil with the above-mentioned obligations deriving fro</w:t>
      </w:r>
      <w:r w:rsidR="00863957" w:rsidRPr="00682784">
        <w:rPr>
          <w:rFonts w:cs="ArialMT"/>
          <w:bCs/>
          <w:sz w:val="22"/>
          <w:szCs w:val="22"/>
          <w:lang w:val="en-GB"/>
        </w:rPr>
        <w:t>m the ENI CBC Implementing Regulation</w:t>
      </w:r>
      <w:r w:rsidRPr="00682784">
        <w:rPr>
          <w:rFonts w:cs="ArialMT"/>
          <w:bCs/>
          <w:sz w:val="22"/>
          <w:szCs w:val="22"/>
          <w:lang w:val="en-GB"/>
        </w:rPr>
        <w:t>, are given in the document describing the programme management and control system.</w:t>
      </w:r>
    </w:p>
    <w:p w14:paraId="4A1CA8EE" w14:textId="77777777" w:rsidR="0028075A" w:rsidRPr="00682784" w:rsidRDefault="0028075A" w:rsidP="003574FD">
      <w:pPr>
        <w:tabs>
          <w:tab w:val="num" w:pos="426"/>
          <w:tab w:val="num" w:pos="720"/>
        </w:tabs>
        <w:spacing w:line="21" w:lineRule="atLeast"/>
        <w:jc w:val="both"/>
        <w:rPr>
          <w:rFonts w:cs="ArialMT"/>
          <w:bCs/>
          <w:sz w:val="22"/>
          <w:szCs w:val="22"/>
          <w:lang w:val="en-GB"/>
        </w:rPr>
      </w:pPr>
      <w:r w:rsidRPr="00682784">
        <w:rPr>
          <w:rFonts w:cs="ArialMT"/>
          <w:bCs/>
          <w:sz w:val="22"/>
          <w:szCs w:val="22"/>
          <w:lang w:val="en-GB"/>
        </w:rPr>
        <w:t>Pursuant to point (a) of article 20(6) o</w:t>
      </w:r>
      <w:r w:rsidR="00863957" w:rsidRPr="00682784">
        <w:rPr>
          <w:rFonts w:cs="ArialMT"/>
          <w:bCs/>
          <w:sz w:val="22"/>
          <w:szCs w:val="22"/>
          <w:lang w:val="en-GB"/>
        </w:rPr>
        <w:t>f the ENI CBC Implementing Regulation</w:t>
      </w:r>
      <w:r w:rsidRPr="00682784">
        <w:rPr>
          <w:rFonts w:cs="ArialMT"/>
          <w:bCs/>
          <w:sz w:val="22"/>
          <w:szCs w:val="22"/>
          <w:lang w:val="en-GB"/>
        </w:rPr>
        <w:t>, the following institutions are appointed as National Authority for each participating country:</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29"/>
        <w:gridCol w:w="3691"/>
        <w:gridCol w:w="5093"/>
      </w:tblGrid>
      <w:tr w:rsidR="000E316E" w:rsidRPr="002B2C50" w14:paraId="787100BC" w14:textId="77777777" w:rsidTr="00AE578C">
        <w:tc>
          <w:tcPr>
            <w:tcW w:w="1729" w:type="dxa"/>
            <w:tcBorders>
              <w:top w:val="nil"/>
              <w:left w:val="nil"/>
              <w:bottom w:val="single" w:sz="4" w:space="0" w:color="8EAADB"/>
              <w:right w:val="nil"/>
            </w:tcBorders>
            <w:shd w:val="clear" w:color="auto" w:fill="FFFFFF"/>
            <w:vAlign w:val="center"/>
          </w:tcPr>
          <w:p w14:paraId="488997FD"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t>Country</w:t>
            </w:r>
          </w:p>
        </w:tc>
        <w:tc>
          <w:tcPr>
            <w:tcW w:w="3691" w:type="dxa"/>
            <w:tcBorders>
              <w:top w:val="nil"/>
              <w:left w:val="nil"/>
              <w:right w:val="nil"/>
            </w:tcBorders>
            <w:shd w:val="clear" w:color="auto" w:fill="FFFFFF"/>
            <w:vAlign w:val="center"/>
          </w:tcPr>
          <w:p w14:paraId="6198A378"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t>Institution</w:t>
            </w:r>
          </w:p>
        </w:tc>
        <w:tc>
          <w:tcPr>
            <w:tcW w:w="5093" w:type="dxa"/>
            <w:tcBorders>
              <w:top w:val="nil"/>
              <w:left w:val="nil"/>
              <w:right w:val="nil"/>
            </w:tcBorders>
            <w:shd w:val="clear" w:color="auto" w:fill="FFFFFF"/>
            <w:vAlign w:val="center"/>
          </w:tcPr>
          <w:p w14:paraId="37C41546"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BD43EB">
              <w:rPr>
                <w:rFonts w:eastAsia="Calibri"/>
                <w:b/>
                <w:bCs/>
                <w:iCs/>
                <w:color w:val="2F5496"/>
                <w:sz w:val="22"/>
                <w:szCs w:val="22"/>
              </w:rPr>
              <w:t>Department</w:t>
            </w:r>
            <w:proofErr w:type="spellEnd"/>
          </w:p>
        </w:tc>
      </w:tr>
      <w:tr w:rsidR="000E316E" w:rsidRPr="002B2C50" w14:paraId="66D83C9D" w14:textId="77777777" w:rsidTr="00A656C6">
        <w:tc>
          <w:tcPr>
            <w:tcW w:w="1729" w:type="dxa"/>
            <w:tcBorders>
              <w:top w:val="nil"/>
              <w:left w:val="nil"/>
              <w:bottom w:val="nil"/>
            </w:tcBorders>
            <w:shd w:val="clear" w:color="auto" w:fill="FFFFFF"/>
            <w:vAlign w:val="center"/>
          </w:tcPr>
          <w:p w14:paraId="22361220"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t>Armenia</w:t>
            </w:r>
          </w:p>
        </w:tc>
        <w:tc>
          <w:tcPr>
            <w:tcW w:w="3691" w:type="dxa"/>
            <w:shd w:val="clear" w:color="auto" w:fill="D5DDFF"/>
            <w:vAlign w:val="center"/>
          </w:tcPr>
          <w:p w14:paraId="0F6229C6" w14:textId="77777777" w:rsidR="0028075A" w:rsidRPr="00BD43EB" w:rsidRDefault="0028075A" w:rsidP="0040092A">
            <w:pPr>
              <w:tabs>
                <w:tab w:val="num" w:pos="426"/>
                <w:tab w:val="num" w:pos="720"/>
              </w:tabs>
              <w:spacing w:before="40" w:after="40" w:line="20" w:lineRule="atLeast"/>
              <w:rPr>
                <w:rFonts w:eastAsia="Calibri"/>
                <w:bCs/>
                <w:iCs/>
                <w:color w:val="2F5496"/>
                <w:sz w:val="22"/>
                <w:szCs w:val="22"/>
              </w:rPr>
            </w:pPr>
            <w:r w:rsidRPr="00BD43EB">
              <w:rPr>
                <w:rFonts w:eastAsia="Calibri"/>
                <w:bCs/>
                <w:iCs/>
                <w:color w:val="2F5496"/>
                <w:sz w:val="22"/>
                <w:szCs w:val="22"/>
              </w:rPr>
              <w:t xml:space="preserve">Ministry of </w:t>
            </w:r>
            <w:proofErr w:type="spellStart"/>
            <w:r w:rsidRPr="00BD43EB">
              <w:rPr>
                <w:rFonts w:eastAsia="Calibri"/>
                <w:bCs/>
                <w:iCs/>
                <w:color w:val="2F5496"/>
                <w:sz w:val="22"/>
                <w:szCs w:val="22"/>
              </w:rPr>
              <w:t>Economy</w:t>
            </w:r>
            <w:proofErr w:type="spellEnd"/>
          </w:p>
        </w:tc>
        <w:tc>
          <w:tcPr>
            <w:tcW w:w="5093" w:type="dxa"/>
            <w:shd w:val="clear" w:color="auto" w:fill="D5DDFF"/>
            <w:vAlign w:val="center"/>
          </w:tcPr>
          <w:p w14:paraId="43E943BB" w14:textId="77777777" w:rsidR="0028075A" w:rsidRPr="00BD43EB" w:rsidRDefault="0028075A" w:rsidP="006D5798">
            <w:pPr>
              <w:tabs>
                <w:tab w:val="num" w:pos="426"/>
                <w:tab w:val="num" w:pos="720"/>
              </w:tabs>
              <w:spacing w:before="40" w:after="40" w:line="20" w:lineRule="atLeast"/>
              <w:rPr>
                <w:rFonts w:eastAsia="Calibri"/>
                <w:bCs/>
                <w:iCs/>
                <w:color w:val="2F5496"/>
                <w:sz w:val="22"/>
                <w:szCs w:val="22"/>
              </w:rPr>
            </w:pPr>
            <w:r w:rsidRPr="00BD43EB">
              <w:rPr>
                <w:rFonts w:eastAsia="Calibri"/>
                <w:bCs/>
                <w:iCs/>
                <w:color w:val="2F5496"/>
                <w:sz w:val="22"/>
                <w:szCs w:val="22"/>
              </w:rPr>
              <w:t xml:space="preserve">EU </w:t>
            </w:r>
            <w:r w:rsidR="006D5798">
              <w:rPr>
                <w:rFonts w:eastAsia="Calibri"/>
                <w:bCs/>
                <w:iCs/>
                <w:color w:val="2F5496"/>
                <w:sz w:val="22"/>
                <w:szCs w:val="22"/>
              </w:rPr>
              <w:t>and WTO</w:t>
            </w:r>
            <w:r w:rsidR="00813E7F">
              <w:rPr>
                <w:rFonts w:eastAsia="Calibri"/>
                <w:bCs/>
                <w:iCs/>
                <w:color w:val="2F5496"/>
                <w:sz w:val="22"/>
                <w:szCs w:val="22"/>
              </w:rPr>
              <w:t xml:space="preserve"> </w:t>
            </w:r>
            <w:proofErr w:type="spellStart"/>
            <w:r w:rsidRPr="00BD43EB">
              <w:rPr>
                <w:rFonts w:eastAsia="Calibri"/>
                <w:bCs/>
                <w:iCs/>
                <w:color w:val="2F5496"/>
                <w:sz w:val="22"/>
                <w:szCs w:val="22"/>
              </w:rPr>
              <w:t>Department</w:t>
            </w:r>
            <w:proofErr w:type="spellEnd"/>
            <w:r w:rsidR="006D5798">
              <w:rPr>
                <w:rFonts w:eastAsia="Calibri"/>
                <w:bCs/>
                <w:iCs/>
                <w:color w:val="2F5496"/>
                <w:sz w:val="22"/>
                <w:szCs w:val="22"/>
              </w:rPr>
              <w:t xml:space="preserve">, </w:t>
            </w:r>
            <w:r w:rsidRPr="00BD43EB">
              <w:rPr>
                <w:rFonts w:eastAsia="Calibri"/>
                <w:bCs/>
                <w:iCs/>
                <w:color w:val="2F5496"/>
                <w:sz w:val="22"/>
                <w:szCs w:val="22"/>
              </w:rPr>
              <w:t xml:space="preserve">EU Programmes </w:t>
            </w:r>
            <w:r w:rsidR="006D5798">
              <w:rPr>
                <w:rFonts w:eastAsia="Calibri"/>
                <w:bCs/>
                <w:iCs/>
                <w:color w:val="2F5496"/>
                <w:sz w:val="22"/>
                <w:szCs w:val="22"/>
              </w:rPr>
              <w:t xml:space="preserve">Administration </w:t>
            </w:r>
            <w:r w:rsidRPr="00BD43EB">
              <w:rPr>
                <w:rFonts w:eastAsia="Calibri"/>
                <w:bCs/>
                <w:iCs/>
                <w:color w:val="2F5496"/>
                <w:sz w:val="22"/>
                <w:szCs w:val="22"/>
              </w:rPr>
              <w:t>Division (PAO)</w:t>
            </w:r>
          </w:p>
        </w:tc>
      </w:tr>
      <w:tr w:rsidR="000E316E" w:rsidRPr="00B71347" w14:paraId="7B632B0C" w14:textId="77777777" w:rsidTr="00A656C6">
        <w:tc>
          <w:tcPr>
            <w:tcW w:w="1729" w:type="dxa"/>
            <w:tcBorders>
              <w:left w:val="nil"/>
              <w:bottom w:val="nil"/>
            </w:tcBorders>
            <w:shd w:val="clear" w:color="auto" w:fill="auto"/>
            <w:vAlign w:val="center"/>
          </w:tcPr>
          <w:p w14:paraId="6B7C7502"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BD43EB">
              <w:rPr>
                <w:rFonts w:eastAsia="Calibri"/>
                <w:b/>
                <w:bCs/>
                <w:iCs/>
                <w:color w:val="2F5496"/>
                <w:sz w:val="22"/>
                <w:szCs w:val="22"/>
              </w:rPr>
              <w:t>Bulgaria</w:t>
            </w:r>
            <w:proofErr w:type="spellEnd"/>
          </w:p>
        </w:tc>
        <w:tc>
          <w:tcPr>
            <w:tcW w:w="3691" w:type="dxa"/>
            <w:shd w:val="clear" w:color="auto" w:fill="auto"/>
            <w:vAlign w:val="center"/>
          </w:tcPr>
          <w:p w14:paraId="20A1CDA2" w14:textId="4E9B0AF5" w:rsidR="0028075A" w:rsidRPr="00DB0C6E" w:rsidRDefault="0028075A" w:rsidP="0040092A">
            <w:pPr>
              <w:tabs>
                <w:tab w:val="num" w:pos="426"/>
                <w:tab w:val="num" w:pos="720"/>
              </w:tabs>
              <w:spacing w:before="40" w:after="40" w:line="20" w:lineRule="atLeast"/>
              <w:rPr>
                <w:rFonts w:eastAsia="Calibri"/>
                <w:bCs/>
                <w:iCs/>
                <w:color w:val="2F5496"/>
                <w:sz w:val="22"/>
                <w:szCs w:val="22"/>
                <w:lang w:val="en-GB"/>
              </w:rPr>
            </w:pPr>
            <w:r w:rsidRPr="00DB0C6E">
              <w:rPr>
                <w:rFonts w:eastAsia="Calibri"/>
                <w:bCs/>
                <w:iCs/>
                <w:color w:val="2F5496"/>
                <w:sz w:val="22"/>
                <w:szCs w:val="22"/>
                <w:lang w:val="en-GB"/>
              </w:rPr>
              <w:t>Ministry of Regional Development</w:t>
            </w:r>
            <w:r w:rsidR="00EF74BD" w:rsidRPr="00DB0C6E">
              <w:rPr>
                <w:rFonts w:eastAsia="Calibri"/>
                <w:bCs/>
                <w:iCs/>
                <w:color w:val="2F5496"/>
                <w:sz w:val="22"/>
                <w:szCs w:val="22"/>
                <w:lang w:val="en-GB"/>
              </w:rPr>
              <w:t xml:space="preserve"> and Public Works</w:t>
            </w:r>
            <w:r w:rsidRPr="00DB0C6E">
              <w:rPr>
                <w:rFonts w:eastAsia="Calibri"/>
                <w:bCs/>
                <w:iCs/>
                <w:color w:val="2F5496"/>
                <w:sz w:val="22"/>
                <w:szCs w:val="22"/>
                <w:lang w:val="en-GB"/>
              </w:rPr>
              <w:t xml:space="preserve"> </w:t>
            </w:r>
          </w:p>
        </w:tc>
        <w:tc>
          <w:tcPr>
            <w:tcW w:w="5093" w:type="dxa"/>
            <w:shd w:val="clear" w:color="auto" w:fill="auto"/>
            <w:vAlign w:val="center"/>
          </w:tcPr>
          <w:p w14:paraId="7A5A75B9"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European Territorial Cooperation and Neighbourhood Programmes Department, Directorate General Territorial Cooperation Management</w:t>
            </w:r>
          </w:p>
        </w:tc>
      </w:tr>
      <w:tr w:rsidR="000E316E" w:rsidRPr="002B2C50" w14:paraId="6A268F54" w14:textId="77777777" w:rsidTr="00A656C6">
        <w:tc>
          <w:tcPr>
            <w:tcW w:w="1729" w:type="dxa"/>
            <w:tcBorders>
              <w:left w:val="nil"/>
              <w:bottom w:val="nil"/>
            </w:tcBorders>
            <w:shd w:val="clear" w:color="auto" w:fill="FFFFFF"/>
            <w:vAlign w:val="center"/>
          </w:tcPr>
          <w:p w14:paraId="26775A7B"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t>Georgia</w:t>
            </w:r>
          </w:p>
        </w:tc>
        <w:tc>
          <w:tcPr>
            <w:tcW w:w="3691" w:type="dxa"/>
            <w:shd w:val="clear" w:color="auto" w:fill="D5DDFF"/>
            <w:vAlign w:val="center"/>
          </w:tcPr>
          <w:p w14:paraId="4BD6E28C"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Office of the State Minister of Georgia on European and Euro-Atlantic Integration</w:t>
            </w:r>
          </w:p>
        </w:tc>
        <w:tc>
          <w:tcPr>
            <w:tcW w:w="5093" w:type="dxa"/>
            <w:shd w:val="clear" w:color="auto" w:fill="D5DDFF"/>
            <w:vAlign w:val="center"/>
          </w:tcPr>
          <w:p w14:paraId="4889D113" w14:textId="3228315A" w:rsidR="0028075A" w:rsidRPr="00BD43EB" w:rsidRDefault="0028075A" w:rsidP="0040092A">
            <w:pPr>
              <w:tabs>
                <w:tab w:val="num" w:pos="426"/>
                <w:tab w:val="num" w:pos="720"/>
              </w:tabs>
              <w:autoSpaceDE w:val="0"/>
              <w:autoSpaceDN w:val="0"/>
              <w:adjustRightInd w:val="0"/>
              <w:spacing w:before="40" w:after="40" w:line="20" w:lineRule="atLeast"/>
              <w:rPr>
                <w:rFonts w:eastAsia="Calibri"/>
                <w:bCs/>
                <w:iCs/>
                <w:color w:val="2F5496"/>
                <w:sz w:val="22"/>
                <w:szCs w:val="22"/>
              </w:rPr>
            </w:pPr>
            <w:r w:rsidRPr="00BD43EB">
              <w:rPr>
                <w:rFonts w:eastAsia="Calibri"/>
                <w:bCs/>
                <w:iCs/>
                <w:color w:val="2F5496"/>
                <w:sz w:val="22"/>
                <w:szCs w:val="22"/>
              </w:rPr>
              <w:t>EU Assistance Coordination</w:t>
            </w:r>
            <w:r w:rsidR="00C756AB">
              <w:rPr>
                <w:rFonts w:eastAsia="Calibri"/>
                <w:bCs/>
                <w:iCs/>
                <w:color w:val="2F5496"/>
                <w:sz w:val="22"/>
                <w:szCs w:val="22"/>
              </w:rPr>
              <w:t xml:space="preserve"> </w:t>
            </w:r>
            <w:proofErr w:type="spellStart"/>
            <w:r w:rsidR="00C756AB">
              <w:rPr>
                <w:rFonts w:eastAsia="Calibri"/>
                <w:bCs/>
                <w:iCs/>
                <w:color w:val="2F5496"/>
                <w:sz w:val="22"/>
                <w:szCs w:val="22"/>
              </w:rPr>
              <w:t>Department</w:t>
            </w:r>
            <w:proofErr w:type="spellEnd"/>
          </w:p>
        </w:tc>
      </w:tr>
      <w:tr w:rsidR="000E316E" w:rsidRPr="00B71347" w14:paraId="4F49ED01" w14:textId="77777777" w:rsidTr="00A656C6">
        <w:tc>
          <w:tcPr>
            <w:tcW w:w="1729" w:type="dxa"/>
            <w:tcBorders>
              <w:left w:val="nil"/>
              <w:bottom w:val="nil"/>
            </w:tcBorders>
            <w:shd w:val="clear" w:color="auto" w:fill="auto"/>
            <w:vAlign w:val="center"/>
          </w:tcPr>
          <w:p w14:paraId="64558A04"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BD43EB">
              <w:rPr>
                <w:rFonts w:eastAsia="Calibri"/>
                <w:b/>
                <w:bCs/>
                <w:iCs/>
                <w:color w:val="2F5496"/>
                <w:sz w:val="22"/>
                <w:szCs w:val="22"/>
              </w:rPr>
              <w:t>Greece</w:t>
            </w:r>
            <w:proofErr w:type="spellEnd"/>
          </w:p>
        </w:tc>
        <w:tc>
          <w:tcPr>
            <w:tcW w:w="3691" w:type="dxa"/>
            <w:shd w:val="clear" w:color="auto" w:fill="auto"/>
            <w:vAlign w:val="center"/>
          </w:tcPr>
          <w:p w14:paraId="409CA900" w14:textId="711326C2"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Managing Authority of European Terri</w:t>
            </w:r>
            <w:r w:rsidR="0027688F">
              <w:rPr>
                <w:rFonts w:eastAsia="Calibri"/>
                <w:bCs/>
                <w:iCs/>
                <w:color w:val="2F5496"/>
                <w:sz w:val="22"/>
                <w:szCs w:val="22"/>
                <w:lang w:val="en-GB"/>
              </w:rPr>
              <w:t xml:space="preserve">torial Cooperation Programmes, </w:t>
            </w:r>
            <w:r w:rsidRPr="00682784">
              <w:rPr>
                <w:rFonts w:eastAsia="Calibri"/>
                <w:bCs/>
                <w:iCs/>
                <w:color w:val="2F5496"/>
                <w:sz w:val="22"/>
                <w:szCs w:val="22"/>
                <w:lang w:val="en-GB"/>
              </w:rPr>
              <w:t xml:space="preserve">Ministry for </w:t>
            </w:r>
            <w:r w:rsidR="00AD2FC6">
              <w:rPr>
                <w:rFonts w:eastAsia="Times New Roman"/>
                <w:bCs/>
                <w:iCs/>
                <w:color w:val="2F5496"/>
                <w:sz w:val="22"/>
                <w:szCs w:val="22"/>
                <w:lang w:val="en-GB"/>
              </w:rPr>
              <w:t>Economy, Infrastructure, Maritime and Tourism</w:t>
            </w:r>
          </w:p>
        </w:tc>
        <w:tc>
          <w:tcPr>
            <w:tcW w:w="5093" w:type="dxa"/>
            <w:shd w:val="clear" w:color="auto" w:fill="auto"/>
            <w:vAlign w:val="center"/>
          </w:tcPr>
          <w:p w14:paraId="550C2DE7"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Management &amp; Monitoring of Balkan Peninsula &amp; Black Sea Basin Programmes – Unit B1</w:t>
            </w:r>
          </w:p>
        </w:tc>
      </w:tr>
      <w:tr w:rsidR="000E316E" w:rsidRPr="00B71347" w14:paraId="7AB2F530" w14:textId="77777777" w:rsidTr="00A656C6">
        <w:tc>
          <w:tcPr>
            <w:tcW w:w="1729" w:type="dxa"/>
            <w:tcBorders>
              <w:left w:val="nil"/>
              <w:bottom w:val="nil"/>
            </w:tcBorders>
            <w:shd w:val="clear" w:color="auto" w:fill="FFFFFF"/>
            <w:vAlign w:val="center"/>
          </w:tcPr>
          <w:p w14:paraId="62162364"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BD43EB">
              <w:rPr>
                <w:rFonts w:eastAsia="Calibri"/>
                <w:b/>
                <w:bCs/>
                <w:iCs/>
                <w:color w:val="2F5496"/>
                <w:sz w:val="22"/>
                <w:szCs w:val="22"/>
              </w:rPr>
              <w:t>Republic</w:t>
            </w:r>
            <w:proofErr w:type="spellEnd"/>
            <w:r w:rsidRPr="00BD43EB">
              <w:rPr>
                <w:rFonts w:eastAsia="Calibri"/>
                <w:b/>
                <w:bCs/>
                <w:iCs/>
                <w:color w:val="2F5496"/>
                <w:sz w:val="22"/>
                <w:szCs w:val="22"/>
              </w:rPr>
              <w:t xml:space="preserve"> of Moldova</w:t>
            </w:r>
          </w:p>
        </w:tc>
        <w:tc>
          <w:tcPr>
            <w:tcW w:w="3691" w:type="dxa"/>
            <w:shd w:val="clear" w:color="auto" w:fill="D5DDFF"/>
            <w:vAlign w:val="center"/>
          </w:tcPr>
          <w:p w14:paraId="06589FFA"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State Chancellery of the Republic of Moldova</w:t>
            </w:r>
          </w:p>
        </w:tc>
        <w:tc>
          <w:tcPr>
            <w:tcW w:w="5093" w:type="dxa"/>
            <w:shd w:val="clear" w:color="auto" w:fill="D5DDFF"/>
            <w:vAlign w:val="center"/>
          </w:tcPr>
          <w:p w14:paraId="10FDFBD6" w14:textId="77777777" w:rsidR="0028075A" w:rsidRPr="00682784" w:rsidRDefault="000C627B"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Office for Coordination of Cross Border and Transnational Cooperation Programmes</w:t>
            </w:r>
            <w:r w:rsidR="0028075A" w:rsidRPr="00682784">
              <w:rPr>
                <w:rFonts w:eastAsia="Calibri"/>
                <w:bCs/>
                <w:iCs/>
                <w:color w:val="2F5496"/>
                <w:sz w:val="22"/>
                <w:szCs w:val="22"/>
                <w:lang w:val="en-GB"/>
              </w:rPr>
              <w:t xml:space="preserve"> </w:t>
            </w:r>
          </w:p>
        </w:tc>
      </w:tr>
      <w:tr w:rsidR="000E316E" w:rsidRPr="002B2C50" w14:paraId="7421921A" w14:textId="77777777" w:rsidTr="00A656C6">
        <w:tc>
          <w:tcPr>
            <w:tcW w:w="1729" w:type="dxa"/>
            <w:tcBorders>
              <w:left w:val="nil"/>
              <w:bottom w:val="nil"/>
            </w:tcBorders>
            <w:shd w:val="clear" w:color="auto" w:fill="auto"/>
            <w:vAlign w:val="center"/>
          </w:tcPr>
          <w:p w14:paraId="3E753856"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t>Romania</w:t>
            </w:r>
          </w:p>
        </w:tc>
        <w:tc>
          <w:tcPr>
            <w:tcW w:w="3691" w:type="dxa"/>
            <w:shd w:val="clear" w:color="auto" w:fill="auto"/>
            <w:vAlign w:val="center"/>
          </w:tcPr>
          <w:p w14:paraId="31FF057F"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Ministry of Regional Development and Public Administration</w:t>
            </w:r>
          </w:p>
        </w:tc>
        <w:tc>
          <w:tcPr>
            <w:tcW w:w="5093" w:type="dxa"/>
            <w:shd w:val="clear" w:color="auto" w:fill="auto"/>
            <w:vAlign w:val="center"/>
          </w:tcPr>
          <w:p w14:paraId="1F82B334" w14:textId="77777777" w:rsidR="0028075A" w:rsidRPr="00BD43EB" w:rsidRDefault="0028075A" w:rsidP="0040092A">
            <w:pPr>
              <w:tabs>
                <w:tab w:val="num" w:pos="426"/>
                <w:tab w:val="num" w:pos="720"/>
              </w:tabs>
              <w:spacing w:before="40" w:after="40" w:line="20" w:lineRule="atLeast"/>
              <w:rPr>
                <w:rFonts w:eastAsia="Calibri"/>
                <w:bCs/>
                <w:iCs/>
                <w:color w:val="2F5496"/>
                <w:sz w:val="22"/>
                <w:szCs w:val="22"/>
              </w:rPr>
            </w:pPr>
            <w:r w:rsidRPr="00BD43EB">
              <w:rPr>
                <w:rFonts w:eastAsia="Calibri"/>
                <w:bCs/>
                <w:iCs/>
                <w:color w:val="2F5496"/>
                <w:sz w:val="22"/>
                <w:szCs w:val="22"/>
              </w:rPr>
              <w:t xml:space="preserve">National </w:t>
            </w:r>
            <w:proofErr w:type="spellStart"/>
            <w:r w:rsidRPr="00BD43EB">
              <w:rPr>
                <w:rFonts w:eastAsia="Calibri"/>
                <w:bCs/>
                <w:iCs/>
                <w:color w:val="2F5496"/>
                <w:sz w:val="22"/>
                <w:szCs w:val="22"/>
              </w:rPr>
              <w:t>Authorities</w:t>
            </w:r>
            <w:proofErr w:type="spellEnd"/>
            <w:r w:rsidRPr="00BD43EB">
              <w:rPr>
                <w:rFonts w:eastAsia="Calibri"/>
                <w:bCs/>
                <w:iCs/>
                <w:color w:val="2F5496"/>
                <w:sz w:val="22"/>
                <w:szCs w:val="22"/>
              </w:rPr>
              <w:t xml:space="preserve"> Unit for </w:t>
            </w:r>
            <w:proofErr w:type="spellStart"/>
            <w:r w:rsidRPr="00BD43EB">
              <w:rPr>
                <w:rFonts w:eastAsia="Calibri"/>
                <w:bCs/>
                <w:iCs/>
                <w:color w:val="2F5496"/>
                <w:sz w:val="22"/>
                <w:szCs w:val="22"/>
              </w:rPr>
              <w:t>European</w:t>
            </w:r>
            <w:proofErr w:type="spellEnd"/>
            <w:r w:rsidRPr="00BD43EB">
              <w:rPr>
                <w:rFonts w:eastAsia="Calibri"/>
                <w:bCs/>
                <w:iCs/>
                <w:color w:val="2F5496"/>
                <w:sz w:val="22"/>
                <w:szCs w:val="22"/>
              </w:rPr>
              <w:t xml:space="preserve"> Programmes</w:t>
            </w:r>
          </w:p>
        </w:tc>
      </w:tr>
      <w:tr w:rsidR="000E316E" w:rsidRPr="00B71347" w14:paraId="1621E320" w14:textId="77777777" w:rsidTr="00A656C6">
        <w:tc>
          <w:tcPr>
            <w:tcW w:w="1729" w:type="dxa"/>
            <w:tcBorders>
              <w:left w:val="nil"/>
              <w:bottom w:val="nil"/>
            </w:tcBorders>
            <w:shd w:val="clear" w:color="auto" w:fill="FFFFFF"/>
            <w:vAlign w:val="center"/>
          </w:tcPr>
          <w:p w14:paraId="46EEE2D6"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BD43EB">
              <w:rPr>
                <w:rFonts w:eastAsia="Calibri"/>
                <w:b/>
                <w:bCs/>
                <w:iCs/>
                <w:color w:val="2F5496"/>
                <w:sz w:val="22"/>
                <w:szCs w:val="22"/>
              </w:rPr>
              <w:t>Turkey</w:t>
            </w:r>
            <w:proofErr w:type="spellEnd"/>
          </w:p>
        </w:tc>
        <w:tc>
          <w:tcPr>
            <w:tcW w:w="3691" w:type="dxa"/>
            <w:shd w:val="clear" w:color="auto" w:fill="D5DDFF"/>
            <w:vAlign w:val="center"/>
          </w:tcPr>
          <w:p w14:paraId="5580FB17"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Ministry for EU Affairs, Turkey</w:t>
            </w:r>
          </w:p>
        </w:tc>
        <w:tc>
          <w:tcPr>
            <w:tcW w:w="5093" w:type="dxa"/>
            <w:shd w:val="clear" w:color="auto" w:fill="D5DDFF"/>
            <w:vAlign w:val="center"/>
          </w:tcPr>
          <w:p w14:paraId="7DEA072A"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Financial Cooperation Directorate, Cross Border Cooperation Unit</w:t>
            </w:r>
          </w:p>
        </w:tc>
      </w:tr>
      <w:tr w:rsidR="000E316E" w:rsidRPr="00B71347" w14:paraId="492C0C65" w14:textId="77777777" w:rsidTr="00A656C6">
        <w:tc>
          <w:tcPr>
            <w:tcW w:w="1729" w:type="dxa"/>
            <w:tcBorders>
              <w:left w:val="nil"/>
              <w:bottom w:val="nil"/>
            </w:tcBorders>
            <w:shd w:val="clear" w:color="auto" w:fill="auto"/>
            <w:vAlign w:val="center"/>
          </w:tcPr>
          <w:p w14:paraId="2D1308AF" w14:textId="77777777" w:rsidR="0028075A" w:rsidRPr="00BD43EB" w:rsidRDefault="0028075A" w:rsidP="0040092A">
            <w:pPr>
              <w:tabs>
                <w:tab w:val="num" w:pos="426"/>
                <w:tab w:val="num" w:pos="720"/>
              </w:tabs>
              <w:spacing w:before="40" w:after="40" w:line="20" w:lineRule="atLeast"/>
              <w:rPr>
                <w:rFonts w:eastAsia="Calibri"/>
                <w:b/>
                <w:bCs/>
                <w:iCs/>
                <w:color w:val="2F5496"/>
                <w:sz w:val="22"/>
                <w:szCs w:val="22"/>
              </w:rPr>
            </w:pPr>
            <w:r w:rsidRPr="00BD43EB">
              <w:rPr>
                <w:rFonts w:eastAsia="Calibri"/>
                <w:b/>
                <w:bCs/>
                <w:iCs/>
                <w:color w:val="2F5496"/>
                <w:sz w:val="22"/>
                <w:szCs w:val="22"/>
              </w:rPr>
              <w:lastRenderedPageBreak/>
              <w:t>Ukraine</w:t>
            </w:r>
          </w:p>
        </w:tc>
        <w:tc>
          <w:tcPr>
            <w:tcW w:w="3691" w:type="dxa"/>
            <w:shd w:val="clear" w:color="auto" w:fill="auto"/>
            <w:vAlign w:val="center"/>
          </w:tcPr>
          <w:p w14:paraId="4E40F50B"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Ministry of Economic Development and Trade</w:t>
            </w:r>
          </w:p>
        </w:tc>
        <w:tc>
          <w:tcPr>
            <w:tcW w:w="5093" w:type="dxa"/>
            <w:shd w:val="clear" w:color="auto" w:fill="auto"/>
            <w:vAlign w:val="center"/>
          </w:tcPr>
          <w:p w14:paraId="2D058E2D" w14:textId="57D54EC8" w:rsidR="0028075A" w:rsidRPr="00682784" w:rsidRDefault="0028075A" w:rsidP="00C65563">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 xml:space="preserve">Directorate for </w:t>
            </w:r>
            <w:r w:rsidR="00C65563">
              <w:rPr>
                <w:rFonts w:eastAsia="Calibri"/>
                <w:bCs/>
                <w:iCs/>
                <w:color w:val="2F5496"/>
                <w:sz w:val="22"/>
                <w:szCs w:val="22"/>
                <w:lang w:val="en-GB"/>
              </w:rPr>
              <w:t>Coordination of</w:t>
            </w:r>
            <w:r w:rsidRPr="00682784">
              <w:rPr>
                <w:rFonts w:eastAsia="Calibri"/>
                <w:bCs/>
                <w:iCs/>
                <w:color w:val="2F5496"/>
                <w:sz w:val="22"/>
                <w:szCs w:val="22"/>
                <w:lang w:val="en-GB"/>
              </w:rPr>
              <w:t xml:space="preserve"> International </w:t>
            </w:r>
            <w:r w:rsidR="00C65563">
              <w:rPr>
                <w:rFonts w:eastAsia="Calibri"/>
                <w:bCs/>
                <w:iCs/>
                <w:color w:val="2F5496"/>
                <w:sz w:val="22"/>
                <w:szCs w:val="22"/>
                <w:lang w:val="en-GB"/>
              </w:rPr>
              <w:t>Programmes</w:t>
            </w:r>
          </w:p>
        </w:tc>
      </w:tr>
    </w:tbl>
    <w:p w14:paraId="39E45370" w14:textId="77777777" w:rsidR="0028075A" w:rsidRPr="00682784" w:rsidRDefault="0028075A" w:rsidP="003574FD">
      <w:pPr>
        <w:tabs>
          <w:tab w:val="left" w:pos="284"/>
        </w:tabs>
        <w:spacing w:line="21" w:lineRule="atLeast"/>
        <w:ind w:left="284" w:hanging="284"/>
        <w:rPr>
          <w:rFonts w:cs="Arial"/>
          <w:b/>
          <w:bCs/>
          <w:iCs/>
          <w:color w:val="8DB3E2"/>
          <w:lang w:val="en-GB"/>
        </w:rPr>
      </w:pPr>
    </w:p>
    <w:p w14:paraId="0761B3E0" w14:textId="77777777" w:rsidR="0028075A" w:rsidRPr="002B2A70" w:rsidRDefault="006377FF" w:rsidP="003574FD">
      <w:pPr>
        <w:pStyle w:val="Heading3"/>
        <w:spacing w:before="240" w:after="240" w:line="21" w:lineRule="atLeast"/>
        <w:rPr>
          <w:b/>
          <w:sz w:val="28"/>
          <w:szCs w:val="28"/>
          <w:lang w:val="en-GB"/>
        </w:rPr>
      </w:pPr>
      <w:bookmarkStart w:id="91" w:name="_Toc423436300"/>
      <w:r>
        <w:rPr>
          <w:b/>
          <w:sz w:val="28"/>
          <w:szCs w:val="28"/>
          <w:lang w:val="en-GB"/>
        </w:rPr>
        <w:t xml:space="preserve">6.5 </w:t>
      </w:r>
      <w:r w:rsidR="0028075A" w:rsidRPr="002B2A70">
        <w:rPr>
          <w:b/>
          <w:sz w:val="28"/>
          <w:szCs w:val="28"/>
          <w:lang w:val="en-GB"/>
        </w:rPr>
        <w:t>Control Contact Points (CCPs)</w:t>
      </w:r>
      <w:bookmarkEnd w:id="91"/>
      <w:r w:rsidR="0028075A" w:rsidRPr="002B2A70">
        <w:rPr>
          <w:b/>
          <w:sz w:val="28"/>
          <w:szCs w:val="28"/>
          <w:lang w:val="en-GB"/>
        </w:rPr>
        <w:t xml:space="preserve"> </w:t>
      </w:r>
    </w:p>
    <w:p w14:paraId="4A3E5717"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Each participating country shall appoint one CCP which will support the MA in the control tasks linked to project expenditure verification. </w:t>
      </w:r>
    </w:p>
    <w:p w14:paraId="549FE878"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The common functions to be fulfilled by each participating country through its CCPs will be to support the Managing Authority by:</w:t>
      </w:r>
    </w:p>
    <w:p w14:paraId="15A618A4" w14:textId="77777777" w:rsidR="0028075A" w:rsidRPr="00682784" w:rsidRDefault="0028075A" w:rsidP="003574FD">
      <w:pPr>
        <w:numPr>
          <w:ilvl w:val="0"/>
          <w:numId w:val="51"/>
        </w:numPr>
        <w:spacing w:before="200" w:after="0" w:line="21" w:lineRule="atLeast"/>
        <w:contextualSpacing/>
        <w:jc w:val="both"/>
        <w:rPr>
          <w:rFonts w:cs="ArialMT"/>
          <w:bCs/>
          <w:sz w:val="22"/>
          <w:szCs w:val="22"/>
          <w:lang w:val="en-GB"/>
        </w:rPr>
      </w:pPr>
      <w:proofErr w:type="gramStart"/>
      <w:r w:rsidRPr="00682784">
        <w:rPr>
          <w:rFonts w:cs="ArialMT"/>
          <w:bCs/>
          <w:sz w:val="22"/>
          <w:szCs w:val="22"/>
          <w:lang w:val="en-GB"/>
        </w:rPr>
        <w:t>assisting</w:t>
      </w:r>
      <w:proofErr w:type="gramEnd"/>
      <w:r w:rsidRPr="00682784">
        <w:rPr>
          <w:rFonts w:cs="ArialMT"/>
          <w:bCs/>
          <w:sz w:val="22"/>
          <w:szCs w:val="22"/>
          <w:lang w:val="en-GB"/>
        </w:rPr>
        <w:t xml:space="preserve"> the Managing Authority when required to carry out administrative verifications in respect of each payment request by beneficiaries (such as providing information to the Managing Authority on specific national rules, procedures etc.);</w:t>
      </w:r>
    </w:p>
    <w:p w14:paraId="200C0546" w14:textId="77777777" w:rsidR="0028075A" w:rsidRPr="00682784" w:rsidRDefault="0028075A" w:rsidP="003574FD">
      <w:pPr>
        <w:numPr>
          <w:ilvl w:val="0"/>
          <w:numId w:val="51"/>
        </w:numPr>
        <w:spacing w:before="200" w:after="0" w:line="21" w:lineRule="atLeast"/>
        <w:contextualSpacing/>
        <w:jc w:val="both"/>
        <w:rPr>
          <w:rFonts w:cs="ArialMT"/>
          <w:bCs/>
          <w:sz w:val="22"/>
          <w:szCs w:val="22"/>
          <w:lang w:val="en-GB"/>
        </w:rPr>
      </w:pPr>
      <w:r w:rsidRPr="00682784">
        <w:rPr>
          <w:rFonts w:cs="ArialMT"/>
          <w:bCs/>
          <w:sz w:val="22"/>
          <w:szCs w:val="22"/>
          <w:lang w:val="en-GB"/>
        </w:rPr>
        <w:t>accompanying the Managing Authority for the on-the-spot verifications of projects (to participate in the verification missions and facilitate checks of the organization subject to the verification);</w:t>
      </w:r>
    </w:p>
    <w:p w14:paraId="08332307" w14:textId="77777777" w:rsidR="0028075A" w:rsidRPr="00682784" w:rsidRDefault="0028075A" w:rsidP="003574FD">
      <w:pPr>
        <w:numPr>
          <w:ilvl w:val="0"/>
          <w:numId w:val="51"/>
        </w:numPr>
        <w:spacing w:before="200" w:after="0" w:line="21" w:lineRule="atLeast"/>
        <w:contextualSpacing/>
        <w:jc w:val="both"/>
        <w:rPr>
          <w:rFonts w:cs="ArialMT"/>
          <w:bCs/>
          <w:sz w:val="22"/>
          <w:szCs w:val="22"/>
          <w:lang w:val="en-GB"/>
        </w:rPr>
      </w:pPr>
      <w:proofErr w:type="gramStart"/>
      <w:r w:rsidRPr="00682784">
        <w:rPr>
          <w:rFonts w:cs="ArialMT"/>
          <w:bCs/>
          <w:sz w:val="22"/>
          <w:szCs w:val="22"/>
          <w:lang w:val="en-GB"/>
        </w:rPr>
        <w:t>ensuring</w:t>
      </w:r>
      <w:proofErr w:type="gramEnd"/>
      <w:r w:rsidRPr="00682784">
        <w:rPr>
          <w:rFonts w:cs="ArialMT"/>
          <w:bCs/>
          <w:sz w:val="22"/>
          <w:szCs w:val="22"/>
          <w:lang w:val="en-GB"/>
        </w:rPr>
        <w:t xml:space="preserve"> that the expenditure declared by the beneficiaries in support of a request for payment is examined by a controller meeting the criteria set out in the ENI CBC Implementing Rules. Specific procedures for the organization of expenditure verification will be put in place in each country, (such as the validation of compliance with the ENI CBC Implementing Rules criteria, performing the expenditure verification with its own controllers or setting up a long list or a short list of external independent auditors if the case). These procedures will be included in the description of the programme management and control systems;</w:t>
      </w:r>
    </w:p>
    <w:p w14:paraId="2CD379CB" w14:textId="77777777" w:rsidR="0028075A" w:rsidRPr="00682784" w:rsidRDefault="0028075A" w:rsidP="003574FD">
      <w:pPr>
        <w:numPr>
          <w:ilvl w:val="0"/>
          <w:numId w:val="51"/>
        </w:numPr>
        <w:spacing w:before="200" w:after="0" w:line="21" w:lineRule="atLeast"/>
        <w:contextualSpacing/>
        <w:jc w:val="both"/>
        <w:rPr>
          <w:rFonts w:cs="ArialMT"/>
          <w:bCs/>
          <w:sz w:val="22"/>
          <w:szCs w:val="22"/>
          <w:lang w:val="en-GB"/>
        </w:rPr>
      </w:pPr>
      <w:proofErr w:type="gramStart"/>
      <w:r w:rsidRPr="00682784">
        <w:rPr>
          <w:rFonts w:cs="ArialMT"/>
          <w:bCs/>
          <w:sz w:val="22"/>
          <w:szCs w:val="22"/>
          <w:lang w:val="en-GB"/>
        </w:rPr>
        <w:t>supporting</w:t>
      </w:r>
      <w:proofErr w:type="gramEnd"/>
      <w:r w:rsidRPr="00682784">
        <w:rPr>
          <w:rFonts w:cs="ArialMT"/>
          <w:bCs/>
          <w:sz w:val="22"/>
          <w:szCs w:val="22"/>
          <w:lang w:val="en-GB"/>
        </w:rPr>
        <w:t xml:space="preserve"> the Managing Authority in training the controllers.</w:t>
      </w:r>
    </w:p>
    <w:p w14:paraId="47F427B4" w14:textId="77777777" w:rsidR="006259DB" w:rsidRPr="00682784" w:rsidRDefault="006259DB" w:rsidP="003574FD">
      <w:pPr>
        <w:spacing w:line="21" w:lineRule="atLeast"/>
        <w:contextualSpacing/>
        <w:jc w:val="both"/>
        <w:rPr>
          <w:rFonts w:cs="ArialMT"/>
          <w:bCs/>
          <w:sz w:val="22"/>
          <w:szCs w:val="22"/>
          <w:lang w:val="en-GB"/>
        </w:rPr>
      </w:pPr>
    </w:p>
    <w:p w14:paraId="7CA3FEC0" w14:textId="77777777" w:rsidR="0028075A" w:rsidRPr="00682784" w:rsidRDefault="0028075A" w:rsidP="003574FD">
      <w:pPr>
        <w:spacing w:line="21" w:lineRule="atLeast"/>
        <w:contextualSpacing/>
        <w:jc w:val="both"/>
        <w:rPr>
          <w:rFonts w:cs="ArialMT"/>
          <w:bCs/>
          <w:sz w:val="22"/>
          <w:szCs w:val="22"/>
          <w:lang w:val="en-GB"/>
        </w:rPr>
      </w:pPr>
      <w:r w:rsidRPr="00682784">
        <w:rPr>
          <w:rFonts w:cs="ArialMT"/>
          <w:bCs/>
          <w:sz w:val="22"/>
          <w:szCs w:val="22"/>
          <w:lang w:val="en-GB"/>
        </w:rPr>
        <w:t>The institutions hosting the CCPs in each participating country are:</w:t>
      </w:r>
    </w:p>
    <w:p w14:paraId="3A710E33" w14:textId="77777777" w:rsidR="001B4536" w:rsidRPr="00682784" w:rsidRDefault="001B4536" w:rsidP="003574FD">
      <w:pPr>
        <w:spacing w:line="21" w:lineRule="atLeast"/>
        <w:contextualSpacing/>
        <w:jc w:val="both"/>
        <w:rPr>
          <w:rFonts w:cs="ArialMT"/>
          <w:bCs/>
          <w:sz w:val="22"/>
          <w:szCs w:val="22"/>
          <w:lang w:val="en-GB"/>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712"/>
        <w:gridCol w:w="3930"/>
        <w:gridCol w:w="4871"/>
      </w:tblGrid>
      <w:tr w:rsidR="0028075A" w:rsidRPr="007A75D3" w14:paraId="7513CA2C" w14:textId="77777777" w:rsidTr="00AE578C">
        <w:tc>
          <w:tcPr>
            <w:tcW w:w="1712" w:type="dxa"/>
            <w:tcBorders>
              <w:top w:val="nil"/>
              <w:left w:val="nil"/>
              <w:bottom w:val="single" w:sz="4" w:space="0" w:color="8EAADB"/>
              <w:right w:val="nil"/>
            </w:tcBorders>
            <w:shd w:val="clear" w:color="auto" w:fill="FFFFFF"/>
            <w:vAlign w:val="center"/>
          </w:tcPr>
          <w:p w14:paraId="1E3A9D83"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Country</w:t>
            </w:r>
          </w:p>
        </w:tc>
        <w:tc>
          <w:tcPr>
            <w:tcW w:w="3930" w:type="dxa"/>
            <w:tcBorders>
              <w:top w:val="nil"/>
              <w:left w:val="nil"/>
              <w:right w:val="nil"/>
            </w:tcBorders>
            <w:shd w:val="clear" w:color="auto" w:fill="FFFFFF"/>
            <w:vAlign w:val="center"/>
          </w:tcPr>
          <w:p w14:paraId="49B95C0B"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Institution</w:t>
            </w:r>
          </w:p>
        </w:tc>
        <w:tc>
          <w:tcPr>
            <w:tcW w:w="4871" w:type="dxa"/>
            <w:tcBorders>
              <w:top w:val="nil"/>
              <w:left w:val="nil"/>
              <w:right w:val="nil"/>
            </w:tcBorders>
            <w:shd w:val="clear" w:color="auto" w:fill="FFFFFF"/>
            <w:vAlign w:val="center"/>
          </w:tcPr>
          <w:p w14:paraId="670CE756"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7A75D3">
              <w:rPr>
                <w:rFonts w:eastAsia="Calibri"/>
                <w:b/>
                <w:bCs/>
                <w:iCs/>
                <w:color w:val="2F5496"/>
                <w:sz w:val="22"/>
                <w:szCs w:val="22"/>
              </w:rPr>
              <w:t>Department</w:t>
            </w:r>
            <w:proofErr w:type="spellEnd"/>
          </w:p>
        </w:tc>
      </w:tr>
      <w:tr w:rsidR="0028075A" w:rsidRPr="00B71347" w14:paraId="74513714" w14:textId="77777777" w:rsidTr="00A656C6">
        <w:tc>
          <w:tcPr>
            <w:tcW w:w="1712" w:type="dxa"/>
            <w:tcBorders>
              <w:top w:val="nil"/>
              <w:left w:val="nil"/>
              <w:bottom w:val="nil"/>
            </w:tcBorders>
            <w:shd w:val="clear" w:color="auto" w:fill="FFFFFF"/>
            <w:vAlign w:val="center"/>
          </w:tcPr>
          <w:p w14:paraId="133FE476"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Armenia</w:t>
            </w:r>
          </w:p>
        </w:tc>
        <w:tc>
          <w:tcPr>
            <w:tcW w:w="3930" w:type="dxa"/>
            <w:shd w:val="clear" w:color="auto" w:fill="D5DDFF"/>
            <w:vAlign w:val="center"/>
          </w:tcPr>
          <w:p w14:paraId="152C3AB1" w14:textId="77777777" w:rsidR="0028075A" w:rsidRPr="007A75D3" w:rsidRDefault="006D0581" w:rsidP="0040092A">
            <w:pPr>
              <w:tabs>
                <w:tab w:val="num" w:pos="426"/>
                <w:tab w:val="num" w:pos="720"/>
              </w:tabs>
              <w:spacing w:before="40" w:after="40" w:line="20" w:lineRule="atLeast"/>
              <w:rPr>
                <w:rFonts w:eastAsia="Calibri"/>
                <w:bCs/>
                <w:iCs/>
                <w:color w:val="2F5496"/>
                <w:sz w:val="22"/>
                <w:szCs w:val="22"/>
              </w:rPr>
            </w:pPr>
            <w:r>
              <w:rPr>
                <w:rFonts w:eastAsia="Calibri"/>
                <w:bCs/>
                <w:iCs/>
                <w:color w:val="2F5496"/>
                <w:sz w:val="22"/>
                <w:szCs w:val="22"/>
              </w:rPr>
              <w:t>Ministry of Finance</w:t>
            </w:r>
          </w:p>
        </w:tc>
        <w:tc>
          <w:tcPr>
            <w:tcW w:w="4871" w:type="dxa"/>
            <w:shd w:val="clear" w:color="auto" w:fill="D5DDFF"/>
            <w:vAlign w:val="center"/>
          </w:tcPr>
          <w:p w14:paraId="5CD45823" w14:textId="77777777" w:rsidR="009B4BF9" w:rsidRDefault="009B4BF9" w:rsidP="0040092A">
            <w:pPr>
              <w:tabs>
                <w:tab w:val="num" w:pos="426"/>
                <w:tab w:val="num" w:pos="720"/>
              </w:tabs>
              <w:spacing w:before="40" w:after="40" w:line="20" w:lineRule="atLeast"/>
              <w:rPr>
                <w:rFonts w:eastAsia="Calibri"/>
                <w:bCs/>
                <w:iCs/>
                <w:color w:val="2F5496"/>
                <w:sz w:val="22"/>
                <w:szCs w:val="22"/>
                <w:lang w:val="en-GB"/>
              </w:rPr>
            </w:pPr>
            <w:r>
              <w:rPr>
                <w:rFonts w:eastAsia="Calibri"/>
                <w:bCs/>
                <w:iCs/>
                <w:color w:val="2F5496"/>
                <w:sz w:val="22"/>
                <w:szCs w:val="22"/>
                <w:lang w:val="en-GB"/>
              </w:rPr>
              <w:t>International Cooperation Department</w:t>
            </w:r>
          </w:p>
          <w:p w14:paraId="59462DA0" w14:textId="77777777" w:rsidR="0028075A" w:rsidRPr="00682784" w:rsidRDefault="006D0581"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Inspectorate of Finance and Budgeting Control</w:t>
            </w:r>
          </w:p>
        </w:tc>
      </w:tr>
      <w:tr w:rsidR="0028075A" w:rsidRPr="00B71347" w14:paraId="4E863668" w14:textId="77777777" w:rsidTr="00A656C6">
        <w:tc>
          <w:tcPr>
            <w:tcW w:w="1712" w:type="dxa"/>
            <w:tcBorders>
              <w:left w:val="nil"/>
              <w:bottom w:val="nil"/>
            </w:tcBorders>
            <w:shd w:val="clear" w:color="auto" w:fill="auto"/>
            <w:vAlign w:val="center"/>
          </w:tcPr>
          <w:p w14:paraId="21A3923F"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7A75D3">
              <w:rPr>
                <w:rFonts w:eastAsia="Calibri"/>
                <w:b/>
                <w:bCs/>
                <w:iCs/>
                <w:color w:val="2F5496"/>
                <w:sz w:val="22"/>
                <w:szCs w:val="22"/>
              </w:rPr>
              <w:t>Bulgaria</w:t>
            </w:r>
            <w:proofErr w:type="spellEnd"/>
          </w:p>
        </w:tc>
        <w:tc>
          <w:tcPr>
            <w:tcW w:w="3930" w:type="dxa"/>
            <w:shd w:val="clear" w:color="auto" w:fill="auto"/>
            <w:vAlign w:val="center"/>
          </w:tcPr>
          <w:p w14:paraId="1B2E48BD" w14:textId="7CECB9E9"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 xml:space="preserve">Ministry of Regional Development </w:t>
            </w:r>
            <w:r w:rsidR="008D270D">
              <w:rPr>
                <w:rFonts w:eastAsia="Calibri"/>
                <w:bCs/>
                <w:iCs/>
                <w:color w:val="2F5496"/>
                <w:sz w:val="22"/>
                <w:szCs w:val="22"/>
                <w:lang w:val="en-GB"/>
              </w:rPr>
              <w:t>and Public Works</w:t>
            </w:r>
          </w:p>
        </w:tc>
        <w:tc>
          <w:tcPr>
            <w:tcW w:w="4871" w:type="dxa"/>
            <w:shd w:val="clear" w:color="auto" w:fill="auto"/>
            <w:vAlign w:val="center"/>
          </w:tcPr>
          <w:p w14:paraId="59A949EF" w14:textId="77777777" w:rsidR="0028075A" w:rsidRPr="00682784" w:rsidRDefault="0028075A" w:rsidP="0040092A">
            <w:pPr>
              <w:autoSpaceDE w:val="0"/>
              <w:autoSpaceDN w:val="0"/>
              <w:adjustRightInd w:val="0"/>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Financial Management and Control Department, Legislation and Irregularities Department, Directorate General Territorial Cooperation Management</w:t>
            </w:r>
          </w:p>
        </w:tc>
      </w:tr>
      <w:tr w:rsidR="0028075A" w:rsidRPr="00881B89" w14:paraId="1E1672F8" w14:textId="77777777" w:rsidTr="00A656C6">
        <w:tc>
          <w:tcPr>
            <w:tcW w:w="1712" w:type="dxa"/>
            <w:tcBorders>
              <w:left w:val="nil"/>
              <w:bottom w:val="nil"/>
            </w:tcBorders>
            <w:shd w:val="clear" w:color="auto" w:fill="FFFFFF"/>
            <w:vAlign w:val="center"/>
          </w:tcPr>
          <w:p w14:paraId="0DE212CB"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Georgia</w:t>
            </w:r>
          </w:p>
        </w:tc>
        <w:tc>
          <w:tcPr>
            <w:tcW w:w="3930" w:type="dxa"/>
            <w:shd w:val="clear" w:color="auto" w:fill="D5DDFF"/>
            <w:vAlign w:val="center"/>
          </w:tcPr>
          <w:p w14:paraId="34F7B583"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Office of the State Minister of Georgia on European and Euro-Atlantic Integration</w:t>
            </w:r>
          </w:p>
        </w:tc>
        <w:tc>
          <w:tcPr>
            <w:tcW w:w="4871" w:type="dxa"/>
            <w:shd w:val="clear" w:color="auto" w:fill="D5DDFF"/>
            <w:vAlign w:val="center"/>
          </w:tcPr>
          <w:p w14:paraId="47DA55B2" w14:textId="54C37E56" w:rsidR="0028075A" w:rsidRPr="00682784" w:rsidRDefault="0028075A" w:rsidP="00C756AB">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Administration Department</w:t>
            </w:r>
          </w:p>
        </w:tc>
      </w:tr>
      <w:tr w:rsidR="0028075A" w:rsidRPr="00B71347" w14:paraId="73046D78" w14:textId="77777777" w:rsidTr="00A656C6">
        <w:tc>
          <w:tcPr>
            <w:tcW w:w="1712" w:type="dxa"/>
            <w:tcBorders>
              <w:left w:val="nil"/>
              <w:bottom w:val="nil"/>
            </w:tcBorders>
            <w:shd w:val="clear" w:color="auto" w:fill="auto"/>
            <w:vAlign w:val="center"/>
          </w:tcPr>
          <w:p w14:paraId="5E455DBF"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7A75D3">
              <w:rPr>
                <w:rFonts w:eastAsia="Calibri"/>
                <w:b/>
                <w:bCs/>
                <w:iCs/>
                <w:color w:val="2F5496"/>
                <w:sz w:val="22"/>
                <w:szCs w:val="22"/>
              </w:rPr>
              <w:t>Greece</w:t>
            </w:r>
            <w:proofErr w:type="spellEnd"/>
          </w:p>
        </w:tc>
        <w:tc>
          <w:tcPr>
            <w:tcW w:w="3930" w:type="dxa"/>
            <w:shd w:val="clear" w:color="auto" w:fill="auto"/>
            <w:vAlign w:val="center"/>
          </w:tcPr>
          <w:p w14:paraId="262A576F" w14:textId="6DDC86ED"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 xml:space="preserve">Single Paying Authority, Ministry of </w:t>
            </w:r>
            <w:r w:rsidR="00833928">
              <w:rPr>
                <w:rFonts w:eastAsia="Times New Roman"/>
                <w:bCs/>
                <w:iCs/>
                <w:color w:val="2F5496"/>
                <w:sz w:val="22"/>
                <w:szCs w:val="22"/>
                <w:lang w:val="en-GB"/>
              </w:rPr>
              <w:t>Economy, Infrastructure, Maritime and Tourism</w:t>
            </w:r>
          </w:p>
        </w:tc>
        <w:tc>
          <w:tcPr>
            <w:tcW w:w="4871" w:type="dxa"/>
            <w:shd w:val="clear" w:color="auto" w:fill="auto"/>
            <w:vAlign w:val="center"/>
          </w:tcPr>
          <w:p w14:paraId="4168F825"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Unit D, First Level Control Unit</w:t>
            </w:r>
          </w:p>
        </w:tc>
      </w:tr>
      <w:tr w:rsidR="0028075A" w:rsidRPr="002B2C50" w14:paraId="5A1B75A9" w14:textId="77777777" w:rsidTr="00A656C6">
        <w:tc>
          <w:tcPr>
            <w:tcW w:w="1712" w:type="dxa"/>
            <w:tcBorders>
              <w:left w:val="nil"/>
              <w:bottom w:val="nil"/>
            </w:tcBorders>
            <w:shd w:val="clear" w:color="auto" w:fill="FFFFFF"/>
            <w:vAlign w:val="center"/>
          </w:tcPr>
          <w:p w14:paraId="0BE8801F"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7A75D3">
              <w:rPr>
                <w:rFonts w:eastAsia="Calibri"/>
                <w:b/>
                <w:bCs/>
                <w:iCs/>
                <w:color w:val="2F5496"/>
                <w:sz w:val="22"/>
                <w:szCs w:val="22"/>
              </w:rPr>
              <w:t>Republic</w:t>
            </w:r>
            <w:proofErr w:type="spellEnd"/>
            <w:r w:rsidRPr="007A75D3">
              <w:rPr>
                <w:rFonts w:eastAsia="Calibri"/>
                <w:b/>
                <w:bCs/>
                <w:iCs/>
                <w:color w:val="2F5496"/>
                <w:sz w:val="22"/>
                <w:szCs w:val="22"/>
              </w:rPr>
              <w:t xml:space="preserve"> of Moldova</w:t>
            </w:r>
          </w:p>
        </w:tc>
        <w:tc>
          <w:tcPr>
            <w:tcW w:w="3930" w:type="dxa"/>
            <w:shd w:val="clear" w:color="auto" w:fill="D5DDFF"/>
            <w:vAlign w:val="center"/>
          </w:tcPr>
          <w:p w14:paraId="7187CB8C" w14:textId="77777777" w:rsidR="0028075A" w:rsidRPr="007A75D3" w:rsidRDefault="0028075A" w:rsidP="0040092A">
            <w:pPr>
              <w:tabs>
                <w:tab w:val="num" w:pos="426"/>
                <w:tab w:val="num" w:pos="720"/>
              </w:tabs>
              <w:spacing w:before="40" w:after="40" w:line="20" w:lineRule="atLeast"/>
              <w:rPr>
                <w:rFonts w:eastAsia="Calibri"/>
                <w:bCs/>
                <w:iCs/>
                <w:color w:val="2F5496"/>
                <w:sz w:val="22"/>
                <w:szCs w:val="22"/>
              </w:rPr>
            </w:pPr>
            <w:r w:rsidRPr="007A75D3">
              <w:rPr>
                <w:rFonts w:eastAsia="Calibri"/>
                <w:bCs/>
                <w:iCs/>
                <w:color w:val="2F5496"/>
                <w:sz w:val="22"/>
                <w:szCs w:val="22"/>
              </w:rPr>
              <w:t>Ministry of Finance</w:t>
            </w:r>
          </w:p>
        </w:tc>
        <w:tc>
          <w:tcPr>
            <w:tcW w:w="4871" w:type="dxa"/>
            <w:shd w:val="clear" w:color="auto" w:fill="D5DDFF"/>
            <w:vAlign w:val="center"/>
          </w:tcPr>
          <w:p w14:paraId="0198B319" w14:textId="77777777" w:rsidR="0028075A" w:rsidRPr="007A75D3" w:rsidRDefault="0028075A" w:rsidP="0040092A">
            <w:pPr>
              <w:tabs>
                <w:tab w:val="num" w:pos="426"/>
                <w:tab w:val="num" w:pos="720"/>
              </w:tabs>
              <w:spacing w:before="40" w:after="40" w:line="20" w:lineRule="atLeast"/>
              <w:rPr>
                <w:rFonts w:eastAsia="Calibri"/>
                <w:bCs/>
                <w:iCs/>
                <w:color w:val="2F5496"/>
                <w:sz w:val="22"/>
                <w:szCs w:val="22"/>
              </w:rPr>
            </w:pPr>
            <w:r w:rsidRPr="007A75D3">
              <w:rPr>
                <w:rFonts w:eastAsia="Calibri"/>
                <w:bCs/>
                <w:iCs/>
                <w:color w:val="2F5496"/>
                <w:sz w:val="22"/>
                <w:szCs w:val="22"/>
              </w:rPr>
              <w:t xml:space="preserve">International </w:t>
            </w:r>
            <w:proofErr w:type="spellStart"/>
            <w:r w:rsidRPr="007A75D3">
              <w:rPr>
                <w:rFonts w:eastAsia="Calibri"/>
                <w:bCs/>
                <w:iCs/>
                <w:color w:val="2F5496"/>
                <w:sz w:val="22"/>
                <w:szCs w:val="22"/>
              </w:rPr>
              <w:t>Cooperation</w:t>
            </w:r>
            <w:proofErr w:type="spellEnd"/>
            <w:r w:rsidRPr="007A75D3">
              <w:rPr>
                <w:rFonts w:eastAsia="Calibri"/>
                <w:bCs/>
                <w:iCs/>
                <w:color w:val="2F5496"/>
                <w:sz w:val="22"/>
                <w:szCs w:val="22"/>
              </w:rPr>
              <w:t xml:space="preserve"> </w:t>
            </w:r>
            <w:proofErr w:type="spellStart"/>
            <w:r w:rsidRPr="007A75D3">
              <w:rPr>
                <w:rFonts w:eastAsia="Calibri"/>
                <w:bCs/>
                <w:iCs/>
                <w:color w:val="2F5496"/>
                <w:sz w:val="22"/>
                <w:szCs w:val="22"/>
              </w:rPr>
              <w:t>Directorate</w:t>
            </w:r>
            <w:proofErr w:type="spellEnd"/>
          </w:p>
        </w:tc>
      </w:tr>
      <w:tr w:rsidR="0028075A" w:rsidRPr="002B2C50" w14:paraId="2F749F9B" w14:textId="77777777" w:rsidTr="00A656C6">
        <w:tc>
          <w:tcPr>
            <w:tcW w:w="1712" w:type="dxa"/>
            <w:tcBorders>
              <w:left w:val="nil"/>
              <w:bottom w:val="nil"/>
            </w:tcBorders>
            <w:shd w:val="clear" w:color="auto" w:fill="auto"/>
            <w:vAlign w:val="center"/>
          </w:tcPr>
          <w:p w14:paraId="6A7DBB58"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Romania</w:t>
            </w:r>
          </w:p>
        </w:tc>
        <w:tc>
          <w:tcPr>
            <w:tcW w:w="3930" w:type="dxa"/>
            <w:shd w:val="clear" w:color="auto" w:fill="auto"/>
            <w:vAlign w:val="center"/>
          </w:tcPr>
          <w:p w14:paraId="74891A4C"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Ministry of Regional Development and Public Administration</w:t>
            </w:r>
          </w:p>
        </w:tc>
        <w:tc>
          <w:tcPr>
            <w:tcW w:w="4871" w:type="dxa"/>
            <w:shd w:val="clear" w:color="auto" w:fill="auto"/>
            <w:vAlign w:val="center"/>
          </w:tcPr>
          <w:p w14:paraId="4AC2D510" w14:textId="77777777" w:rsidR="0028075A" w:rsidRPr="007A75D3" w:rsidRDefault="0028075A" w:rsidP="0040092A">
            <w:pPr>
              <w:tabs>
                <w:tab w:val="num" w:pos="426"/>
                <w:tab w:val="num" w:pos="720"/>
              </w:tabs>
              <w:spacing w:before="40" w:after="40" w:line="20" w:lineRule="atLeast"/>
              <w:rPr>
                <w:rFonts w:eastAsia="Calibri"/>
                <w:bCs/>
                <w:iCs/>
                <w:color w:val="2F5496"/>
                <w:sz w:val="22"/>
                <w:szCs w:val="22"/>
              </w:rPr>
            </w:pPr>
            <w:proofErr w:type="spellStart"/>
            <w:r w:rsidRPr="007A75D3">
              <w:rPr>
                <w:rFonts w:eastAsia="Calibri"/>
                <w:bCs/>
                <w:iCs/>
                <w:color w:val="2F5496"/>
                <w:sz w:val="22"/>
                <w:szCs w:val="22"/>
              </w:rPr>
              <w:t>Directorate</w:t>
            </w:r>
            <w:proofErr w:type="spellEnd"/>
            <w:r w:rsidRPr="007A75D3">
              <w:rPr>
                <w:rFonts w:eastAsia="Calibri"/>
                <w:bCs/>
                <w:iCs/>
                <w:color w:val="2F5496"/>
                <w:sz w:val="22"/>
                <w:szCs w:val="22"/>
              </w:rPr>
              <w:t xml:space="preserve"> First </w:t>
            </w:r>
            <w:proofErr w:type="spellStart"/>
            <w:r w:rsidRPr="007A75D3">
              <w:rPr>
                <w:rFonts w:eastAsia="Calibri"/>
                <w:bCs/>
                <w:iCs/>
                <w:color w:val="2F5496"/>
                <w:sz w:val="22"/>
                <w:szCs w:val="22"/>
              </w:rPr>
              <w:t>Level</w:t>
            </w:r>
            <w:proofErr w:type="spellEnd"/>
            <w:r w:rsidRPr="007A75D3">
              <w:rPr>
                <w:rFonts w:eastAsia="Calibri"/>
                <w:bCs/>
                <w:iCs/>
                <w:color w:val="2F5496"/>
                <w:sz w:val="22"/>
                <w:szCs w:val="22"/>
              </w:rPr>
              <w:t xml:space="preserve"> Control</w:t>
            </w:r>
          </w:p>
        </w:tc>
      </w:tr>
      <w:tr w:rsidR="0028075A" w:rsidRPr="00B71347" w14:paraId="7EC2E0DE" w14:textId="77777777" w:rsidTr="00A656C6">
        <w:tc>
          <w:tcPr>
            <w:tcW w:w="1712" w:type="dxa"/>
            <w:tcBorders>
              <w:left w:val="nil"/>
              <w:bottom w:val="nil"/>
            </w:tcBorders>
            <w:shd w:val="clear" w:color="auto" w:fill="FFFFFF"/>
            <w:vAlign w:val="center"/>
          </w:tcPr>
          <w:p w14:paraId="281BBA27"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proofErr w:type="spellStart"/>
            <w:r w:rsidRPr="007A75D3">
              <w:rPr>
                <w:rFonts w:eastAsia="Calibri"/>
                <w:b/>
                <w:bCs/>
                <w:iCs/>
                <w:color w:val="2F5496"/>
                <w:sz w:val="22"/>
                <w:szCs w:val="22"/>
              </w:rPr>
              <w:t>Turkey</w:t>
            </w:r>
            <w:proofErr w:type="spellEnd"/>
          </w:p>
        </w:tc>
        <w:tc>
          <w:tcPr>
            <w:tcW w:w="3930" w:type="dxa"/>
            <w:shd w:val="clear" w:color="auto" w:fill="D5DDFF"/>
            <w:vAlign w:val="center"/>
          </w:tcPr>
          <w:p w14:paraId="4AC13086" w14:textId="33839CBE"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Ministry for EU Affairs, Turkey</w:t>
            </w:r>
          </w:p>
        </w:tc>
        <w:tc>
          <w:tcPr>
            <w:tcW w:w="4871" w:type="dxa"/>
            <w:shd w:val="clear" w:color="auto" w:fill="D5DDFF"/>
            <w:vAlign w:val="center"/>
          </w:tcPr>
          <w:p w14:paraId="706F7405" w14:textId="77777777" w:rsidR="0028075A" w:rsidRPr="00682784" w:rsidRDefault="0028075A" w:rsidP="0040092A">
            <w:pPr>
              <w:tabs>
                <w:tab w:val="num" w:pos="426"/>
                <w:tab w:val="num" w:pos="720"/>
              </w:tabs>
              <w:spacing w:before="40" w:after="40" w:line="20" w:lineRule="atLeast"/>
              <w:rPr>
                <w:rFonts w:eastAsia="Calibri"/>
                <w:bCs/>
                <w:iCs/>
                <w:color w:val="2F5496"/>
                <w:sz w:val="22"/>
                <w:szCs w:val="22"/>
                <w:lang w:val="en-GB"/>
              </w:rPr>
            </w:pPr>
            <w:r w:rsidRPr="00682784">
              <w:rPr>
                <w:rFonts w:eastAsia="Calibri"/>
                <w:bCs/>
                <w:iCs/>
                <w:color w:val="2F5496"/>
                <w:sz w:val="22"/>
                <w:szCs w:val="22"/>
                <w:lang w:val="en-GB"/>
              </w:rPr>
              <w:t>Financial Cooperation Directorate, Monitoring and Evaluation Unit</w:t>
            </w:r>
          </w:p>
        </w:tc>
      </w:tr>
      <w:tr w:rsidR="0028075A" w:rsidRPr="002B2C50" w14:paraId="5D7DDE60" w14:textId="77777777" w:rsidTr="00A656C6">
        <w:tc>
          <w:tcPr>
            <w:tcW w:w="1712" w:type="dxa"/>
            <w:tcBorders>
              <w:left w:val="nil"/>
              <w:bottom w:val="nil"/>
            </w:tcBorders>
            <w:shd w:val="clear" w:color="auto" w:fill="auto"/>
            <w:vAlign w:val="center"/>
          </w:tcPr>
          <w:p w14:paraId="1539AAFF" w14:textId="77777777" w:rsidR="0028075A" w:rsidRPr="007A75D3" w:rsidRDefault="0028075A" w:rsidP="0040092A">
            <w:pPr>
              <w:tabs>
                <w:tab w:val="num" w:pos="426"/>
                <w:tab w:val="num" w:pos="720"/>
              </w:tabs>
              <w:spacing w:before="40" w:after="40" w:line="20" w:lineRule="atLeast"/>
              <w:rPr>
                <w:rFonts w:eastAsia="Calibri"/>
                <w:b/>
                <w:bCs/>
                <w:iCs/>
                <w:color w:val="2F5496"/>
                <w:sz w:val="22"/>
                <w:szCs w:val="22"/>
              </w:rPr>
            </w:pPr>
            <w:r w:rsidRPr="007A75D3">
              <w:rPr>
                <w:rFonts w:eastAsia="Calibri"/>
                <w:b/>
                <w:bCs/>
                <w:iCs/>
                <w:color w:val="2F5496"/>
                <w:sz w:val="22"/>
                <w:szCs w:val="22"/>
              </w:rPr>
              <w:t>Ukraine</w:t>
            </w:r>
          </w:p>
        </w:tc>
        <w:tc>
          <w:tcPr>
            <w:tcW w:w="3930" w:type="dxa"/>
            <w:shd w:val="clear" w:color="auto" w:fill="auto"/>
            <w:vAlign w:val="center"/>
          </w:tcPr>
          <w:p w14:paraId="6061C656" w14:textId="2A5900E2" w:rsidR="0028075A" w:rsidRPr="007A75D3" w:rsidRDefault="00C65563" w:rsidP="0040092A">
            <w:pPr>
              <w:tabs>
                <w:tab w:val="num" w:pos="426"/>
                <w:tab w:val="num" w:pos="720"/>
              </w:tabs>
              <w:spacing w:before="40" w:after="40" w:line="20" w:lineRule="atLeast"/>
              <w:rPr>
                <w:rFonts w:eastAsia="Calibri"/>
                <w:bCs/>
                <w:iCs/>
                <w:color w:val="2F5496"/>
                <w:sz w:val="22"/>
                <w:szCs w:val="22"/>
              </w:rPr>
            </w:pPr>
            <w:r w:rsidRPr="007A75D3">
              <w:rPr>
                <w:rFonts w:eastAsia="Calibri"/>
                <w:bCs/>
                <w:iCs/>
                <w:color w:val="2F5496"/>
                <w:sz w:val="22"/>
                <w:szCs w:val="22"/>
              </w:rPr>
              <w:t>Ministry of Finance</w:t>
            </w:r>
          </w:p>
        </w:tc>
        <w:tc>
          <w:tcPr>
            <w:tcW w:w="4871" w:type="dxa"/>
            <w:shd w:val="clear" w:color="auto" w:fill="auto"/>
            <w:vAlign w:val="center"/>
          </w:tcPr>
          <w:p w14:paraId="2202B8F2" w14:textId="77777777" w:rsidR="0028075A" w:rsidRPr="007A75D3" w:rsidRDefault="0028075A" w:rsidP="0040092A">
            <w:pPr>
              <w:tabs>
                <w:tab w:val="num" w:pos="426"/>
                <w:tab w:val="num" w:pos="720"/>
              </w:tabs>
              <w:spacing w:before="40" w:after="40" w:line="20" w:lineRule="atLeast"/>
              <w:rPr>
                <w:rFonts w:eastAsia="Calibri"/>
                <w:bCs/>
                <w:iCs/>
                <w:color w:val="2F5496"/>
                <w:sz w:val="22"/>
                <w:szCs w:val="22"/>
              </w:rPr>
            </w:pPr>
          </w:p>
        </w:tc>
      </w:tr>
    </w:tbl>
    <w:p w14:paraId="40C8E723" w14:textId="77777777" w:rsidR="0028075A" w:rsidRPr="002B2C50" w:rsidRDefault="0028075A" w:rsidP="003574FD">
      <w:pPr>
        <w:tabs>
          <w:tab w:val="left" w:pos="284"/>
        </w:tabs>
        <w:spacing w:line="21" w:lineRule="atLeast"/>
        <w:ind w:left="284" w:hanging="284"/>
        <w:rPr>
          <w:rFonts w:cs="Arial"/>
          <w:b/>
          <w:bCs/>
          <w:iCs/>
          <w:color w:val="8DB3E2"/>
        </w:rPr>
      </w:pPr>
    </w:p>
    <w:p w14:paraId="4B5FAA06" w14:textId="4219A26A" w:rsidR="007A7F92" w:rsidRPr="007A7F92" w:rsidRDefault="007A7F92" w:rsidP="007A7F92">
      <w:pPr>
        <w:spacing w:before="200" w:after="0" w:line="21" w:lineRule="atLeast"/>
        <w:contextualSpacing/>
        <w:jc w:val="both"/>
        <w:rPr>
          <w:rFonts w:cs="ArialMT"/>
          <w:bCs/>
          <w:sz w:val="22"/>
          <w:szCs w:val="22"/>
          <w:lang w:val="en-GB"/>
        </w:rPr>
      </w:pPr>
      <w:bookmarkStart w:id="92" w:name="_Toc423436301"/>
      <w:r w:rsidRPr="007A7F92">
        <w:rPr>
          <w:rFonts w:cs="ArialMT"/>
          <w:bCs/>
          <w:sz w:val="22"/>
          <w:szCs w:val="22"/>
          <w:lang w:val="en-GB"/>
        </w:rPr>
        <w:t xml:space="preserve">In Romania, </w:t>
      </w:r>
      <w:r>
        <w:rPr>
          <w:rFonts w:cs="ArialMT"/>
          <w:bCs/>
          <w:sz w:val="22"/>
          <w:szCs w:val="22"/>
          <w:lang w:val="en-GB"/>
        </w:rPr>
        <w:t>although the same institution hosts the MA</w:t>
      </w:r>
      <w:r w:rsidR="007A6AE3">
        <w:rPr>
          <w:rFonts w:cs="ArialMT"/>
          <w:bCs/>
          <w:sz w:val="22"/>
          <w:szCs w:val="22"/>
          <w:lang w:val="en-GB"/>
        </w:rPr>
        <w:t>, NA</w:t>
      </w:r>
      <w:r>
        <w:rPr>
          <w:rFonts w:cs="ArialMT"/>
          <w:bCs/>
          <w:sz w:val="22"/>
          <w:szCs w:val="22"/>
          <w:lang w:val="en-GB"/>
        </w:rPr>
        <w:t xml:space="preserve"> and the CCP, the tasks of each Programme body are fulfilled by separate departments, which are operationally independent, as presented in section 6.2 and current section.</w:t>
      </w:r>
    </w:p>
    <w:p w14:paraId="300A9580" w14:textId="143750A9" w:rsidR="007A7F92" w:rsidRDefault="00F67F4E" w:rsidP="003574FD">
      <w:pPr>
        <w:pStyle w:val="Heading3"/>
        <w:spacing w:before="240" w:after="240" w:line="21" w:lineRule="atLeast"/>
        <w:rPr>
          <w:b/>
          <w:sz w:val="28"/>
          <w:szCs w:val="28"/>
          <w:lang w:val="en-GB"/>
        </w:rPr>
      </w:pPr>
      <w:r w:rsidRPr="00F67F4E">
        <w:rPr>
          <w:b/>
          <w:sz w:val="28"/>
          <w:szCs w:val="28"/>
          <w:lang w:val="en-GB"/>
        </w:rPr>
        <w:object w:dxaOrig="7201" w:dyaOrig="5399" w14:anchorId="3DF0CF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39.6pt" o:ole="">
            <v:imagedata r:id="rId70" o:title=""/>
          </v:shape>
          <o:OLEObject Type="Embed" ProgID="PowerPoint.Show.8" ShapeID="_x0000_i1025" DrawAspect="Content" ObjectID="_1509793562" r:id="rId71"/>
        </w:object>
      </w:r>
    </w:p>
    <w:p w14:paraId="7657F085" w14:textId="34B4AE8F" w:rsidR="0028075A" w:rsidRPr="00D32553" w:rsidRDefault="006377FF" w:rsidP="003574FD">
      <w:pPr>
        <w:pStyle w:val="Heading3"/>
        <w:spacing w:before="240" w:after="240" w:line="21" w:lineRule="atLeast"/>
        <w:rPr>
          <w:b/>
          <w:sz w:val="28"/>
          <w:szCs w:val="28"/>
          <w:lang w:val="en-GB"/>
        </w:rPr>
      </w:pPr>
      <w:r>
        <w:rPr>
          <w:b/>
          <w:sz w:val="28"/>
          <w:szCs w:val="28"/>
          <w:lang w:val="en-GB"/>
        </w:rPr>
        <w:t xml:space="preserve">6.6 </w:t>
      </w:r>
      <w:r w:rsidR="0028075A" w:rsidRPr="002B2A70">
        <w:rPr>
          <w:b/>
          <w:sz w:val="28"/>
          <w:szCs w:val="28"/>
          <w:lang w:val="en-GB"/>
        </w:rPr>
        <w:t>Joint Technical Secretariat (JTS)</w:t>
      </w:r>
      <w:bookmarkEnd w:id="92"/>
      <w:r w:rsidR="0028075A" w:rsidRPr="002B2A70">
        <w:rPr>
          <w:b/>
          <w:sz w:val="28"/>
          <w:szCs w:val="28"/>
          <w:lang w:val="en-GB"/>
        </w:rPr>
        <w:t xml:space="preserve"> </w:t>
      </w:r>
      <w:r w:rsidR="00D32553" w:rsidRPr="00D32553">
        <w:rPr>
          <w:sz w:val="28"/>
          <w:szCs w:val="28"/>
          <w:lang w:val="en-GB"/>
        </w:rPr>
        <w:t>(Article 27 of ENI CBC I</w:t>
      </w:r>
      <w:r w:rsidR="00D32553">
        <w:rPr>
          <w:sz w:val="28"/>
          <w:szCs w:val="28"/>
          <w:lang w:val="en-GB"/>
        </w:rPr>
        <w:t xml:space="preserve">mplementing </w:t>
      </w:r>
      <w:r w:rsidR="00D32553" w:rsidRPr="00D32553">
        <w:rPr>
          <w:sz w:val="28"/>
          <w:szCs w:val="28"/>
          <w:lang w:val="en-GB"/>
        </w:rPr>
        <w:t>R</w:t>
      </w:r>
      <w:r w:rsidR="00D32553">
        <w:rPr>
          <w:sz w:val="28"/>
          <w:szCs w:val="28"/>
          <w:lang w:val="en-GB"/>
        </w:rPr>
        <w:t>ules</w:t>
      </w:r>
      <w:r w:rsidR="00D32553" w:rsidRPr="00D32553">
        <w:rPr>
          <w:sz w:val="28"/>
          <w:szCs w:val="28"/>
          <w:lang w:val="en-GB"/>
        </w:rPr>
        <w:t>)</w:t>
      </w:r>
    </w:p>
    <w:p w14:paraId="26B3111C"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In accordance with article 20 of the ENI CBC Implementing Rules, the participating countries have appointed the South East Regional Development Agency (SERDA) to fulfil the role of Joint Technical Secretariat (JTS) described in article 27 of the same Regulation. It will be located in Constanta in the South East region of Romania. </w:t>
      </w:r>
    </w:p>
    <w:p w14:paraId="3EA41D23" w14:textId="77777777" w:rsidR="0028075A" w:rsidRPr="00094435" w:rsidRDefault="0028075A" w:rsidP="003574FD">
      <w:pPr>
        <w:spacing w:before="240" w:after="120" w:line="21" w:lineRule="atLeast"/>
        <w:jc w:val="both"/>
        <w:rPr>
          <w:b/>
          <w:lang w:val="en-GB"/>
        </w:rPr>
      </w:pPr>
      <w:r w:rsidRPr="00094435">
        <w:rPr>
          <w:b/>
          <w:lang w:val="en-GB"/>
        </w:rPr>
        <w:t xml:space="preserve">Functions </w:t>
      </w:r>
    </w:p>
    <w:p w14:paraId="38FEA9DF" w14:textId="77777777" w:rsidR="0028075A" w:rsidRPr="002B2C50" w:rsidRDefault="0028075A" w:rsidP="003574FD">
      <w:pPr>
        <w:pStyle w:val="Normaleprogram"/>
        <w:spacing w:before="200" w:line="21" w:lineRule="atLeast"/>
        <w:ind w:right="-54"/>
        <w:jc w:val="both"/>
        <w:rPr>
          <w:rFonts w:asciiTheme="minorHAnsi" w:hAnsiTheme="minorHAnsi" w:cs="ArialMT"/>
          <w:bCs/>
          <w:sz w:val="22"/>
          <w:szCs w:val="22"/>
          <w:lang w:eastAsia="ar-SA"/>
        </w:rPr>
      </w:pPr>
      <w:r w:rsidRPr="002B2C50">
        <w:rPr>
          <w:rFonts w:asciiTheme="minorHAnsi" w:hAnsiTheme="minorHAnsi" w:cs="ArialMT"/>
          <w:bCs/>
          <w:sz w:val="22"/>
          <w:szCs w:val="22"/>
          <w:lang w:eastAsia="ar-SA"/>
        </w:rPr>
        <w:t>The JTS shall assist the MA, the JMC and, where relevant, the AA in carrying out their respective functions. The</w:t>
      </w:r>
      <w:r w:rsidR="00FA59B5">
        <w:rPr>
          <w:rFonts w:asciiTheme="minorHAnsi" w:hAnsiTheme="minorHAnsi" w:cs="ArialMT"/>
          <w:bCs/>
          <w:sz w:val="22"/>
          <w:szCs w:val="22"/>
          <w:lang w:eastAsia="ar-SA"/>
        </w:rPr>
        <w:t xml:space="preserve"> main</w:t>
      </w:r>
      <w:r w:rsidRPr="002B2C50">
        <w:rPr>
          <w:rFonts w:asciiTheme="minorHAnsi" w:hAnsiTheme="minorHAnsi" w:cs="ArialMT"/>
          <w:bCs/>
          <w:sz w:val="22"/>
          <w:szCs w:val="22"/>
          <w:lang w:eastAsia="ar-SA"/>
        </w:rPr>
        <w:t xml:space="preserve"> tasks will be the following:</w:t>
      </w:r>
    </w:p>
    <w:p w14:paraId="1CC7A7E8" w14:textId="77777777" w:rsidR="0028075A" w:rsidRPr="002B2C50" w:rsidRDefault="0028075A" w:rsidP="003574FD">
      <w:pPr>
        <w:pStyle w:val="Normaleprogram"/>
        <w:spacing w:before="200" w:line="21" w:lineRule="atLeast"/>
        <w:ind w:right="-54"/>
        <w:jc w:val="both"/>
        <w:rPr>
          <w:rFonts w:asciiTheme="minorHAnsi" w:hAnsiTheme="minorHAnsi" w:cs="ArialMT"/>
          <w:bCs/>
          <w:sz w:val="22"/>
          <w:szCs w:val="22"/>
          <w:lang w:eastAsia="ar-SA"/>
        </w:rPr>
      </w:pPr>
      <w:r w:rsidRPr="002B2C50">
        <w:rPr>
          <w:rFonts w:asciiTheme="minorHAnsi" w:hAnsiTheme="minorHAnsi" w:cs="ArialMT"/>
          <w:bCs/>
          <w:sz w:val="22"/>
          <w:szCs w:val="22"/>
          <w:lang w:eastAsia="ar-SA"/>
        </w:rPr>
        <w:t>In regard to programme management:</w:t>
      </w:r>
    </w:p>
    <w:p w14:paraId="3281253B" w14:textId="77777777" w:rsidR="0028075A" w:rsidRPr="00FA59B5" w:rsidRDefault="0028075A" w:rsidP="00FA59B5">
      <w:pPr>
        <w:numPr>
          <w:ilvl w:val="0"/>
          <w:numId w:val="52"/>
        </w:numPr>
        <w:suppressAutoHyphens/>
        <w:spacing w:before="200" w:after="0" w:line="21" w:lineRule="atLeast"/>
        <w:contextualSpacing/>
        <w:jc w:val="both"/>
        <w:rPr>
          <w:rFonts w:cs="ArialMT"/>
          <w:bCs/>
          <w:sz w:val="22"/>
          <w:szCs w:val="22"/>
          <w:lang w:val="en-GB"/>
        </w:rPr>
      </w:pPr>
      <w:r w:rsidRPr="00FA59B5">
        <w:rPr>
          <w:rFonts w:cs="ArialMT"/>
          <w:bCs/>
          <w:sz w:val="22"/>
          <w:szCs w:val="22"/>
          <w:lang w:val="en-GB"/>
        </w:rPr>
        <w:t>Act as secretariat of the SC and JMC, i.e. organise the meetings, draft the minutes, prepare, implement and follow up decisions;</w:t>
      </w:r>
    </w:p>
    <w:p w14:paraId="1F7E19E2"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Contribute to the elaboration of annual implementation reports and the final report;</w:t>
      </w:r>
    </w:p>
    <w:p w14:paraId="43B3B796"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Support the MA in the implementation of the annual communication plan;</w:t>
      </w:r>
    </w:p>
    <w:p w14:paraId="6096D014" w14:textId="77777777" w:rsidR="0028075A"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Support the MA in the implementation of the monitoring and evaluation plan;</w:t>
      </w:r>
    </w:p>
    <w:p w14:paraId="2E3D38EB" w14:textId="64495AF2" w:rsidR="00D32553" w:rsidRPr="00682784" w:rsidRDefault="00D32553" w:rsidP="00D32553">
      <w:pPr>
        <w:numPr>
          <w:ilvl w:val="0"/>
          <w:numId w:val="52"/>
        </w:numPr>
        <w:suppressAutoHyphens/>
        <w:spacing w:before="200" w:after="0" w:line="21" w:lineRule="atLeast"/>
        <w:contextualSpacing/>
        <w:jc w:val="both"/>
        <w:rPr>
          <w:rFonts w:cs="ArialMT"/>
          <w:bCs/>
          <w:sz w:val="22"/>
          <w:szCs w:val="22"/>
          <w:lang w:val="en-GB"/>
        </w:rPr>
      </w:pPr>
      <w:r>
        <w:rPr>
          <w:rFonts w:cs="ArialMT"/>
          <w:bCs/>
          <w:sz w:val="22"/>
          <w:szCs w:val="22"/>
          <w:lang w:val="en-GB"/>
        </w:rPr>
        <w:lastRenderedPageBreak/>
        <w:t>Inform potential beneficiaries about funding opportunities under programme and shall assist beneficiaries in the project implementation.</w:t>
      </w:r>
    </w:p>
    <w:p w14:paraId="14B98043"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 xml:space="preserve">Ensure dissemination of project results and cooperation good practice (programme newsletter, beneficiary meetings, etc.), as well as support the MA in capitalisation activities; </w:t>
      </w:r>
    </w:p>
    <w:p w14:paraId="2B7A3A85"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Establish close links and maintain regular information flows with the NAs;</w:t>
      </w:r>
    </w:p>
    <w:p w14:paraId="0B23D24B" w14:textId="77777777" w:rsidR="0028075A" w:rsidRPr="002B2C50" w:rsidRDefault="0028075A" w:rsidP="003574FD">
      <w:pPr>
        <w:pStyle w:val="Normaleprogram"/>
        <w:spacing w:before="200" w:line="21" w:lineRule="atLeast"/>
        <w:ind w:right="-54"/>
        <w:jc w:val="both"/>
        <w:rPr>
          <w:rFonts w:asciiTheme="minorHAnsi" w:hAnsiTheme="minorHAnsi" w:cs="ArialMT"/>
          <w:bCs/>
          <w:sz w:val="22"/>
          <w:szCs w:val="22"/>
          <w:lang w:eastAsia="ar-SA"/>
        </w:rPr>
      </w:pPr>
      <w:r w:rsidRPr="002B2C50">
        <w:rPr>
          <w:rFonts w:asciiTheme="minorHAnsi" w:hAnsiTheme="minorHAnsi" w:cs="ArialMT"/>
          <w:bCs/>
          <w:sz w:val="22"/>
          <w:szCs w:val="22"/>
          <w:lang w:eastAsia="ar-SA"/>
        </w:rPr>
        <w:t>In regard to the call for proposals:</w:t>
      </w:r>
    </w:p>
    <w:p w14:paraId="78472FC7" w14:textId="77777777" w:rsidR="0028075A" w:rsidRPr="00682784" w:rsidRDefault="002C454E" w:rsidP="003574FD">
      <w:pPr>
        <w:numPr>
          <w:ilvl w:val="0"/>
          <w:numId w:val="52"/>
        </w:numPr>
        <w:suppressAutoHyphens/>
        <w:spacing w:before="200" w:after="0" w:line="21" w:lineRule="atLeast"/>
        <w:contextualSpacing/>
        <w:jc w:val="both"/>
        <w:rPr>
          <w:rFonts w:cs="ArialMT"/>
          <w:bCs/>
          <w:sz w:val="22"/>
          <w:szCs w:val="22"/>
          <w:lang w:val="en-GB"/>
        </w:rPr>
      </w:pPr>
      <w:r>
        <w:rPr>
          <w:rFonts w:cs="ArialMT"/>
          <w:bCs/>
          <w:sz w:val="22"/>
          <w:szCs w:val="22"/>
          <w:lang w:val="en-GB"/>
        </w:rPr>
        <w:t>S</w:t>
      </w:r>
      <w:r w:rsidR="0028075A" w:rsidRPr="00682784">
        <w:rPr>
          <w:rFonts w:cs="ArialMT"/>
          <w:bCs/>
          <w:sz w:val="22"/>
          <w:szCs w:val="22"/>
          <w:lang w:val="en-GB"/>
        </w:rPr>
        <w:t>upport the MA in the preparation of the application pack and relevant templates;</w:t>
      </w:r>
    </w:p>
    <w:p w14:paraId="5E00EFC2" w14:textId="77777777" w:rsidR="0028075A" w:rsidRPr="00682784" w:rsidRDefault="002C454E" w:rsidP="003574FD">
      <w:pPr>
        <w:numPr>
          <w:ilvl w:val="0"/>
          <w:numId w:val="52"/>
        </w:numPr>
        <w:suppressAutoHyphens/>
        <w:spacing w:before="200" w:after="0" w:line="21" w:lineRule="atLeast"/>
        <w:contextualSpacing/>
        <w:jc w:val="both"/>
        <w:rPr>
          <w:rFonts w:cs="ArialMT"/>
          <w:bCs/>
          <w:sz w:val="22"/>
          <w:szCs w:val="22"/>
          <w:lang w:val="en-GB"/>
        </w:rPr>
      </w:pPr>
      <w:r>
        <w:rPr>
          <w:rFonts w:cs="ArialMT"/>
          <w:bCs/>
          <w:sz w:val="22"/>
          <w:szCs w:val="22"/>
          <w:lang w:val="en-GB"/>
        </w:rPr>
        <w:t>S</w:t>
      </w:r>
      <w:r w:rsidR="0028075A" w:rsidRPr="00682784">
        <w:rPr>
          <w:rFonts w:cs="ArialMT"/>
          <w:bCs/>
          <w:sz w:val="22"/>
          <w:szCs w:val="22"/>
          <w:lang w:val="en-GB"/>
        </w:rPr>
        <w:t>upport the MA in the preparation of grant contract template and annexes;</w:t>
      </w:r>
    </w:p>
    <w:p w14:paraId="64FAD917" w14:textId="4BC6555B"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Carry out information and publicity activities to support project generation (update the web-site, provide a help-desk, organise workshops and seminars for partners search, awareness raising and capacity building for potential beneficiaries, etc.);</w:t>
      </w:r>
    </w:p>
    <w:p w14:paraId="06672B9D"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Support the MA in launching the calls for project proposals as needed;</w:t>
      </w:r>
    </w:p>
    <w:p w14:paraId="3F00DADC" w14:textId="77777777" w:rsidR="0028075A" w:rsidRPr="002B2C50" w:rsidRDefault="0028075A" w:rsidP="003574FD">
      <w:pPr>
        <w:pStyle w:val="Normaleprogram"/>
        <w:spacing w:before="200" w:line="21" w:lineRule="atLeast"/>
        <w:ind w:right="-54"/>
        <w:contextualSpacing/>
        <w:jc w:val="both"/>
        <w:rPr>
          <w:rFonts w:asciiTheme="minorHAnsi" w:hAnsiTheme="minorHAnsi" w:cs="ArialMT"/>
          <w:bCs/>
          <w:sz w:val="22"/>
          <w:szCs w:val="22"/>
          <w:lang w:eastAsia="ar-SA"/>
        </w:rPr>
      </w:pPr>
      <w:r w:rsidRPr="002B2C50">
        <w:rPr>
          <w:rFonts w:asciiTheme="minorHAnsi" w:hAnsiTheme="minorHAnsi" w:cs="ArialMT"/>
          <w:bCs/>
          <w:sz w:val="22"/>
          <w:szCs w:val="22"/>
          <w:lang w:eastAsia="ar-SA"/>
        </w:rPr>
        <w:t>In regard to the selection and management of projects:</w:t>
      </w:r>
    </w:p>
    <w:p w14:paraId="1ED905F0"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Prepare documentation for SC and JMC meetings;</w:t>
      </w:r>
    </w:p>
    <w:p w14:paraId="06C57DC4"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Carry out administrative checks of project applications, a quality check of the work carried out by the external assessors during technical and financial evaluations, prepare requests for clarification and draft reports for all the evaluation steps;</w:t>
      </w:r>
    </w:p>
    <w:p w14:paraId="617676CF"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Support the MA in the signing of grant contracts (e.g. review the project proposal and project budget with the lead beneficiary, contribute to the preparation of grant contracts, etc.)</w:t>
      </w:r>
    </w:p>
    <w:p w14:paraId="18B8BC4B"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Monitor progress, including financial progress, made by funded projects by checking financial and technical reports and requests for payments, visiting project events, carrying out on-the-spot checks and supporting the MA in Results Oriented Monitoring (ROM);</w:t>
      </w:r>
      <w:r w:rsidR="002A646D">
        <w:rPr>
          <w:rFonts w:cs="ArialMT"/>
          <w:bCs/>
          <w:sz w:val="22"/>
          <w:szCs w:val="22"/>
          <w:lang w:val="en-GB"/>
        </w:rPr>
        <w:t xml:space="preserve"> </w:t>
      </w:r>
      <w:r w:rsidR="002A646D">
        <w:rPr>
          <w:rFonts w:cs="ArialMT"/>
          <w:bCs/>
          <w:sz w:val="22"/>
          <w:szCs w:val="22"/>
          <w:lang w:val="en-US"/>
        </w:rPr>
        <w:t>provide day-to-day assistance to project beneficiaries</w:t>
      </w:r>
      <w:r w:rsidR="002A646D" w:rsidRPr="00960292">
        <w:rPr>
          <w:rFonts w:cs="ArialMT"/>
          <w:bCs/>
          <w:sz w:val="22"/>
          <w:szCs w:val="22"/>
          <w:lang w:val="en-US"/>
        </w:rPr>
        <w:t>;</w:t>
      </w:r>
    </w:p>
    <w:p w14:paraId="021C3B9A"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Support the MA in training for project beneficiaries;</w:t>
      </w:r>
    </w:p>
    <w:p w14:paraId="102738D2"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Follow-up project implementation and update the monitoring system;</w:t>
      </w:r>
    </w:p>
    <w:p w14:paraId="4BBB9AC5"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Assist the MA in the financial management of the projects, including on the spot-checks and in updating the risk analysis;</w:t>
      </w:r>
    </w:p>
    <w:p w14:paraId="772D572C" w14:textId="77777777" w:rsidR="0028075A" w:rsidRPr="00682784" w:rsidRDefault="0028075A" w:rsidP="003574FD">
      <w:pPr>
        <w:numPr>
          <w:ilvl w:val="0"/>
          <w:numId w:val="52"/>
        </w:numPr>
        <w:suppressAutoHyphens/>
        <w:spacing w:before="200" w:after="0" w:line="21" w:lineRule="atLeast"/>
        <w:contextualSpacing/>
        <w:jc w:val="both"/>
        <w:rPr>
          <w:rFonts w:cs="ArialMT"/>
          <w:bCs/>
          <w:sz w:val="22"/>
          <w:szCs w:val="22"/>
          <w:lang w:val="en-GB"/>
        </w:rPr>
      </w:pPr>
      <w:r w:rsidRPr="00682784">
        <w:rPr>
          <w:rFonts w:cs="ArialMT"/>
          <w:bCs/>
          <w:sz w:val="22"/>
          <w:szCs w:val="22"/>
          <w:lang w:val="en-GB"/>
        </w:rPr>
        <w:t>Maintain updated Questions and Answers sections in the web-site both for beneficiaries and for controllers.</w:t>
      </w:r>
    </w:p>
    <w:p w14:paraId="21762A7F" w14:textId="77777777" w:rsidR="0028075A" w:rsidRPr="00094435" w:rsidRDefault="0028075A" w:rsidP="003574FD">
      <w:pPr>
        <w:spacing w:before="240" w:after="120" w:line="21" w:lineRule="atLeast"/>
        <w:rPr>
          <w:b/>
          <w:lang w:val="en-GB"/>
        </w:rPr>
      </w:pPr>
      <w:r w:rsidRPr="00094435">
        <w:rPr>
          <w:b/>
          <w:lang w:val="en-GB"/>
        </w:rPr>
        <w:t>Staff and recruiting procedures</w:t>
      </w:r>
    </w:p>
    <w:p w14:paraId="4D491930"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 xml:space="preserve">The JTS will be composed of international staff recruited by an evaluation committee made up of representatives of the MA and the participating countries. </w:t>
      </w:r>
    </w:p>
    <w:p w14:paraId="0858121E" w14:textId="77777777" w:rsidR="0028075A" w:rsidRPr="00682784" w:rsidRDefault="0028075A" w:rsidP="00813F1C">
      <w:pPr>
        <w:spacing w:after="360" w:line="21" w:lineRule="atLeast"/>
        <w:jc w:val="both"/>
        <w:rPr>
          <w:lang w:val="en-GB"/>
        </w:rPr>
      </w:pPr>
      <w:r w:rsidRPr="00682784">
        <w:rPr>
          <w:rFonts w:cs="ArialMT"/>
          <w:bCs/>
          <w:sz w:val="22"/>
          <w:szCs w:val="22"/>
          <w:lang w:val="en-GB"/>
        </w:rPr>
        <w:t>The structure will be gradually set up and staff recruited on the basis of the needs and the workload in each phase of the programme cycle. To ensure transparency and to guarantee balanced representation of the participating countries, while respecting the principles of equality and non-discrimination, the JTS staff will be selected through an international open procedure.</w:t>
      </w:r>
    </w:p>
    <w:p w14:paraId="35BBCDE9" w14:textId="77777777" w:rsidR="0028075A" w:rsidRPr="002B2A70" w:rsidRDefault="006377FF" w:rsidP="003574FD">
      <w:pPr>
        <w:pStyle w:val="Heading3"/>
        <w:spacing w:before="240" w:after="240" w:line="21" w:lineRule="atLeast"/>
        <w:rPr>
          <w:b/>
          <w:sz w:val="28"/>
          <w:szCs w:val="28"/>
          <w:lang w:val="en-GB"/>
        </w:rPr>
      </w:pPr>
      <w:bookmarkStart w:id="93" w:name="_Toc423436302"/>
      <w:r>
        <w:rPr>
          <w:b/>
          <w:sz w:val="28"/>
          <w:szCs w:val="28"/>
          <w:lang w:val="en-GB"/>
        </w:rPr>
        <w:t xml:space="preserve">6.7 </w:t>
      </w:r>
      <w:r w:rsidR="0028075A" w:rsidRPr="002B2A70">
        <w:rPr>
          <w:b/>
          <w:sz w:val="28"/>
          <w:szCs w:val="28"/>
          <w:lang w:val="en-GB"/>
        </w:rPr>
        <w:t>Other structures supporting national authorities</w:t>
      </w:r>
      <w:bookmarkEnd w:id="93"/>
    </w:p>
    <w:p w14:paraId="00D7224A" w14:textId="77777777" w:rsidR="0028075A" w:rsidRPr="00682784" w:rsidRDefault="0028075A" w:rsidP="003574FD">
      <w:pPr>
        <w:spacing w:line="21" w:lineRule="atLeast"/>
        <w:rPr>
          <w:rFonts w:cs="ArialMT"/>
          <w:bCs/>
          <w:sz w:val="22"/>
          <w:szCs w:val="22"/>
          <w:lang w:val="en-GB"/>
        </w:rPr>
      </w:pPr>
      <w:r w:rsidRPr="00682784">
        <w:rPr>
          <w:rFonts w:cs="ArialMT"/>
          <w:bCs/>
          <w:sz w:val="22"/>
          <w:szCs w:val="22"/>
          <w:lang w:val="en-GB"/>
        </w:rPr>
        <w:t xml:space="preserve">The National Authorities may be supported by relevant competent bodies, other than the CCP and the member of </w:t>
      </w:r>
      <w:proofErr w:type="spellStart"/>
      <w:r w:rsidRPr="00682784">
        <w:rPr>
          <w:rFonts w:cs="ArialMT"/>
          <w:bCs/>
          <w:sz w:val="22"/>
          <w:szCs w:val="22"/>
          <w:lang w:val="en-GB"/>
        </w:rPr>
        <w:t>GoA</w:t>
      </w:r>
      <w:proofErr w:type="spellEnd"/>
      <w:r w:rsidRPr="00682784">
        <w:rPr>
          <w:rFonts w:cs="ArialMT"/>
          <w:bCs/>
          <w:sz w:val="22"/>
          <w:szCs w:val="22"/>
          <w:lang w:val="en-GB"/>
        </w:rPr>
        <w:t xml:space="preserve">, </w:t>
      </w:r>
      <w:r w:rsidR="00170818">
        <w:rPr>
          <w:rFonts w:cs="ArialMT"/>
          <w:bCs/>
          <w:sz w:val="22"/>
          <w:szCs w:val="22"/>
          <w:lang w:val="en-GB"/>
        </w:rPr>
        <w:t>for fulfilling their role and tasks</w:t>
      </w:r>
      <w:r w:rsidRPr="00682784">
        <w:rPr>
          <w:rFonts w:cs="ArialMT"/>
          <w:bCs/>
          <w:sz w:val="22"/>
          <w:szCs w:val="22"/>
          <w:lang w:val="en-GB"/>
        </w:rPr>
        <w:t xml:space="preserve">. </w:t>
      </w:r>
    </w:p>
    <w:p w14:paraId="584B1EAA" w14:textId="77777777" w:rsidR="0028075A" w:rsidRPr="002B2A70" w:rsidRDefault="006377FF" w:rsidP="004816B7">
      <w:pPr>
        <w:pStyle w:val="Heading3"/>
        <w:spacing w:before="360" w:after="240" w:line="21" w:lineRule="atLeast"/>
        <w:rPr>
          <w:b/>
          <w:sz w:val="28"/>
          <w:szCs w:val="28"/>
          <w:lang w:val="en-GB"/>
        </w:rPr>
      </w:pPr>
      <w:bookmarkStart w:id="94" w:name="_Toc423436303"/>
      <w:r>
        <w:rPr>
          <w:b/>
          <w:sz w:val="28"/>
          <w:szCs w:val="28"/>
          <w:lang w:val="en-GB"/>
        </w:rPr>
        <w:lastRenderedPageBreak/>
        <w:t xml:space="preserve">6.8 </w:t>
      </w:r>
      <w:r w:rsidR="0028075A" w:rsidRPr="002B2A70">
        <w:rPr>
          <w:b/>
          <w:sz w:val="28"/>
          <w:szCs w:val="28"/>
          <w:lang w:val="en-GB"/>
        </w:rPr>
        <w:t>Selection Committee (SC)</w:t>
      </w:r>
      <w:bookmarkEnd w:id="94"/>
    </w:p>
    <w:p w14:paraId="54E438EC" w14:textId="77777777" w:rsidR="0028075A" w:rsidRPr="00682784" w:rsidRDefault="0028075A" w:rsidP="003574FD">
      <w:pPr>
        <w:spacing w:line="21" w:lineRule="atLeast"/>
        <w:jc w:val="both"/>
        <w:rPr>
          <w:rFonts w:cs="ArialMT"/>
          <w:bCs/>
          <w:sz w:val="22"/>
          <w:szCs w:val="22"/>
          <w:lang w:val="en-GB"/>
        </w:rPr>
      </w:pPr>
      <w:r w:rsidRPr="00682784">
        <w:rPr>
          <w:rFonts w:cs="ArialMT"/>
          <w:bCs/>
          <w:sz w:val="22"/>
          <w:szCs w:val="22"/>
          <w:lang w:val="en-GB"/>
        </w:rPr>
        <w:t>Pursuant article 20(4) of the ENI-CBC Implementing Rules, the Joint Monitoring Committee may set up a project selection committee acting under its responsibility</w:t>
      </w:r>
      <w:r w:rsidR="00D64164">
        <w:rPr>
          <w:rFonts w:cs="ArialMT"/>
          <w:bCs/>
          <w:sz w:val="22"/>
          <w:szCs w:val="22"/>
          <w:lang w:val="en-GB"/>
        </w:rPr>
        <w:t xml:space="preserve"> for each call for proposals</w:t>
      </w:r>
      <w:r w:rsidRPr="00682784">
        <w:rPr>
          <w:rFonts w:cs="ArialMT"/>
          <w:bCs/>
          <w:sz w:val="22"/>
          <w:szCs w:val="22"/>
          <w:lang w:val="en-GB"/>
        </w:rPr>
        <w:t xml:space="preserve">. </w:t>
      </w:r>
    </w:p>
    <w:p w14:paraId="5268A0E2" w14:textId="77777777" w:rsidR="0028075A" w:rsidRPr="00682784" w:rsidRDefault="0028075A" w:rsidP="003574FD">
      <w:pPr>
        <w:spacing w:before="120" w:line="21" w:lineRule="atLeast"/>
        <w:jc w:val="both"/>
        <w:rPr>
          <w:rFonts w:cs="ArialMT"/>
          <w:bCs/>
          <w:sz w:val="22"/>
          <w:szCs w:val="22"/>
          <w:lang w:val="en-GB"/>
        </w:rPr>
      </w:pPr>
      <w:r w:rsidRPr="00682784">
        <w:rPr>
          <w:rFonts w:cs="ArialMT"/>
          <w:bCs/>
          <w:sz w:val="22"/>
          <w:szCs w:val="22"/>
          <w:lang w:val="en-GB"/>
        </w:rPr>
        <w:t xml:space="preserve">The SC is nominated by the JMC and composed as follows: </w:t>
      </w:r>
    </w:p>
    <w:p w14:paraId="12F0CE34" w14:textId="77777777" w:rsidR="0028075A" w:rsidRPr="00682784" w:rsidRDefault="0028075A" w:rsidP="003574FD">
      <w:pPr>
        <w:numPr>
          <w:ilvl w:val="0"/>
          <w:numId w:val="54"/>
        </w:numPr>
        <w:suppressAutoHyphens/>
        <w:spacing w:before="120" w:after="0" w:line="21" w:lineRule="atLeast"/>
        <w:ind w:left="426" w:hanging="284"/>
        <w:jc w:val="both"/>
        <w:rPr>
          <w:rFonts w:cs="ArialMT"/>
          <w:bCs/>
          <w:sz w:val="22"/>
          <w:szCs w:val="22"/>
          <w:lang w:val="en-GB"/>
        </w:rPr>
      </w:pPr>
      <w:r w:rsidRPr="00682784">
        <w:rPr>
          <w:rFonts w:cs="ArialMT"/>
          <w:b/>
          <w:sz w:val="22"/>
          <w:szCs w:val="22"/>
          <w:lang w:val="en-GB"/>
        </w:rPr>
        <w:t>Chairperson</w:t>
      </w:r>
      <w:r w:rsidRPr="00682784">
        <w:rPr>
          <w:rFonts w:cs="ArialMT"/>
          <w:bCs/>
          <w:sz w:val="22"/>
          <w:szCs w:val="22"/>
          <w:lang w:val="en-GB"/>
        </w:rPr>
        <w:t xml:space="preserve"> (non-voting member): This function shall be assigned to the MA or JTS. The Chairperson is responsible for supervising and monitoring the work of the assessors (internal and external) and it is the only one that, when needed, can contact the applicants. </w:t>
      </w:r>
    </w:p>
    <w:p w14:paraId="3B235B09" w14:textId="77777777" w:rsidR="0028075A" w:rsidRPr="00682784" w:rsidRDefault="0028075A" w:rsidP="003574FD">
      <w:pPr>
        <w:numPr>
          <w:ilvl w:val="0"/>
          <w:numId w:val="54"/>
        </w:numPr>
        <w:suppressAutoHyphens/>
        <w:spacing w:before="120" w:after="0" w:line="21" w:lineRule="atLeast"/>
        <w:ind w:left="426" w:hanging="284"/>
        <w:jc w:val="both"/>
        <w:rPr>
          <w:rFonts w:cs="ArialMT"/>
          <w:bCs/>
          <w:sz w:val="22"/>
          <w:szCs w:val="22"/>
          <w:lang w:val="en-GB"/>
        </w:rPr>
      </w:pPr>
      <w:r w:rsidRPr="00682784">
        <w:rPr>
          <w:rFonts w:cs="ArialMT"/>
          <w:b/>
          <w:sz w:val="22"/>
          <w:szCs w:val="22"/>
          <w:lang w:val="en-GB"/>
        </w:rPr>
        <w:t>Secretary</w:t>
      </w:r>
      <w:r w:rsidRPr="00682784">
        <w:rPr>
          <w:rFonts w:cs="ArialMT"/>
          <w:bCs/>
          <w:sz w:val="22"/>
          <w:szCs w:val="22"/>
          <w:lang w:val="en-GB"/>
        </w:rPr>
        <w:t xml:space="preserve"> (non-voting member): This function shall be assigned to the JTS. The JTS representative performing this function shall be responsible for carrying out all logistic and administrative tasks connected with the evaluation procedures.</w:t>
      </w:r>
    </w:p>
    <w:p w14:paraId="5668404F" w14:textId="77777777" w:rsidR="0028075A" w:rsidRPr="00682784" w:rsidRDefault="0028075A" w:rsidP="003574FD">
      <w:pPr>
        <w:numPr>
          <w:ilvl w:val="0"/>
          <w:numId w:val="54"/>
        </w:numPr>
        <w:suppressAutoHyphens/>
        <w:spacing w:before="120" w:after="0" w:line="21" w:lineRule="atLeast"/>
        <w:ind w:left="426" w:hanging="284"/>
        <w:jc w:val="both"/>
        <w:rPr>
          <w:rFonts w:cs="ArialMT"/>
          <w:bCs/>
          <w:sz w:val="22"/>
          <w:szCs w:val="22"/>
          <w:lang w:val="en-GB"/>
        </w:rPr>
      </w:pPr>
      <w:r w:rsidRPr="00682784">
        <w:rPr>
          <w:rFonts w:cs="ArialMT"/>
          <w:b/>
          <w:sz w:val="22"/>
          <w:szCs w:val="22"/>
          <w:lang w:val="en-GB"/>
        </w:rPr>
        <w:t>Voting members</w:t>
      </w:r>
      <w:r w:rsidRPr="00682784">
        <w:rPr>
          <w:rFonts w:cs="ArialMT"/>
          <w:bCs/>
          <w:sz w:val="22"/>
          <w:szCs w:val="22"/>
          <w:lang w:val="en-GB"/>
        </w:rPr>
        <w:t>: one member proposed by each participating country, they endorse the conclusions of the work of the internal assessors during Step 1, of the external assessors during Step 2 (see section 3.1 a);</w:t>
      </w:r>
    </w:p>
    <w:p w14:paraId="787800F2" w14:textId="5A4E97C3" w:rsidR="00AA5D7F" w:rsidRPr="002C454E" w:rsidRDefault="0028075A" w:rsidP="003574FD">
      <w:pPr>
        <w:numPr>
          <w:ilvl w:val="0"/>
          <w:numId w:val="54"/>
        </w:numPr>
        <w:suppressAutoHyphens/>
        <w:spacing w:before="120" w:after="0" w:line="21" w:lineRule="atLeast"/>
        <w:ind w:left="426" w:hanging="284"/>
        <w:jc w:val="both"/>
        <w:rPr>
          <w:rFonts w:cs="ArialMT"/>
          <w:bCs/>
          <w:sz w:val="22"/>
          <w:szCs w:val="22"/>
          <w:lang w:val="en-GB"/>
        </w:rPr>
      </w:pPr>
      <w:r w:rsidRPr="002C454E">
        <w:rPr>
          <w:rFonts w:cs="ArialMT"/>
          <w:b/>
          <w:sz w:val="22"/>
          <w:szCs w:val="22"/>
          <w:lang w:val="en-GB"/>
        </w:rPr>
        <w:t>Observers</w:t>
      </w:r>
      <w:r w:rsidRPr="002C454E">
        <w:rPr>
          <w:rFonts w:cs="ArialMT"/>
          <w:bCs/>
          <w:sz w:val="22"/>
          <w:szCs w:val="22"/>
          <w:lang w:val="en-GB"/>
        </w:rPr>
        <w:t xml:space="preserve">: </w:t>
      </w:r>
      <w:r w:rsidR="00B13D95">
        <w:rPr>
          <w:rFonts w:cs="ArialMT"/>
          <w:bCs/>
          <w:sz w:val="22"/>
          <w:szCs w:val="22"/>
          <w:lang w:val="en-GB"/>
        </w:rPr>
        <w:t>R</w:t>
      </w:r>
      <w:r w:rsidRPr="002C454E">
        <w:rPr>
          <w:rFonts w:cs="ArialMT"/>
          <w:bCs/>
          <w:sz w:val="22"/>
          <w:szCs w:val="22"/>
          <w:lang w:val="en-GB"/>
        </w:rPr>
        <w:t>epresentative</w:t>
      </w:r>
      <w:r w:rsidR="00B13D95">
        <w:rPr>
          <w:rFonts w:cs="ArialMT"/>
          <w:bCs/>
          <w:sz w:val="22"/>
          <w:szCs w:val="22"/>
          <w:lang w:val="en-GB"/>
        </w:rPr>
        <w:t>s</w:t>
      </w:r>
      <w:r w:rsidRPr="002C454E">
        <w:rPr>
          <w:rFonts w:cs="ArialMT"/>
          <w:bCs/>
          <w:sz w:val="22"/>
          <w:szCs w:val="22"/>
          <w:lang w:val="en-GB"/>
        </w:rPr>
        <w:t xml:space="preserve"> of the European Commission</w:t>
      </w:r>
      <w:r w:rsidR="00B13D95">
        <w:rPr>
          <w:rFonts w:cs="ArialMT"/>
          <w:bCs/>
          <w:sz w:val="22"/>
          <w:szCs w:val="22"/>
          <w:lang w:val="en-GB"/>
        </w:rPr>
        <w:t>/EU Delegations in CBC Partner Countries</w:t>
      </w:r>
      <w:r w:rsidRPr="002C454E">
        <w:rPr>
          <w:rFonts w:cs="ArialMT"/>
          <w:bCs/>
          <w:sz w:val="22"/>
          <w:szCs w:val="22"/>
          <w:lang w:val="en-GB"/>
        </w:rPr>
        <w:t xml:space="preserve"> shall be invited to the meetings of the SC as an observer and may attend SC meetings without decision-making power.</w:t>
      </w:r>
    </w:p>
    <w:p w14:paraId="2EC9337C" w14:textId="77777777" w:rsidR="0028075A" w:rsidRPr="00682784" w:rsidRDefault="0028075A" w:rsidP="002C454E">
      <w:pPr>
        <w:spacing w:before="120" w:line="21" w:lineRule="atLeast"/>
        <w:jc w:val="both"/>
        <w:rPr>
          <w:rFonts w:cs="ArialMT"/>
          <w:bCs/>
          <w:sz w:val="22"/>
          <w:szCs w:val="22"/>
          <w:lang w:val="en-GB"/>
        </w:rPr>
      </w:pPr>
      <w:r w:rsidRPr="00682784">
        <w:rPr>
          <w:rFonts w:cs="ArialMT"/>
          <w:bCs/>
          <w:sz w:val="22"/>
          <w:szCs w:val="22"/>
          <w:lang w:val="en-GB"/>
        </w:rPr>
        <w:t>In addition to the above, the following actors are also involved in the evaluation process of the Black Sea Basin Programme:</w:t>
      </w:r>
    </w:p>
    <w:p w14:paraId="77C8E15A" w14:textId="77777777" w:rsidR="0028075A" w:rsidRPr="00682784" w:rsidRDefault="0028075A" w:rsidP="003574FD">
      <w:pPr>
        <w:numPr>
          <w:ilvl w:val="0"/>
          <w:numId w:val="55"/>
        </w:numPr>
        <w:suppressAutoHyphens/>
        <w:spacing w:before="120" w:after="0" w:line="21" w:lineRule="atLeast"/>
        <w:ind w:left="426" w:hanging="284"/>
        <w:jc w:val="both"/>
        <w:rPr>
          <w:rFonts w:cs="ArialMT"/>
          <w:bCs/>
          <w:sz w:val="22"/>
          <w:szCs w:val="22"/>
          <w:lang w:val="en-GB"/>
        </w:rPr>
      </w:pPr>
      <w:r w:rsidRPr="00682784">
        <w:rPr>
          <w:rFonts w:cs="ArialMT"/>
          <w:b/>
          <w:sz w:val="22"/>
          <w:szCs w:val="22"/>
          <w:lang w:val="en-GB"/>
        </w:rPr>
        <w:t>External assessors</w:t>
      </w:r>
      <w:r w:rsidRPr="00682784">
        <w:rPr>
          <w:rFonts w:cs="ArialMT"/>
          <w:bCs/>
          <w:sz w:val="22"/>
          <w:szCs w:val="22"/>
          <w:lang w:val="en-GB"/>
        </w:rPr>
        <w:t>: independent external experts shall be recruited in accordance with the Terms of Reference approved by the JMC. They will work under the supervision of the Chairperson for the Technical and Financial Evaluation.</w:t>
      </w:r>
    </w:p>
    <w:p w14:paraId="707A3A92" w14:textId="77777777" w:rsidR="0028075A" w:rsidRPr="00682784" w:rsidRDefault="0028075A" w:rsidP="003574FD">
      <w:pPr>
        <w:numPr>
          <w:ilvl w:val="0"/>
          <w:numId w:val="55"/>
        </w:numPr>
        <w:suppressAutoHyphens/>
        <w:spacing w:before="120" w:after="0" w:line="21" w:lineRule="atLeast"/>
        <w:ind w:left="426" w:hanging="284"/>
        <w:jc w:val="both"/>
        <w:rPr>
          <w:rFonts w:cs="ArialMT"/>
          <w:bCs/>
          <w:sz w:val="22"/>
          <w:szCs w:val="22"/>
          <w:lang w:val="en-GB"/>
        </w:rPr>
      </w:pPr>
      <w:r w:rsidRPr="00682784">
        <w:rPr>
          <w:rFonts w:cs="ArialMT"/>
          <w:b/>
          <w:sz w:val="22"/>
          <w:szCs w:val="22"/>
          <w:lang w:val="en-GB"/>
        </w:rPr>
        <w:t>Internal assessors</w:t>
      </w:r>
      <w:r w:rsidRPr="00682784">
        <w:rPr>
          <w:rFonts w:cs="ArialMT"/>
          <w:bCs/>
          <w:sz w:val="22"/>
          <w:szCs w:val="22"/>
          <w:lang w:val="en-GB"/>
        </w:rPr>
        <w:t>: they are appointed among the staff of JTS and MA in order to carry out the administrative check, as well as the quality check of the grids done by external assessors during the Technical and Financial Evaluation.</w:t>
      </w:r>
    </w:p>
    <w:p w14:paraId="1C25DD11" w14:textId="77777777" w:rsidR="0028075A" w:rsidRPr="00682784" w:rsidRDefault="0028075A" w:rsidP="003574FD">
      <w:pPr>
        <w:spacing w:line="21" w:lineRule="atLeast"/>
        <w:rPr>
          <w:rFonts w:cs="ArialMT"/>
          <w:bCs/>
          <w:lang w:val="en-GB"/>
        </w:rPr>
      </w:pPr>
    </w:p>
    <w:p w14:paraId="739E898C" w14:textId="77777777" w:rsidR="002E04C8" w:rsidRPr="00DD025B" w:rsidRDefault="00BF239E" w:rsidP="003574FD">
      <w:pPr>
        <w:pStyle w:val="Heading2"/>
        <w:spacing w:after="0" w:line="21" w:lineRule="atLeast"/>
        <w:jc w:val="left"/>
        <w:rPr>
          <w:sz w:val="10"/>
          <w:szCs w:val="10"/>
          <w:lang w:val="en-GB"/>
        </w:rPr>
      </w:pPr>
      <w:r>
        <w:rPr>
          <w:sz w:val="22"/>
          <w:szCs w:val="22"/>
          <w:lang w:val="en-GB"/>
        </w:rPr>
        <w:br w:type="column"/>
      </w:r>
    </w:p>
    <w:p w14:paraId="240FBECA" w14:textId="77777777" w:rsidR="00A5635D" w:rsidRDefault="00FA098E" w:rsidP="00FA098E">
      <w:pPr>
        <w:pStyle w:val="Heading1"/>
        <w:spacing w:before="120" w:after="0" w:line="264" w:lineRule="auto"/>
        <w:ind w:left="1080"/>
        <w:jc w:val="left"/>
        <w:rPr>
          <w:sz w:val="40"/>
          <w:szCs w:val="40"/>
          <w:lang w:val="en-GB"/>
        </w:rPr>
      </w:pPr>
      <w:bookmarkStart w:id="95" w:name="_Toc423436304"/>
      <w:r w:rsidRPr="00FA098E">
        <w:rPr>
          <w:bCs w:val="0"/>
          <w:sz w:val="40"/>
          <w:szCs w:val="40"/>
          <w:lang w:val="en-GB"/>
        </w:rPr>
        <w:t>7.</w:t>
      </w:r>
      <w:r>
        <w:rPr>
          <w:sz w:val="40"/>
          <w:szCs w:val="40"/>
          <w:lang w:val="en-GB"/>
        </w:rPr>
        <w:t xml:space="preserve">    </w:t>
      </w:r>
      <w:r w:rsidR="00A5635D">
        <w:rPr>
          <w:sz w:val="40"/>
          <w:szCs w:val="40"/>
          <w:lang w:val="en-GB"/>
        </w:rPr>
        <w:t>Project evaluation and selection procedures</w:t>
      </w:r>
      <w:bookmarkEnd w:id="95"/>
    </w:p>
    <w:p w14:paraId="0B1719D6" w14:textId="77777777" w:rsidR="00A5635D" w:rsidRPr="00823076" w:rsidRDefault="00A5635D" w:rsidP="00DC5F7F">
      <w:pPr>
        <w:jc w:val="both"/>
        <w:rPr>
          <w:sz w:val="12"/>
          <w:szCs w:val="12"/>
          <w:lang w:val="en-GB"/>
        </w:rPr>
      </w:pPr>
    </w:p>
    <w:p w14:paraId="1046E10A" w14:textId="77777777" w:rsidR="00A5635D" w:rsidRPr="00682784" w:rsidRDefault="00A5635D" w:rsidP="00DC5F7F">
      <w:pPr>
        <w:autoSpaceDE w:val="0"/>
        <w:spacing w:line="260" w:lineRule="exact"/>
        <w:jc w:val="both"/>
        <w:rPr>
          <w:rFonts w:cs="ArialMT"/>
          <w:sz w:val="22"/>
          <w:szCs w:val="22"/>
          <w:lang w:val="en-GB"/>
        </w:rPr>
      </w:pPr>
      <w:r w:rsidRPr="00682784">
        <w:rPr>
          <w:rFonts w:cs="ArialMT"/>
          <w:sz w:val="22"/>
          <w:szCs w:val="22"/>
          <w:lang w:val="en-GB"/>
        </w:rPr>
        <w:t xml:space="preserve">This procedure is </w:t>
      </w:r>
      <w:r w:rsidRPr="00682784">
        <w:rPr>
          <w:rFonts w:cs="ArialMT"/>
          <w:bCs/>
          <w:sz w:val="22"/>
          <w:szCs w:val="22"/>
          <w:lang w:val="en-GB"/>
        </w:rPr>
        <w:t>addressed to all actors involved in the preparation, management and execution of the evaluation and selection of projects in the framework of the Joint Operational Programme “Black Sea Basin 2014-2020”</w:t>
      </w:r>
      <w:r w:rsidR="007909FD" w:rsidRPr="00682784">
        <w:rPr>
          <w:rFonts w:cs="ArialMT"/>
          <w:bCs/>
          <w:sz w:val="22"/>
          <w:szCs w:val="22"/>
          <w:lang w:val="en-GB"/>
        </w:rPr>
        <w:t>.</w:t>
      </w:r>
    </w:p>
    <w:p w14:paraId="0A33FC40" w14:textId="77777777" w:rsidR="00A5635D" w:rsidRPr="00102CE7" w:rsidRDefault="00FA098E" w:rsidP="00102CE7">
      <w:pPr>
        <w:pStyle w:val="Heading3"/>
        <w:spacing w:before="240" w:after="240" w:line="264" w:lineRule="auto"/>
        <w:rPr>
          <w:b/>
          <w:sz w:val="28"/>
          <w:szCs w:val="28"/>
          <w:lang w:val="en-GB"/>
        </w:rPr>
      </w:pPr>
      <w:bookmarkStart w:id="96" w:name="_Toc310942061"/>
      <w:bookmarkStart w:id="97" w:name="_Toc423436305"/>
      <w:bookmarkStart w:id="98" w:name="_Toc241171242"/>
      <w:r>
        <w:rPr>
          <w:b/>
          <w:sz w:val="28"/>
          <w:szCs w:val="28"/>
          <w:lang w:val="en-GB"/>
        </w:rPr>
        <w:t xml:space="preserve">7.1 </w:t>
      </w:r>
      <w:r w:rsidR="00A5635D" w:rsidRPr="00102CE7">
        <w:rPr>
          <w:b/>
          <w:sz w:val="28"/>
          <w:szCs w:val="28"/>
          <w:lang w:val="en-GB"/>
        </w:rPr>
        <w:t>A</w:t>
      </w:r>
      <w:bookmarkEnd w:id="96"/>
      <w:r w:rsidR="00102CE7">
        <w:rPr>
          <w:b/>
          <w:sz w:val="28"/>
          <w:szCs w:val="28"/>
          <w:lang w:val="en-GB"/>
        </w:rPr>
        <w:t>ctors involved, roles and responsibilities</w:t>
      </w:r>
      <w:bookmarkEnd w:id="97"/>
    </w:p>
    <w:p w14:paraId="0760DEE6" w14:textId="55402A93" w:rsidR="00A5635D" w:rsidRPr="00DC5F7F" w:rsidRDefault="00A5635D" w:rsidP="00DC5F7F">
      <w:pPr>
        <w:tabs>
          <w:tab w:val="left" w:pos="540"/>
        </w:tabs>
        <w:spacing w:line="260" w:lineRule="exact"/>
        <w:jc w:val="both"/>
        <w:rPr>
          <w:sz w:val="22"/>
          <w:szCs w:val="22"/>
        </w:rPr>
      </w:pPr>
      <w:r w:rsidRPr="00682784">
        <w:rPr>
          <w:sz w:val="22"/>
          <w:szCs w:val="22"/>
          <w:lang w:val="en-GB"/>
        </w:rPr>
        <w:t xml:space="preserve">Projects are evaluated and selected through an articulated process consisting of several steps and involving different actors. </w:t>
      </w:r>
      <w:r w:rsidR="00D32553" w:rsidRPr="00D32553">
        <w:rPr>
          <w:sz w:val="22"/>
          <w:szCs w:val="22"/>
          <w:lang w:val="en-GB"/>
        </w:rPr>
        <w:t xml:space="preserve">Segregation of duties </w:t>
      </w:r>
      <w:r w:rsidR="00AF2E2A">
        <w:rPr>
          <w:sz w:val="22"/>
          <w:szCs w:val="22"/>
          <w:lang w:val="en-GB"/>
        </w:rPr>
        <w:t>among</w:t>
      </w:r>
      <w:r w:rsidR="00D32553" w:rsidRPr="00D32553">
        <w:rPr>
          <w:sz w:val="22"/>
          <w:szCs w:val="22"/>
          <w:lang w:val="en-GB"/>
        </w:rPr>
        <w:t xml:space="preserve"> the structures involved in the evaluation and selection process will be assured. </w:t>
      </w:r>
      <w:r w:rsidRPr="00DC5F7F">
        <w:rPr>
          <w:sz w:val="22"/>
          <w:szCs w:val="22"/>
        </w:rPr>
        <w:t xml:space="preserve">The </w:t>
      </w:r>
      <w:proofErr w:type="spellStart"/>
      <w:r w:rsidRPr="00DC5F7F">
        <w:rPr>
          <w:sz w:val="22"/>
          <w:szCs w:val="22"/>
        </w:rPr>
        <w:t>actors</w:t>
      </w:r>
      <w:proofErr w:type="spellEnd"/>
      <w:r w:rsidRPr="00DC5F7F">
        <w:rPr>
          <w:sz w:val="22"/>
          <w:szCs w:val="22"/>
        </w:rPr>
        <w:t xml:space="preserve"> are the </w:t>
      </w:r>
      <w:proofErr w:type="spellStart"/>
      <w:r w:rsidRPr="00DC5F7F">
        <w:rPr>
          <w:sz w:val="22"/>
          <w:szCs w:val="22"/>
        </w:rPr>
        <w:t>following</w:t>
      </w:r>
      <w:proofErr w:type="spellEnd"/>
      <w:r w:rsidRPr="00DC5F7F">
        <w:rPr>
          <w:sz w:val="22"/>
          <w:szCs w:val="22"/>
        </w:rPr>
        <w:t>:</w:t>
      </w:r>
    </w:p>
    <w:p w14:paraId="2A53C126" w14:textId="77777777" w:rsidR="00A5635D" w:rsidRPr="00682784" w:rsidRDefault="00A5635D" w:rsidP="002E0D54">
      <w:pPr>
        <w:numPr>
          <w:ilvl w:val="0"/>
          <w:numId w:val="58"/>
        </w:numPr>
        <w:tabs>
          <w:tab w:val="left" w:pos="360"/>
          <w:tab w:val="left" w:pos="540"/>
        </w:tabs>
        <w:spacing w:before="120" w:after="120" w:line="260" w:lineRule="exact"/>
        <w:ind w:left="714" w:hanging="357"/>
        <w:jc w:val="both"/>
        <w:rPr>
          <w:sz w:val="22"/>
          <w:szCs w:val="22"/>
          <w:lang w:val="en-GB"/>
        </w:rPr>
      </w:pPr>
      <w:r w:rsidRPr="00682784">
        <w:rPr>
          <w:b/>
          <w:bCs/>
          <w:sz w:val="22"/>
          <w:szCs w:val="22"/>
          <w:lang w:val="en-GB"/>
        </w:rPr>
        <w:t>Joint Monitoring Committee (</w:t>
      </w:r>
      <w:r w:rsidRPr="00682784">
        <w:rPr>
          <w:b/>
          <w:bCs/>
          <w:i/>
          <w:sz w:val="22"/>
          <w:szCs w:val="22"/>
          <w:lang w:val="en-GB"/>
        </w:rPr>
        <w:t>hereinafter referred to as JMC):</w:t>
      </w:r>
      <w:r w:rsidRPr="00682784">
        <w:rPr>
          <w:b/>
          <w:bCs/>
          <w:sz w:val="22"/>
          <w:szCs w:val="22"/>
          <w:lang w:val="en-GB"/>
        </w:rPr>
        <w:t xml:space="preserve"> </w:t>
      </w:r>
      <w:r w:rsidRPr="00682784">
        <w:rPr>
          <w:bCs/>
          <w:sz w:val="22"/>
          <w:szCs w:val="22"/>
          <w:lang w:val="en-GB"/>
        </w:rPr>
        <w:t>in the context of the evaluation process, the main task of the JMC</w:t>
      </w:r>
      <w:r w:rsidRPr="00682784">
        <w:rPr>
          <w:b/>
          <w:bCs/>
          <w:sz w:val="22"/>
          <w:szCs w:val="22"/>
          <w:lang w:val="en-GB"/>
        </w:rPr>
        <w:t xml:space="preserve"> </w:t>
      </w:r>
      <w:r w:rsidRPr="00682784">
        <w:rPr>
          <w:bCs/>
          <w:sz w:val="22"/>
          <w:szCs w:val="22"/>
          <w:lang w:val="en-GB"/>
        </w:rPr>
        <w:t>shall be to</w:t>
      </w:r>
      <w:r w:rsidRPr="00682784">
        <w:rPr>
          <w:b/>
          <w:bCs/>
          <w:sz w:val="22"/>
          <w:szCs w:val="22"/>
          <w:lang w:val="en-GB"/>
        </w:rPr>
        <w:t xml:space="preserve"> </w:t>
      </w:r>
      <w:r w:rsidRPr="00682784">
        <w:rPr>
          <w:sz w:val="22"/>
          <w:szCs w:val="22"/>
          <w:lang w:val="en-GB"/>
        </w:rPr>
        <w:t xml:space="preserve">decide on the selection criteria for the projects and to take the final decision on projects to be approved and the amount granted to them; it also decides on the selection criteria for the external assessors; in addition, if the case may be, it appoints by name the voting and non-voting members of the Selection Committee: the Chairperson, the Secretary, the internal assessors and the observers; The JMC approves the Evaluation Reports submitted by the SC after each step. </w:t>
      </w:r>
    </w:p>
    <w:p w14:paraId="6A258CFE" w14:textId="77777777" w:rsidR="00A5635D" w:rsidRPr="00682784" w:rsidRDefault="00A5635D" w:rsidP="002E0D54">
      <w:pPr>
        <w:numPr>
          <w:ilvl w:val="0"/>
          <w:numId w:val="58"/>
        </w:numPr>
        <w:tabs>
          <w:tab w:val="left" w:pos="540"/>
        </w:tabs>
        <w:spacing w:before="120" w:after="120" w:line="260" w:lineRule="exact"/>
        <w:ind w:left="714" w:hanging="357"/>
        <w:jc w:val="both"/>
        <w:rPr>
          <w:sz w:val="22"/>
          <w:szCs w:val="22"/>
          <w:lang w:val="en-GB"/>
        </w:rPr>
      </w:pPr>
      <w:r w:rsidRPr="00682784">
        <w:rPr>
          <w:b/>
          <w:sz w:val="22"/>
          <w:szCs w:val="22"/>
          <w:lang w:val="en-GB"/>
        </w:rPr>
        <w:t>Managing Authority</w:t>
      </w:r>
      <w:r w:rsidRPr="00682784">
        <w:rPr>
          <w:sz w:val="22"/>
          <w:szCs w:val="22"/>
          <w:lang w:val="en-GB"/>
        </w:rPr>
        <w:t xml:space="preserve"> (</w:t>
      </w:r>
      <w:r w:rsidRPr="00682784">
        <w:rPr>
          <w:b/>
          <w:bCs/>
          <w:i/>
          <w:sz w:val="22"/>
          <w:szCs w:val="22"/>
          <w:lang w:val="en-GB"/>
        </w:rPr>
        <w:t xml:space="preserve">hereinafter referred to as MA): </w:t>
      </w:r>
      <w:r w:rsidRPr="00682784">
        <w:rPr>
          <w:bCs/>
          <w:sz w:val="22"/>
          <w:szCs w:val="22"/>
          <w:lang w:val="en-GB"/>
        </w:rPr>
        <w:t xml:space="preserve">in the context of the evaluation process, the tasks of the MA shall be to nominate the </w:t>
      </w:r>
      <w:r w:rsidRPr="00682784">
        <w:rPr>
          <w:b/>
          <w:bCs/>
          <w:sz w:val="22"/>
          <w:szCs w:val="22"/>
          <w:lang w:val="en-GB"/>
        </w:rPr>
        <w:t>Chairperson</w:t>
      </w:r>
      <w:r w:rsidRPr="00682784">
        <w:rPr>
          <w:bCs/>
          <w:sz w:val="22"/>
          <w:szCs w:val="22"/>
          <w:lang w:val="en-GB"/>
        </w:rPr>
        <w:t xml:space="preserve"> of the SC (non-voting member) from the MA/JTS staff, the </w:t>
      </w:r>
      <w:r w:rsidRPr="00682784">
        <w:rPr>
          <w:b/>
          <w:bCs/>
          <w:sz w:val="22"/>
          <w:szCs w:val="22"/>
          <w:lang w:val="en-GB"/>
        </w:rPr>
        <w:t>Secretary</w:t>
      </w:r>
      <w:r w:rsidRPr="00682784">
        <w:rPr>
          <w:bCs/>
          <w:sz w:val="22"/>
          <w:szCs w:val="22"/>
          <w:lang w:val="en-GB"/>
        </w:rPr>
        <w:t xml:space="preserve"> of the SC (non-voting member) from the JTS staff, the internal assessors and to endorse the Evaluation Reports. </w:t>
      </w:r>
    </w:p>
    <w:p w14:paraId="3D9EE356" w14:textId="77777777" w:rsidR="00A5635D" w:rsidRPr="00DC5F7F" w:rsidRDefault="00A5635D" w:rsidP="002E0D54">
      <w:pPr>
        <w:numPr>
          <w:ilvl w:val="0"/>
          <w:numId w:val="58"/>
        </w:numPr>
        <w:tabs>
          <w:tab w:val="left" w:pos="540"/>
        </w:tabs>
        <w:spacing w:before="120" w:after="120" w:line="260" w:lineRule="exact"/>
        <w:ind w:left="714" w:hanging="357"/>
        <w:jc w:val="both"/>
        <w:rPr>
          <w:rFonts w:cs="Arial"/>
          <w:sz w:val="22"/>
          <w:szCs w:val="22"/>
          <w:lang w:eastAsia="en-US"/>
        </w:rPr>
      </w:pPr>
      <w:r w:rsidRPr="00682784">
        <w:rPr>
          <w:b/>
          <w:sz w:val="22"/>
          <w:szCs w:val="22"/>
          <w:lang w:val="en-GB"/>
        </w:rPr>
        <w:t>Joint Technical Secretariat</w:t>
      </w:r>
      <w:r w:rsidRPr="00682784">
        <w:rPr>
          <w:sz w:val="22"/>
          <w:szCs w:val="22"/>
          <w:lang w:val="en-GB"/>
        </w:rPr>
        <w:t xml:space="preserve"> (</w:t>
      </w:r>
      <w:r w:rsidRPr="00682784">
        <w:rPr>
          <w:b/>
          <w:bCs/>
          <w:i/>
          <w:sz w:val="22"/>
          <w:szCs w:val="22"/>
          <w:lang w:val="en-GB"/>
        </w:rPr>
        <w:t xml:space="preserve">hereinafter referred to as JTS): </w:t>
      </w:r>
      <w:r w:rsidRPr="00682784">
        <w:rPr>
          <w:bCs/>
          <w:sz w:val="22"/>
          <w:szCs w:val="22"/>
          <w:lang w:val="en-GB"/>
        </w:rPr>
        <w:t xml:space="preserve">in the context of the evaluation process, </w:t>
      </w:r>
      <w:r w:rsidRPr="00682784">
        <w:rPr>
          <w:rFonts w:cs="Arial"/>
          <w:sz w:val="22"/>
          <w:szCs w:val="22"/>
          <w:lang w:val="en-GB" w:eastAsia="en-US"/>
        </w:rPr>
        <w:t xml:space="preserve">the functions of the Secretary of the SC shall be performed by a person nominated by the MA from the staff of the Joint Technical Secretariat and appointed by the JMC. </w:t>
      </w:r>
      <w:proofErr w:type="spellStart"/>
      <w:r w:rsidRPr="00DC5F7F">
        <w:rPr>
          <w:rFonts w:cs="Arial"/>
          <w:sz w:val="22"/>
          <w:szCs w:val="22"/>
          <w:lang w:eastAsia="en-US"/>
        </w:rPr>
        <w:t>Additionally</w:t>
      </w:r>
      <w:proofErr w:type="spellEnd"/>
      <w:r w:rsidRPr="00DC5F7F">
        <w:rPr>
          <w:rFonts w:cs="Arial"/>
          <w:sz w:val="22"/>
          <w:szCs w:val="22"/>
          <w:lang w:eastAsia="en-US"/>
        </w:rPr>
        <w:t xml:space="preserve">, JTS staff </w:t>
      </w:r>
      <w:proofErr w:type="spellStart"/>
      <w:r w:rsidRPr="00DC5F7F">
        <w:rPr>
          <w:rFonts w:cs="Arial"/>
          <w:sz w:val="22"/>
          <w:szCs w:val="22"/>
          <w:lang w:eastAsia="en-US"/>
        </w:rPr>
        <w:t>may</w:t>
      </w:r>
      <w:proofErr w:type="spellEnd"/>
      <w:r w:rsidRPr="00DC5F7F">
        <w:rPr>
          <w:rFonts w:cs="Arial"/>
          <w:sz w:val="22"/>
          <w:szCs w:val="22"/>
          <w:lang w:eastAsia="en-US"/>
        </w:rPr>
        <w:t xml:space="preserve"> </w:t>
      </w:r>
      <w:proofErr w:type="spellStart"/>
      <w:r w:rsidRPr="00DC5F7F">
        <w:rPr>
          <w:rFonts w:cs="Arial"/>
          <w:sz w:val="22"/>
          <w:szCs w:val="22"/>
          <w:lang w:eastAsia="en-US"/>
        </w:rPr>
        <w:t>be</w:t>
      </w:r>
      <w:proofErr w:type="spellEnd"/>
      <w:r w:rsidRPr="00DC5F7F">
        <w:rPr>
          <w:rFonts w:cs="Arial"/>
          <w:sz w:val="22"/>
          <w:szCs w:val="22"/>
          <w:lang w:eastAsia="en-US"/>
        </w:rPr>
        <w:t xml:space="preserve"> </w:t>
      </w:r>
      <w:proofErr w:type="spellStart"/>
      <w:r w:rsidRPr="00DC5F7F">
        <w:rPr>
          <w:rFonts w:cs="Arial"/>
          <w:sz w:val="22"/>
          <w:szCs w:val="22"/>
          <w:lang w:eastAsia="en-US"/>
        </w:rPr>
        <w:t>appointed</w:t>
      </w:r>
      <w:proofErr w:type="spellEnd"/>
      <w:r w:rsidRPr="00DC5F7F">
        <w:rPr>
          <w:rFonts w:cs="Arial"/>
          <w:sz w:val="22"/>
          <w:szCs w:val="22"/>
          <w:lang w:eastAsia="en-US"/>
        </w:rPr>
        <w:t xml:space="preserve"> as </w:t>
      </w:r>
      <w:proofErr w:type="spellStart"/>
      <w:r w:rsidRPr="00DC5F7F">
        <w:rPr>
          <w:rFonts w:cs="Arial"/>
          <w:sz w:val="22"/>
          <w:szCs w:val="22"/>
          <w:lang w:eastAsia="en-US"/>
        </w:rPr>
        <w:t>internal</w:t>
      </w:r>
      <w:proofErr w:type="spellEnd"/>
      <w:r w:rsidRPr="00DC5F7F">
        <w:rPr>
          <w:rFonts w:cs="Arial"/>
          <w:sz w:val="22"/>
          <w:szCs w:val="22"/>
          <w:lang w:eastAsia="en-US"/>
        </w:rPr>
        <w:t xml:space="preserve"> </w:t>
      </w:r>
      <w:proofErr w:type="spellStart"/>
      <w:r w:rsidRPr="00DC5F7F">
        <w:rPr>
          <w:rFonts w:cs="Arial"/>
          <w:sz w:val="22"/>
          <w:szCs w:val="22"/>
          <w:lang w:eastAsia="en-US"/>
        </w:rPr>
        <w:t>assessors</w:t>
      </w:r>
      <w:proofErr w:type="spellEnd"/>
      <w:r w:rsidRPr="00DC5F7F">
        <w:rPr>
          <w:rFonts w:cs="Arial"/>
          <w:sz w:val="22"/>
          <w:szCs w:val="22"/>
          <w:lang w:eastAsia="en-US"/>
        </w:rPr>
        <w:t>.</w:t>
      </w:r>
    </w:p>
    <w:p w14:paraId="138425C6" w14:textId="77777777" w:rsidR="00A5635D" w:rsidRPr="00682784" w:rsidRDefault="00A5635D" w:rsidP="00BC6B70">
      <w:pPr>
        <w:numPr>
          <w:ilvl w:val="0"/>
          <w:numId w:val="58"/>
        </w:numPr>
        <w:spacing w:before="120" w:after="120" w:line="260" w:lineRule="exact"/>
        <w:ind w:left="567" w:hanging="210"/>
        <w:jc w:val="both"/>
        <w:rPr>
          <w:sz w:val="22"/>
          <w:szCs w:val="22"/>
          <w:lang w:val="en-GB"/>
        </w:rPr>
      </w:pPr>
      <w:r w:rsidRPr="00682784">
        <w:rPr>
          <w:b/>
          <w:sz w:val="22"/>
          <w:szCs w:val="22"/>
          <w:lang w:val="en-GB"/>
        </w:rPr>
        <w:t xml:space="preserve">National Authorities </w:t>
      </w:r>
      <w:r w:rsidRPr="00682784">
        <w:rPr>
          <w:b/>
          <w:i/>
          <w:sz w:val="22"/>
          <w:szCs w:val="22"/>
          <w:lang w:val="en-GB"/>
        </w:rPr>
        <w:t>(hereinafter referred to as NA):</w:t>
      </w:r>
      <w:r w:rsidRPr="00682784">
        <w:rPr>
          <w:sz w:val="22"/>
          <w:szCs w:val="22"/>
          <w:lang w:val="en-GB"/>
        </w:rPr>
        <w:t xml:space="preserve"> in the context of the evaluation process, the tasks of the NA shall be to carry out the eligibility checks.</w:t>
      </w:r>
    </w:p>
    <w:p w14:paraId="4FA9D400" w14:textId="37B423E6" w:rsidR="00A5635D" w:rsidRPr="00682784" w:rsidRDefault="00A5635D" w:rsidP="001C6A87">
      <w:pPr>
        <w:pStyle w:val="ListParagraph"/>
        <w:numPr>
          <w:ilvl w:val="0"/>
          <w:numId w:val="58"/>
        </w:numPr>
        <w:tabs>
          <w:tab w:val="left" w:pos="540"/>
        </w:tabs>
        <w:spacing w:before="120" w:after="120" w:line="260" w:lineRule="exact"/>
        <w:jc w:val="both"/>
        <w:rPr>
          <w:sz w:val="22"/>
          <w:szCs w:val="22"/>
          <w:lang w:val="en-GB"/>
        </w:rPr>
      </w:pPr>
      <w:r w:rsidRPr="00682784">
        <w:rPr>
          <w:b/>
          <w:bCs/>
          <w:sz w:val="22"/>
          <w:szCs w:val="22"/>
          <w:lang w:val="en-GB"/>
        </w:rPr>
        <w:t>Selection</w:t>
      </w:r>
      <w:r w:rsidRPr="00682784">
        <w:rPr>
          <w:b/>
          <w:sz w:val="22"/>
          <w:szCs w:val="22"/>
          <w:lang w:val="en-GB"/>
        </w:rPr>
        <w:t xml:space="preserve"> Committee </w:t>
      </w:r>
      <w:r w:rsidRPr="00682784">
        <w:rPr>
          <w:b/>
          <w:i/>
          <w:sz w:val="22"/>
          <w:szCs w:val="22"/>
          <w:lang w:val="en-GB"/>
        </w:rPr>
        <w:t>(hereinafter referred to as SC)</w:t>
      </w:r>
      <w:r w:rsidRPr="00682784">
        <w:rPr>
          <w:b/>
          <w:sz w:val="22"/>
          <w:szCs w:val="22"/>
          <w:lang w:val="en-GB"/>
        </w:rPr>
        <w:t xml:space="preserve">: </w:t>
      </w:r>
      <w:r w:rsidRPr="00682784">
        <w:rPr>
          <w:bCs/>
          <w:sz w:val="22"/>
          <w:szCs w:val="22"/>
          <w:lang w:val="en-GB"/>
        </w:rPr>
        <w:t>its main task will</w:t>
      </w:r>
      <w:r w:rsidRPr="00682784">
        <w:rPr>
          <w:rFonts w:cs="Arial"/>
          <w:sz w:val="22"/>
          <w:szCs w:val="22"/>
          <w:lang w:val="en-GB" w:eastAsia="en-US"/>
        </w:rPr>
        <w:t xml:space="preserve"> be to validate the results of the work of the assessors (internal and external), in particular revising and complementing the comments </w:t>
      </w:r>
      <w:r w:rsidR="008C7676">
        <w:rPr>
          <w:rFonts w:cs="Arial"/>
          <w:sz w:val="22"/>
          <w:szCs w:val="22"/>
          <w:lang w:val="en-GB" w:eastAsia="en-US"/>
        </w:rPr>
        <w:t xml:space="preserve">to be followed by the MA in the contracting phase </w:t>
      </w:r>
      <w:r w:rsidR="008C7676" w:rsidRPr="00682784">
        <w:rPr>
          <w:rFonts w:cs="Arial"/>
          <w:sz w:val="22"/>
          <w:szCs w:val="22"/>
          <w:lang w:val="en-GB" w:eastAsia="en-US"/>
        </w:rPr>
        <w:t>o</w:t>
      </w:r>
      <w:r w:rsidR="008C7676">
        <w:rPr>
          <w:rFonts w:cs="Arial"/>
          <w:sz w:val="22"/>
          <w:szCs w:val="22"/>
          <w:lang w:val="en-GB" w:eastAsia="en-US"/>
        </w:rPr>
        <w:t xml:space="preserve">f the </w:t>
      </w:r>
      <w:r w:rsidR="00C2030C">
        <w:rPr>
          <w:rFonts w:cs="Arial"/>
          <w:sz w:val="22"/>
          <w:szCs w:val="22"/>
          <w:lang w:val="en-GB" w:eastAsia="en-US"/>
        </w:rPr>
        <w:t>recommended</w:t>
      </w:r>
      <w:r w:rsidR="008C7676">
        <w:rPr>
          <w:rFonts w:cs="Arial"/>
          <w:sz w:val="22"/>
          <w:szCs w:val="22"/>
          <w:lang w:val="en-GB" w:eastAsia="en-US"/>
        </w:rPr>
        <w:t xml:space="preserve"> projects, </w:t>
      </w:r>
      <w:r w:rsidR="001C6A87" w:rsidRPr="001C6A87">
        <w:rPr>
          <w:rFonts w:cs="Arial"/>
          <w:sz w:val="22"/>
          <w:szCs w:val="22"/>
          <w:lang w:val="en-GB" w:eastAsia="en-US"/>
        </w:rPr>
        <w:t>closely observing the principle of equal treatment</w:t>
      </w:r>
      <w:r w:rsidRPr="00682784">
        <w:rPr>
          <w:rFonts w:cs="Arial"/>
          <w:sz w:val="22"/>
          <w:szCs w:val="22"/>
          <w:lang w:val="en-GB" w:eastAsia="en-US"/>
        </w:rPr>
        <w:t>. It shall also supervise the administrative check</w:t>
      </w:r>
      <w:r w:rsidR="0074773C">
        <w:rPr>
          <w:rFonts w:cs="Arial"/>
          <w:sz w:val="22"/>
          <w:szCs w:val="22"/>
          <w:lang w:val="en-GB" w:eastAsia="en-US"/>
        </w:rPr>
        <w:t>,</w:t>
      </w:r>
      <w:r w:rsidRPr="00682784">
        <w:rPr>
          <w:rFonts w:cs="Arial"/>
          <w:sz w:val="22"/>
          <w:szCs w:val="22"/>
          <w:lang w:val="en-GB" w:eastAsia="en-US"/>
        </w:rPr>
        <w:t xml:space="preserve"> the technical and financial evaluation and the eligibility check</w:t>
      </w:r>
      <w:r w:rsidR="0074773C">
        <w:rPr>
          <w:rFonts w:cs="Arial"/>
          <w:sz w:val="22"/>
          <w:szCs w:val="22"/>
          <w:lang w:val="en-GB" w:eastAsia="en-US"/>
        </w:rPr>
        <w:t>.</w:t>
      </w:r>
      <w:r w:rsidRPr="00682784" w:rsidDel="008F352C">
        <w:rPr>
          <w:sz w:val="22"/>
          <w:szCs w:val="22"/>
          <w:lang w:val="en-GB"/>
        </w:rPr>
        <w:t xml:space="preserve"> </w:t>
      </w:r>
    </w:p>
    <w:p w14:paraId="4136F13F" w14:textId="77777777" w:rsidR="00A5635D" w:rsidRPr="007C6F9D" w:rsidRDefault="00FA098E" w:rsidP="007C6F9D">
      <w:pPr>
        <w:pStyle w:val="Heading3"/>
        <w:spacing w:before="240" w:after="240" w:line="264" w:lineRule="auto"/>
        <w:rPr>
          <w:b/>
          <w:sz w:val="28"/>
          <w:szCs w:val="28"/>
          <w:lang w:val="en-GB"/>
        </w:rPr>
      </w:pPr>
      <w:bookmarkStart w:id="99" w:name="_Toc310942063"/>
      <w:bookmarkStart w:id="100" w:name="_Toc423436306"/>
      <w:bookmarkEnd w:id="98"/>
      <w:r>
        <w:rPr>
          <w:b/>
          <w:sz w:val="28"/>
          <w:szCs w:val="28"/>
          <w:lang w:val="en-GB"/>
        </w:rPr>
        <w:t xml:space="preserve">7.2 </w:t>
      </w:r>
      <w:r w:rsidR="00A5635D" w:rsidRPr="007C6F9D">
        <w:rPr>
          <w:b/>
          <w:sz w:val="28"/>
          <w:szCs w:val="28"/>
          <w:lang w:val="en-GB"/>
        </w:rPr>
        <w:t>D</w:t>
      </w:r>
      <w:bookmarkEnd w:id="99"/>
      <w:r w:rsidR="007C6F9D">
        <w:rPr>
          <w:b/>
          <w:sz w:val="28"/>
          <w:szCs w:val="28"/>
          <w:lang w:val="en-GB"/>
        </w:rPr>
        <w:t>escription of the evaluation and selection process</w:t>
      </w:r>
      <w:bookmarkEnd w:id="100"/>
      <w:r w:rsidR="00A5635D" w:rsidRPr="007C6F9D">
        <w:rPr>
          <w:b/>
          <w:sz w:val="28"/>
          <w:szCs w:val="28"/>
          <w:lang w:val="en-GB"/>
        </w:rPr>
        <w:t xml:space="preserve"> </w:t>
      </w:r>
    </w:p>
    <w:p w14:paraId="73D1D147" w14:textId="77777777" w:rsidR="00A5635D" w:rsidRPr="00DC5F7F" w:rsidRDefault="00A5635D" w:rsidP="00A73EBF">
      <w:pPr>
        <w:pStyle w:val="Quadrculamitjana1mfasi21"/>
        <w:spacing w:before="120" w:line="240" w:lineRule="auto"/>
        <w:ind w:left="0"/>
        <w:rPr>
          <w:rFonts w:asciiTheme="minorHAnsi" w:hAnsiTheme="minorHAnsi"/>
          <w:sz w:val="22"/>
          <w:szCs w:val="22"/>
        </w:rPr>
      </w:pPr>
      <w:r w:rsidRPr="00DC5F7F">
        <w:rPr>
          <w:rFonts w:asciiTheme="minorHAnsi" w:hAnsiTheme="minorHAnsi"/>
          <w:sz w:val="22"/>
          <w:szCs w:val="22"/>
        </w:rPr>
        <w:t>All persons involved in the different steps of the evaluation process have to strictly adhere to the following principles:</w:t>
      </w:r>
    </w:p>
    <w:p w14:paraId="5356975D" w14:textId="77777777" w:rsidR="00A5635D" w:rsidRPr="00DC5F7F" w:rsidRDefault="00A5635D" w:rsidP="00A73EBF">
      <w:pPr>
        <w:pStyle w:val="Quadrculamitjana1mfasi21"/>
        <w:numPr>
          <w:ilvl w:val="0"/>
          <w:numId w:val="72"/>
        </w:numPr>
        <w:spacing w:before="120" w:line="240" w:lineRule="auto"/>
        <w:ind w:left="567" w:hanging="141"/>
        <w:rPr>
          <w:rFonts w:asciiTheme="minorHAnsi" w:hAnsiTheme="minorHAnsi"/>
          <w:sz w:val="22"/>
          <w:szCs w:val="22"/>
        </w:rPr>
      </w:pPr>
      <w:r w:rsidRPr="00DC5F7F">
        <w:rPr>
          <w:rFonts w:asciiTheme="minorHAnsi" w:hAnsiTheme="minorHAnsi"/>
          <w:b/>
          <w:sz w:val="22"/>
          <w:szCs w:val="22"/>
        </w:rPr>
        <w:t>Confidentiality:</w:t>
      </w:r>
      <w:r w:rsidRPr="00DC5F7F">
        <w:rPr>
          <w:rFonts w:asciiTheme="minorHAnsi" w:hAnsiTheme="minorHAnsi"/>
          <w:sz w:val="22"/>
          <w:szCs w:val="22"/>
        </w:rPr>
        <w:t xml:space="preserve"> information made available to persons involved in the evaluation process is to be treated as strictly confidential; </w:t>
      </w:r>
    </w:p>
    <w:p w14:paraId="3BF9AD51" w14:textId="77777777" w:rsidR="00A5635D" w:rsidRPr="00DC5F7F" w:rsidRDefault="00A5635D" w:rsidP="00A73EBF">
      <w:pPr>
        <w:pStyle w:val="Quadrculamitjana1mfasi21"/>
        <w:numPr>
          <w:ilvl w:val="0"/>
          <w:numId w:val="72"/>
        </w:numPr>
        <w:spacing w:before="120" w:line="240" w:lineRule="auto"/>
        <w:ind w:left="567" w:hanging="141"/>
        <w:rPr>
          <w:rFonts w:asciiTheme="minorHAnsi" w:hAnsiTheme="minorHAnsi"/>
          <w:bCs/>
          <w:sz w:val="22"/>
          <w:szCs w:val="22"/>
        </w:rPr>
      </w:pPr>
      <w:r w:rsidRPr="00DC5F7F">
        <w:rPr>
          <w:rFonts w:asciiTheme="minorHAnsi" w:hAnsiTheme="minorHAnsi"/>
          <w:b/>
          <w:bCs/>
          <w:sz w:val="22"/>
          <w:szCs w:val="22"/>
        </w:rPr>
        <w:t>Objectivity, impartiality and equality of treatment</w:t>
      </w:r>
      <w:r w:rsidRPr="00DC5F7F">
        <w:rPr>
          <w:rFonts w:asciiTheme="minorHAnsi" w:hAnsiTheme="minorHAnsi"/>
          <w:bCs/>
          <w:sz w:val="22"/>
          <w:szCs w:val="22"/>
        </w:rPr>
        <w:t xml:space="preserve">: </w:t>
      </w:r>
      <w:r w:rsidRPr="00DC5F7F">
        <w:rPr>
          <w:rFonts w:asciiTheme="minorHAnsi" w:hAnsiTheme="minorHAnsi"/>
          <w:sz w:val="22"/>
          <w:szCs w:val="22"/>
        </w:rPr>
        <w:t>Projects have to be assessed alike and treated impartially on their merits, following a review strictly based upon the information they contain and the published selection criteria. Any case of possible conflict of interest has to be reported to the SC Chairperson, and the respective person should withdraw immediately from the selection process</w:t>
      </w:r>
      <w:r w:rsidRPr="00DC5F7F">
        <w:rPr>
          <w:rFonts w:asciiTheme="minorHAnsi" w:hAnsiTheme="minorHAnsi"/>
          <w:bCs/>
          <w:sz w:val="22"/>
          <w:szCs w:val="22"/>
        </w:rPr>
        <w:t xml:space="preserve">. </w:t>
      </w:r>
      <w:r w:rsidRPr="00DC5F7F">
        <w:rPr>
          <w:rFonts w:asciiTheme="minorHAnsi" w:hAnsiTheme="minorHAnsi" w:cs="Arial"/>
          <w:sz w:val="22"/>
          <w:szCs w:val="22"/>
        </w:rPr>
        <w:t>All SC</w:t>
      </w:r>
      <w:r w:rsidRPr="00DC5F7F">
        <w:rPr>
          <w:rFonts w:asciiTheme="minorHAnsi" w:hAnsiTheme="minorHAnsi"/>
          <w:bCs/>
          <w:sz w:val="22"/>
          <w:szCs w:val="22"/>
        </w:rPr>
        <w:t xml:space="preserve"> </w:t>
      </w:r>
      <w:r w:rsidRPr="00DC5F7F">
        <w:rPr>
          <w:rFonts w:asciiTheme="minorHAnsi" w:hAnsiTheme="minorHAnsi" w:cs="Arial"/>
          <w:bCs/>
          <w:sz w:val="22"/>
          <w:szCs w:val="22"/>
        </w:rPr>
        <w:lastRenderedPageBreak/>
        <w:t xml:space="preserve">members (voting and non-voting members) as well as all internal and external assessors </w:t>
      </w:r>
      <w:r w:rsidRPr="00DC5F7F">
        <w:rPr>
          <w:rFonts w:asciiTheme="minorHAnsi" w:hAnsiTheme="minorHAnsi" w:cs="Arial"/>
          <w:sz w:val="22"/>
          <w:szCs w:val="22"/>
        </w:rPr>
        <w:t xml:space="preserve">must sign a </w:t>
      </w:r>
      <w:r w:rsidRPr="00DC5F7F">
        <w:rPr>
          <w:rFonts w:asciiTheme="minorHAnsi" w:hAnsiTheme="minorHAnsi" w:cs="Arial"/>
          <w:bCs/>
          <w:sz w:val="22"/>
          <w:szCs w:val="22"/>
        </w:rPr>
        <w:t>Declaration of Impartiality and Confidentiality;</w:t>
      </w:r>
    </w:p>
    <w:p w14:paraId="747AD0CB" w14:textId="77777777" w:rsidR="00A5635D" w:rsidRDefault="00125488" w:rsidP="00A73EBF">
      <w:pPr>
        <w:pStyle w:val="Quadrculamitjana1mfasi21"/>
        <w:numPr>
          <w:ilvl w:val="0"/>
          <w:numId w:val="72"/>
        </w:numPr>
        <w:spacing w:before="120" w:line="240" w:lineRule="auto"/>
        <w:ind w:left="567" w:hanging="141"/>
        <w:rPr>
          <w:rFonts w:asciiTheme="minorHAnsi" w:hAnsiTheme="minorHAnsi"/>
          <w:b/>
          <w:bCs/>
          <w:sz w:val="22"/>
          <w:szCs w:val="22"/>
        </w:rPr>
      </w:pPr>
      <w:r>
        <w:rPr>
          <w:rFonts w:asciiTheme="minorHAnsi" w:hAnsiTheme="minorHAnsi"/>
          <w:b/>
          <w:bCs/>
          <w:sz w:val="22"/>
          <w:szCs w:val="22"/>
        </w:rPr>
        <w:t>Transparency and clarity.</w:t>
      </w:r>
    </w:p>
    <w:p w14:paraId="26A8E9D1" w14:textId="77777777" w:rsidR="00125488" w:rsidRPr="00DC5F7F" w:rsidRDefault="00125488" w:rsidP="00DC5F7F">
      <w:pPr>
        <w:pStyle w:val="Quadrculamitjana1mfasi21"/>
        <w:spacing w:line="240" w:lineRule="auto"/>
        <w:rPr>
          <w:rFonts w:asciiTheme="minorHAnsi" w:hAnsiTheme="minorHAnsi"/>
          <w:b/>
          <w:sz w:val="22"/>
          <w:szCs w:val="22"/>
        </w:rPr>
      </w:pPr>
    </w:p>
    <w:p w14:paraId="391ECA52" w14:textId="77777777" w:rsidR="00B32095" w:rsidRDefault="00C425D7" w:rsidP="00B32095">
      <w:pPr>
        <w:spacing w:line="240" w:lineRule="auto"/>
        <w:jc w:val="both"/>
        <w:rPr>
          <w:rFonts w:ascii="Trebuchet MS" w:eastAsia="Times New Roman" w:hAnsi="Trebuchet MS" w:cs="Calibri"/>
          <w:sz w:val="22"/>
          <w:szCs w:val="22"/>
          <w:lang w:val="en-GB" w:eastAsia="ar-SA"/>
        </w:rPr>
      </w:pPr>
      <w:r w:rsidRPr="00C425D7">
        <w:rPr>
          <w:noProof/>
          <w:lang w:val="en-GB" w:eastAsia="en-GB"/>
        </w:rPr>
        <w:drawing>
          <wp:anchor distT="0" distB="0" distL="114300" distR="114300" simplePos="0" relativeHeight="251676672" behindDoc="0" locked="0" layoutInCell="1" allowOverlap="1" wp14:anchorId="744F35B1" wp14:editId="1DCBB0BA">
            <wp:simplePos x="0" y="0"/>
            <wp:positionH relativeFrom="column">
              <wp:posOffset>3886200</wp:posOffset>
            </wp:positionH>
            <wp:positionV relativeFrom="paragraph">
              <wp:posOffset>403225</wp:posOffset>
            </wp:positionV>
            <wp:extent cx="1397000" cy="1270000"/>
            <wp:effectExtent l="0" t="0" r="0" b="0"/>
            <wp:wrapThrough wrapText="bothSides">
              <wp:wrapPolygon edited="0">
                <wp:start x="0" y="0"/>
                <wp:lineTo x="0" y="21168"/>
                <wp:lineTo x="21207" y="21168"/>
                <wp:lineTo x="21207" y="0"/>
                <wp:lineTo x="0" y="0"/>
              </wp:wrapPolygon>
            </wp:wrapThrough>
            <wp:docPr id="1169"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970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2808">
        <w:rPr>
          <w:noProof/>
          <w:lang w:val="en-GB" w:eastAsia="en-GB"/>
        </w:rPr>
        <w:drawing>
          <wp:anchor distT="0" distB="0" distL="114300" distR="114300" simplePos="0" relativeHeight="251670528" behindDoc="0" locked="0" layoutInCell="1" allowOverlap="1" wp14:anchorId="2A4798ED" wp14:editId="17C28F45">
            <wp:simplePos x="0" y="0"/>
            <wp:positionH relativeFrom="column">
              <wp:posOffset>-114300</wp:posOffset>
            </wp:positionH>
            <wp:positionV relativeFrom="paragraph">
              <wp:posOffset>474345</wp:posOffset>
            </wp:positionV>
            <wp:extent cx="1397000" cy="1106170"/>
            <wp:effectExtent l="0" t="0" r="0" b="11430"/>
            <wp:wrapThrough wrapText="bothSides">
              <wp:wrapPolygon edited="0">
                <wp:start x="0" y="0"/>
                <wp:lineTo x="0" y="21327"/>
                <wp:lineTo x="21207" y="21327"/>
                <wp:lineTo x="21207" y="0"/>
                <wp:lineTo x="0" y="0"/>
              </wp:wrapPolygon>
            </wp:wrapThrough>
            <wp:docPr id="1164"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97000" cy="110617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35D" w:rsidRPr="00682784">
        <w:rPr>
          <w:sz w:val="22"/>
          <w:szCs w:val="22"/>
          <w:lang w:val="en-GB"/>
        </w:rPr>
        <w:t>The different steps of the assessment process in the framework of the Black Sea Basin Programme can be summarized as follows:</w:t>
      </w:r>
      <w:bookmarkStart w:id="101" w:name="_Toc310942065"/>
      <w:r w:rsidR="00B32095" w:rsidRPr="00B32095">
        <w:rPr>
          <w:rFonts w:ascii="Trebuchet MS" w:eastAsia="Times New Roman" w:hAnsi="Trebuchet MS" w:cs="Calibri"/>
          <w:sz w:val="22"/>
          <w:szCs w:val="22"/>
          <w:lang w:val="en-GB" w:eastAsia="ar-SA"/>
        </w:rPr>
        <w:t xml:space="preserve"> </w:t>
      </w:r>
    </w:p>
    <w:p w14:paraId="6D448BFF" w14:textId="77777777" w:rsidR="001B2808" w:rsidRPr="00B32095" w:rsidRDefault="00C425D7" w:rsidP="00B32095">
      <w:pPr>
        <w:spacing w:line="240" w:lineRule="auto"/>
        <w:jc w:val="both"/>
        <w:rPr>
          <w:rFonts w:ascii="Trebuchet MS" w:eastAsia="Times New Roman" w:hAnsi="Trebuchet MS" w:cs="Arial"/>
          <w:b/>
          <w:bCs/>
          <w:iCs/>
          <w:color w:val="8DB3E2"/>
          <w:sz w:val="22"/>
          <w:szCs w:val="22"/>
          <w:lang w:val="en-GB" w:eastAsia="ar-SA"/>
        </w:rPr>
      </w:pPr>
      <w:r w:rsidRPr="00C425D7">
        <w:rPr>
          <w:noProof/>
          <w:lang w:val="en-GB" w:eastAsia="en-GB"/>
        </w:rPr>
        <w:drawing>
          <wp:anchor distT="0" distB="0" distL="114300" distR="114300" simplePos="0" relativeHeight="251674624" behindDoc="0" locked="0" layoutInCell="1" allowOverlap="1" wp14:anchorId="1DFF155F" wp14:editId="5DE3A60A">
            <wp:simplePos x="0" y="0"/>
            <wp:positionH relativeFrom="column">
              <wp:posOffset>1372235</wp:posOffset>
            </wp:positionH>
            <wp:positionV relativeFrom="paragraph">
              <wp:posOffset>42545</wp:posOffset>
            </wp:positionV>
            <wp:extent cx="1168400" cy="1016000"/>
            <wp:effectExtent l="0" t="0" r="0" b="0"/>
            <wp:wrapThrough wrapText="bothSides">
              <wp:wrapPolygon edited="0">
                <wp:start x="0" y="0"/>
                <wp:lineTo x="0" y="21060"/>
                <wp:lineTo x="21130" y="21060"/>
                <wp:lineTo x="21130" y="0"/>
                <wp:lineTo x="0" y="0"/>
              </wp:wrapPolygon>
            </wp:wrapThrough>
            <wp:docPr id="1167"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6840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5D7">
        <w:rPr>
          <w:noProof/>
          <w:lang w:val="en-GB" w:eastAsia="en-GB"/>
        </w:rPr>
        <w:drawing>
          <wp:anchor distT="0" distB="0" distL="114300" distR="114300" simplePos="0" relativeHeight="251672576" behindDoc="0" locked="0" layoutInCell="1" allowOverlap="1" wp14:anchorId="0165C73F" wp14:editId="389967CC">
            <wp:simplePos x="0" y="0"/>
            <wp:positionH relativeFrom="column">
              <wp:posOffset>-113665</wp:posOffset>
            </wp:positionH>
            <wp:positionV relativeFrom="paragraph">
              <wp:posOffset>42545</wp:posOffset>
            </wp:positionV>
            <wp:extent cx="1460500" cy="1016000"/>
            <wp:effectExtent l="0" t="0" r="12700" b="0"/>
            <wp:wrapThrough wrapText="bothSides">
              <wp:wrapPolygon edited="0">
                <wp:start x="0" y="0"/>
                <wp:lineTo x="0" y="21060"/>
                <wp:lineTo x="21412" y="21060"/>
                <wp:lineTo x="21412" y="0"/>
                <wp:lineTo x="0" y="0"/>
              </wp:wrapPolygon>
            </wp:wrapThrough>
            <wp:docPr id="1166"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605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B982A" w14:textId="77777777" w:rsidR="00B32095" w:rsidRPr="00B32095" w:rsidRDefault="00B32095" w:rsidP="00B32095">
      <w:pPr>
        <w:keepNext/>
        <w:suppressAutoHyphens/>
        <w:spacing w:before="240" w:after="60" w:line="312" w:lineRule="auto"/>
        <w:jc w:val="both"/>
        <w:outlineLvl w:val="1"/>
        <w:rPr>
          <w:rFonts w:ascii="Trebuchet MS" w:eastAsia="Times New Roman" w:hAnsi="Trebuchet MS" w:cs="Arial"/>
          <w:b/>
          <w:bCs/>
          <w:iCs/>
          <w:color w:val="8DB3E2"/>
          <w:sz w:val="22"/>
          <w:szCs w:val="22"/>
          <w:lang w:val="en-GB" w:eastAsia="ar-SA"/>
        </w:rPr>
      </w:pPr>
    </w:p>
    <w:p w14:paraId="2CC97E11" w14:textId="77777777" w:rsidR="00B32095" w:rsidRPr="00682784" w:rsidRDefault="005D41F6" w:rsidP="008D7677">
      <w:pPr>
        <w:rPr>
          <w:lang w:val="en-GB"/>
        </w:rPr>
      </w:pPr>
      <w:r>
        <w:rPr>
          <w:noProof/>
          <w:lang w:val="en-GB" w:eastAsia="en-GB"/>
        </w:rPr>
        <mc:AlternateContent>
          <mc:Choice Requires="wps">
            <w:drawing>
              <wp:anchor distT="0" distB="0" distL="114300" distR="114300" simplePos="0" relativeHeight="251677696" behindDoc="0" locked="0" layoutInCell="1" allowOverlap="1" wp14:anchorId="702FC184" wp14:editId="731FEA66">
                <wp:simplePos x="0" y="0"/>
                <wp:positionH relativeFrom="column">
                  <wp:posOffset>114935</wp:posOffset>
                </wp:positionH>
                <wp:positionV relativeFrom="paragraph">
                  <wp:posOffset>50800</wp:posOffset>
                </wp:positionV>
                <wp:extent cx="390525" cy="161925"/>
                <wp:effectExtent l="0" t="25400" r="41275" b="41275"/>
                <wp:wrapThrough wrapText="bothSides">
                  <wp:wrapPolygon edited="0">
                    <wp:start x="12644" y="-3388"/>
                    <wp:lineTo x="0" y="0"/>
                    <wp:lineTo x="0" y="16941"/>
                    <wp:lineTo x="12644" y="23718"/>
                    <wp:lineTo x="18263" y="23718"/>
                    <wp:lineTo x="22478" y="10165"/>
                    <wp:lineTo x="21073" y="-3388"/>
                    <wp:lineTo x="12644" y="-3388"/>
                  </wp:wrapPolygon>
                </wp:wrapThrough>
                <wp:docPr id="1170" name="Flèche vers la droite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61925"/>
                        </a:xfrm>
                        <a:prstGeom prst="rightArrow">
                          <a:avLst>
                            <a:gd name="adj1" fmla="val 50000"/>
                            <a:gd name="adj2" fmla="val 60294"/>
                          </a:avLst>
                        </a:prstGeom>
                        <a:solidFill>
                          <a:srgbClr val="003399"/>
                        </a:solidFill>
                        <a:ln w="9525">
                          <a:solidFill>
                            <a:srgbClr val="00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vers la droite 1170" o:spid="_x0000_s1026" type="#_x0000_t13" style="position:absolute;margin-left:9.05pt;margin-top:4pt;width:30.7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" fillcolor="#039" strokecolor="#039">
                <w10:wrap type="through"/>
              </v:shape>
            </w:pict>
          </mc:Fallback>
        </mc:AlternateContent>
      </w:r>
    </w:p>
    <w:p w14:paraId="48F620ED" w14:textId="77777777" w:rsidR="00B32095" w:rsidRPr="00682784" w:rsidRDefault="00A066C2" w:rsidP="005754DF">
      <w:pPr>
        <w:rPr>
          <w:i/>
          <w:color w:val="8DB3E2"/>
          <w:sz w:val="22"/>
          <w:szCs w:val="22"/>
          <w:lang w:val="en-GB"/>
        </w:rPr>
      </w:pPr>
      <w:r w:rsidRPr="00A066C2">
        <w:rPr>
          <w:noProof/>
          <w:lang w:val="en-GB" w:eastAsia="en-GB"/>
        </w:rPr>
        <w:drawing>
          <wp:anchor distT="0" distB="0" distL="114300" distR="114300" simplePos="0" relativeHeight="251685888" behindDoc="0" locked="0" layoutInCell="1" allowOverlap="1" wp14:anchorId="2A70383A" wp14:editId="2E29D593">
            <wp:simplePos x="0" y="0"/>
            <wp:positionH relativeFrom="column">
              <wp:posOffset>4800600</wp:posOffset>
            </wp:positionH>
            <wp:positionV relativeFrom="paragraph">
              <wp:posOffset>220980</wp:posOffset>
            </wp:positionV>
            <wp:extent cx="1231900" cy="1168400"/>
            <wp:effectExtent l="0" t="0" r="12700" b="0"/>
            <wp:wrapThrough wrapText="bothSides">
              <wp:wrapPolygon edited="0">
                <wp:start x="0" y="0"/>
                <wp:lineTo x="0" y="21130"/>
                <wp:lineTo x="21377" y="21130"/>
                <wp:lineTo x="21377" y="0"/>
                <wp:lineTo x="0" y="0"/>
              </wp:wrapPolygon>
            </wp:wrapThrough>
            <wp:docPr id="1177"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3190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C40" w:rsidRPr="00734C40">
        <w:rPr>
          <w:noProof/>
          <w:lang w:val="en-GB" w:eastAsia="en-GB"/>
        </w:rPr>
        <w:drawing>
          <wp:anchor distT="0" distB="0" distL="114300" distR="114300" simplePos="0" relativeHeight="251683840" behindDoc="0" locked="0" layoutInCell="1" allowOverlap="1" wp14:anchorId="15F32D57" wp14:editId="2D1F1A47">
            <wp:simplePos x="0" y="0"/>
            <wp:positionH relativeFrom="column">
              <wp:posOffset>2514600</wp:posOffset>
            </wp:positionH>
            <wp:positionV relativeFrom="paragraph">
              <wp:posOffset>137795</wp:posOffset>
            </wp:positionV>
            <wp:extent cx="1397000" cy="1257300"/>
            <wp:effectExtent l="0" t="0" r="0" b="12700"/>
            <wp:wrapThrough wrapText="bothSides">
              <wp:wrapPolygon edited="0">
                <wp:start x="0" y="0"/>
                <wp:lineTo x="0" y="21382"/>
                <wp:lineTo x="21207" y="21382"/>
                <wp:lineTo x="21207" y="0"/>
                <wp:lineTo x="0" y="0"/>
              </wp:wrapPolygon>
            </wp:wrapThrough>
            <wp:docPr id="1173"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97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C40" w:rsidRPr="00734C40">
        <w:rPr>
          <w:noProof/>
          <w:lang w:val="en-GB" w:eastAsia="en-GB"/>
        </w:rPr>
        <w:drawing>
          <wp:anchor distT="0" distB="0" distL="114300" distR="114300" simplePos="0" relativeHeight="251681792" behindDoc="0" locked="0" layoutInCell="1" allowOverlap="1" wp14:anchorId="1D3FEE10" wp14:editId="389C8E3D">
            <wp:simplePos x="0" y="0"/>
            <wp:positionH relativeFrom="column">
              <wp:posOffset>1371600</wp:posOffset>
            </wp:positionH>
            <wp:positionV relativeFrom="paragraph">
              <wp:posOffset>252095</wp:posOffset>
            </wp:positionV>
            <wp:extent cx="1168400" cy="1016000"/>
            <wp:effectExtent l="0" t="0" r="0" b="0"/>
            <wp:wrapThrough wrapText="bothSides">
              <wp:wrapPolygon edited="0">
                <wp:start x="0" y="0"/>
                <wp:lineTo x="0" y="21060"/>
                <wp:lineTo x="21130" y="21060"/>
                <wp:lineTo x="21130" y="0"/>
                <wp:lineTo x="0" y="0"/>
              </wp:wrapPolygon>
            </wp:wrapThrough>
            <wp:docPr id="1172"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68400" cy="101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C40" w:rsidRPr="00734C40">
        <w:rPr>
          <w:noProof/>
          <w:lang w:val="en-GB" w:eastAsia="en-GB"/>
        </w:rPr>
        <w:drawing>
          <wp:anchor distT="0" distB="0" distL="114300" distR="114300" simplePos="0" relativeHeight="251679744" behindDoc="0" locked="0" layoutInCell="1" allowOverlap="1" wp14:anchorId="69099D5D" wp14:editId="30E6E582">
            <wp:simplePos x="0" y="0"/>
            <wp:positionH relativeFrom="column">
              <wp:posOffset>0</wp:posOffset>
            </wp:positionH>
            <wp:positionV relativeFrom="paragraph">
              <wp:posOffset>252095</wp:posOffset>
            </wp:positionV>
            <wp:extent cx="1333500" cy="1016000"/>
            <wp:effectExtent l="0" t="0" r="12700" b="0"/>
            <wp:wrapThrough wrapText="bothSides">
              <wp:wrapPolygon edited="0">
                <wp:start x="0" y="0"/>
                <wp:lineTo x="0" y="21060"/>
                <wp:lineTo x="21394" y="21060"/>
                <wp:lineTo x="21394" y="0"/>
                <wp:lineTo x="0" y="0"/>
              </wp:wrapPolygon>
            </wp:wrapThrough>
            <wp:docPr id="1171"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3350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59FA44" w14:textId="77777777" w:rsidR="008D7677" w:rsidRPr="005754DF" w:rsidRDefault="008D7677" w:rsidP="008D7677">
      <w:pPr>
        <w:rPr>
          <w:lang w:val="en-GB"/>
        </w:rPr>
      </w:pPr>
    </w:p>
    <w:p w14:paraId="07E2D833" w14:textId="77777777" w:rsidR="00734C40" w:rsidRPr="00682784" w:rsidRDefault="005D41F6" w:rsidP="008D7677">
      <w:pPr>
        <w:spacing w:line="240" w:lineRule="auto"/>
        <w:rPr>
          <w:lang w:val="en-GB"/>
        </w:rPr>
      </w:pPr>
      <w:r>
        <w:rPr>
          <w:rFonts w:ascii="Trebuchet MS" w:hAnsi="Trebuchet MS"/>
          <w:i/>
          <w:noProof/>
          <w:color w:val="8DB3E2"/>
          <w:sz w:val="22"/>
          <w:szCs w:val="22"/>
          <w:lang w:val="en-GB" w:eastAsia="en-GB"/>
        </w:rPr>
        <w:drawing>
          <wp:inline distT="0" distB="0" distL="0" distR="0" wp14:anchorId="24FF7535" wp14:editId="774048F1">
            <wp:extent cx="455801" cy="222836"/>
            <wp:effectExtent l="0" t="0" r="1905" b="6350"/>
            <wp:docPr id="1175"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5801" cy="222836"/>
                    </a:xfrm>
                    <a:prstGeom prst="rect">
                      <a:avLst/>
                    </a:prstGeom>
                    <a:noFill/>
                  </pic:spPr>
                </pic:pic>
              </a:graphicData>
            </a:graphic>
          </wp:inline>
        </w:drawing>
      </w:r>
      <w:r w:rsidRPr="00682784">
        <w:rPr>
          <w:lang w:val="en-GB"/>
        </w:rPr>
        <w:t xml:space="preserve"> </w:t>
      </w:r>
    </w:p>
    <w:p w14:paraId="248CD9AC" w14:textId="77777777" w:rsidR="00734C40" w:rsidRPr="00682784" w:rsidRDefault="00734C40" w:rsidP="008D7677">
      <w:pPr>
        <w:rPr>
          <w:lang w:val="en-GB"/>
        </w:rPr>
      </w:pPr>
    </w:p>
    <w:bookmarkEnd w:id="101"/>
    <w:p w14:paraId="4A87575A" w14:textId="77777777" w:rsidR="00A5635D" w:rsidRPr="00717A56" w:rsidRDefault="00717A56" w:rsidP="005754DF">
      <w:pPr>
        <w:spacing w:before="480" w:after="120"/>
        <w:jc w:val="both"/>
        <w:rPr>
          <w:b/>
          <w:lang w:val="en-GB"/>
        </w:rPr>
      </w:pPr>
      <w:r>
        <w:rPr>
          <w:b/>
          <w:lang w:val="en-GB"/>
        </w:rPr>
        <w:t>Administrative check (step 1)</w:t>
      </w:r>
    </w:p>
    <w:p w14:paraId="452EF68E" w14:textId="77777777" w:rsidR="00A5635D" w:rsidRPr="00682784" w:rsidRDefault="00A5635D" w:rsidP="00DD0F44">
      <w:pPr>
        <w:spacing w:after="120" w:line="264" w:lineRule="auto"/>
        <w:jc w:val="both"/>
        <w:rPr>
          <w:b/>
          <w:bCs/>
          <w:sz w:val="22"/>
          <w:szCs w:val="22"/>
          <w:lang w:val="en-GB"/>
        </w:rPr>
      </w:pPr>
      <w:r w:rsidRPr="00682784">
        <w:rPr>
          <w:sz w:val="22"/>
          <w:szCs w:val="22"/>
          <w:lang w:val="en-GB"/>
        </w:rPr>
        <w:t xml:space="preserve">The administrative check will be </w:t>
      </w:r>
      <w:r w:rsidRPr="00682784">
        <w:rPr>
          <w:bCs/>
          <w:sz w:val="22"/>
          <w:szCs w:val="22"/>
          <w:lang w:val="en-GB"/>
        </w:rPr>
        <w:t>carried out</w:t>
      </w:r>
      <w:r w:rsidRPr="00682784">
        <w:rPr>
          <w:b/>
          <w:bCs/>
          <w:sz w:val="22"/>
          <w:szCs w:val="22"/>
          <w:lang w:val="en-GB"/>
        </w:rPr>
        <w:t xml:space="preserve"> by internal assessors nominated from the MA and JTS staff under the supervision of the SC Chairperson and Secretary</w:t>
      </w:r>
      <w:r w:rsidRPr="00682784">
        <w:rPr>
          <w:sz w:val="22"/>
          <w:szCs w:val="22"/>
          <w:lang w:val="en-GB"/>
        </w:rPr>
        <w:t xml:space="preserve">. Each project proposal will be examined by 2 internal assessors: both assessors shall fill in the </w:t>
      </w:r>
      <w:r w:rsidRPr="00682784">
        <w:rPr>
          <w:b/>
          <w:bCs/>
          <w:sz w:val="22"/>
          <w:szCs w:val="22"/>
          <w:lang w:val="en-GB"/>
        </w:rPr>
        <w:t>administrative check grids.</w:t>
      </w:r>
      <w:r w:rsidRPr="00682784">
        <w:rPr>
          <w:sz w:val="22"/>
          <w:szCs w:val="22"/>
          <w:lang w:val="en-GB"/>
        </w:rPr>
        <w:t xml:space="preserve"> </w:t>
      </w:r>
    </w:p>
    <w:p w14:paraId="35B57DC7" w14:textId="77777777" w:rsidR="00A5635D" w:rsidRPr="00682784" w:rsidRDefault="00A5635D" w:rsidP="00DD0F44">
      <w:pPr>
        <w:spacing w:after="120" w:line="264" w:lineRule="auto"/>
        <w:jc w:val="both"/>
        <w:rPr>
          <w:b/>
          <w:bCs/>
          <w:sz w:val="22"/>
          <w:szCs w:val="22"/>
          <w:lang w:val="en-GB"/>
        </w:rPr>
      </w:pPr>
      <w:r w:rsidRPr="00682784">
        <w:rPr>
          <w:sz w:val="22"/>
          <w:szCs w:val="22"/>
          <w:lang w:val="en-GB"/>
        </w:rPr>
        <w:t xml:space="preserve">Once the administrative check is complete, the </w:t>
      </w:r>
      <w:r w:rsidRPr="00682784">
        <w:rPr>
          <w:bCs/>
          <w:sz w:val="22"/>
          <w:szCs w:val="22"/>
          <w:lang w:val="en-GB"/>
        </w:rPr>
        <w:t>Chairperson</w:t>
      </w:r>
      <w:r w:rsidRPr="00682784">
        <w:rPr>
          <w:sz w:val="22"/>
          <w:szCs w:val="22"/>
          <w:lang w:val="en-GB"/>
        </w:rPr>
        <w:t xml:space="preserve">, with the support of the Secretary, will </w:t>
      </w:r>
      <w:r w:rsidRPr="00682784">
        <w:rPr>
          <w:b/>
          <w:bCs/>
          <w:sz w:val="22"/>
          <w:szCs w:val="22"/>
          <w:lang w:val="en-GB"/>
        </w:rPr>
        <w:t>establish a list of all the proposals satisfying the criteria and a list of proposals not satisfying the criteria.</w:t>
      </w:r>
    </w:p>
    <w:p w14:paraId="0EA70D1E" w14:textId="77777777" w:rsidR="00A5635D" w:rsidRPr="00682784" w:rsidRDefault="00A5635D" w:rsidP="00DD0F44">
      <w:pPr>
        <w:spacing w:after="120" w:line="264" w:lineRule="auto"/>
        <w:jc w:val="both"/>
        <w:rPr>
          <w:sz w:val="22"/>
          <w:szCs w:val="22"/>
          <w:lang w:val="en-GB"/>
        </w:rPr>
      </w:pPr>
      <w:r w:rsidRPr="00682784">
        <w:rPr>
          <w:sz w:val="22"/>
          <w:szCs w:val="22"/>
          <w:lang w:val="en-GB"/>
        </w:rPr>
        <w:t>These lists and the administrative grids for all the applications submitted will be presented to the SC voting members for endorsement.</w:t>
      </w:r>
    </w:p>
    <w:p w14:paraId="39AEF8DD" w14:textId="77777777" w:rsidR="00A5635D" w:rsidRPr="00682784" w:rsidRDefault="00A5635D" w:rsidP="00DD0F44">
      <w:pPr>
        <w:autoSpaceDE w:val="0"/>
        <w:spacing w:after="120" w:line="264" w:lineRule="auto"/>
        <w:jc w:val="both"/>
        <w:rPr>
          <w:bCs/>
          <w:sz w:val="22"/>
          <w:szCs w:val="22"/>
          <w:lang w:val="en-GB"/>
        </w:rPr>
      </w:pPr>
      <w:r w:rsidRPr="00682784">
        <w:rPr>
          <w:sz w:val="22"/>
          <w:szCs w:val="22"/>
          <w:lang w:val="en-GB"/>
        </w:rPr>
        <w:t>Once the voting members of the SC have agreed on the outcome of Step 1,</w:t>
      </w:r>
      <w:r w:rsidRPr="00682784">
        <w:rPr>
          <w:color w:val="FF0000"/>
          <w:sz w:val="22"/>
          <w:szCs w:val="22"/>
          <w:lang w:val="en-GB"/>
        </w:rPr>
        <w:t xml:space="preserve"> </w:t>
      </w:r>
      <w:r w:rsidRPr="00682784">
        <w:rPr>
          <w:sz w:val="22"/>
          <w:szCs w:val="22"/>
          <w:lang w:val="en-GB"/>
        </w:rPr>
        <w:t xml:space="preserve">the report and the minutes of the SC meeting will be signed by all members of the Committee (voting and non-voting) and the </w:t>
      </w:r>
      <w:r w:rsidRPr="00682784">
        <w:rPr>
          <w:i/>
          <w:sz w:val="22"/>
          <w:szCs w:val="22"/>
          <w:lang w:val="en-GB"/>
        </w:rPr>
        <w:t>Administrative Check Report</w:t>
      </w:r>
      <w:r w:rsidRPr="00682784">
        <w:rPr>
          <w:sz w:val="22"/>
          <w:szCs w:val="22"/>
          <w:lang w:val="en-GB"/>
        </w:rPr>
        <w:t xml:space="preserve"> </w:t>
      </w:r>
      <w:r w:rsidRPr="00682784">
        <w:rPr>
          <w:bCs/>
          <w:sz w:val="22"/>
          <w:szCs w:val="22"/>
          <w:lang w:val="en-GB"/>
        </w:rPr>
        <w:t>is</w:t>
      </w:r>
      <w:r w:rsidRPr="00682784">
        <w:rPr>
          <w:b/>
          <w:bCs/>
          <w:sz w:val="22"/>
          <w:szCs w:val="22"/>
          <w:lang w:val="en-GB"/>
        </w:rPr>
        <w:t xml:space="preserve"> submitted to the MA for endorsement of the evaluation procedure</w:t>
      </w:r>
      <w:r w:rsidRPr="00682784">
        <w:rPr>
          <w:bCs/>
          <w:i/>
          <w:iCs/>
          <w:color w:val="0000FF"/>
          <w:sz w:val="22"/>
          <w:szCs w:val="22"/>
          <w:lang w:val="en-GB"/>
        </w:rPr>
        <w:t xml:space="preserve">. </w:t>
      </w:r>
      <w:r w:rsidRPr="00682784">
        <w:rPr>
          <w:bCs/>
          <w:sz w:val="22"/>
          <w:szCs w:val="22"/>
          <w:lang w:val="en-GB"/>
        </w:rPr>
        <w:t xml:space="preserve">The </w:t>
      </w:r>
      <w:r w:rsidRPr="00682784">
        <w:rPr>
          <w:b/>
          <w:bCs/>
          <w:sz w:val="22"/>
          <w:szCs w:val="22"/>
          <w:lang w:val="en-GB"/>
        </w:rPr>
        <w:t>MA</w:t>
      </w:r>
      <w:r w:rsidRPr="00682784">
        <w:rPr>
          <w:bCs/>
          <w:sz w:val="22"/>
          <w:szCs w:val="22"/>
          <w:lang w:val="en-GB"/>
        </w:rPr>
        <w:t xml:space="preserve"> will verify whether the evaluation process took place according to the regulations and provisions in </w:t>
      </w:r>
      <w:proofErr w:type="gramStart"/>
      <w:r w:rsidRPr="00682784">
        <w:rPr>
          <w:bCs/>
          <w:sz w:val="22"/>
          <w:szCs w:val="22"/>
          <w:lang w:val="en-GB"/>
        </w:rPr>
        <w:t>force,</w:t>
      </w:r>
      <w:proofErr w:type="gramEnd"/>
      <w:r w:rsidRPr="00682784">
        <w:rPr>
          <w:bCs/>
          <w:sz w:val="22"/>
          <w:szCs w:val="22"/>
          <w:lang w:val="en-GB"/>
        </w:rPr>
        <w:t xml:space="preserve"> identify any possible irregularities in the procedure and inform the JMC accordingly. </w:t>
      </w:r>
    </w:p>
    <w:p w14:paraId="088DFC46" w14:textId="77777777" w:rsidR="00A5635D" w:rsidRPr="00682784" w:rsidRDefault="00A5635D" w:rsidP="00DD0F44">
      <w:pPr>
        <w:spacing w:after="120" w:line="264" w:lineRule="auto"/>
        <w:jc w:val="both"/>
        <w:rPr>
          <w:b/>
          <w:bCs/>
          <w:sz w:val="22"/>
          <w:szCs w:val="22"/>
          <w:lang w:val="en-GB"/>
        </w:rPr>
      </w:pPr>
      <w:r w:rsidRPr="00682784">
        <w:rPr>
          <w:bCs/>
          <w:sz w:val="22"/>
          <w:szCs w:val="22"/>
          <w:lang w:val="en-GB"/>
        </w:rPr>
        <w:t xml:space="preserve">The endorsed </w:t>
      </w:r>
      <w:r w:rsidRPr="00682784">
        <w:rPr>
          <w:i/>
          <w:sz w:val="22"/>
          <w:szCs w:val="22"/>
          <w:lang w:val="en-GB"/>
        </w:rPr>
        <w:t>Administrative Check Report</w:t>
      </w:r>
      <w:r w:rsidRPr="00682784">
        <w:rPr>
          <w:sz w:val="22"/>
          <w:szCs w:val="22"/>
          <w:lang w:val="en-GB"/>
        </w:rPr>
        <w:t xml:space="preserve"> </w:t>
      </w:r>
      <w:r w:rsidRPr="00682784">
        <w:rPr>
          <w:bCs/>
          <w:sz w:val="22"/>
          <w:szCs w:val="22"/>
          <w:lang w:val="en-GB"/>
        </w:rPr>
        <w:t>will be</w:t>
      </w:r>
      <w:r w:rsidRPr="00682784">
        <w:rPr>
          <w:b/>
          <w:bCs/>
          <w:sz w:val="22"/>
          <w:szCs w:val="22"/>
          <w:lang w:val="en-GB"/>
        </w:rPr>
        <w:t xml:space="preserve"> submitted to the JMC for approval.</w:t>
      </w:r>
    </w:p>
    <w:p w14:paraId="4A13AF91" w14:textId="77777777" w:rsidR="00A5635D" w:rsidRPr="00717A56" w:rsidRDefault="00A5635D" w:rsidP="00D67190">
      <w:pPr>
        <w:spacing w:before="240" w:after="120" w:line="264" w:lineRule="auto"/>
        <w:jc w:val="both"/>
        <w:rPr>
          <w:b/>
          <w:lang w:val="en-GB"/>
        </w:rPr>
      </w:pPr>
      <w:bookmarkStart w:id="102" w:name="_Toc310942068"/>
      <w:r w:rsidRPr="00717A56">
        <w:rPr>
          <w:b/>
          <w:lang w:val="en-GB"/>
        </w:rPr>
        <w:t>T</w:t>
      </w:r>
      <w:bookmarkEnd w:id="102"/>
      <w:r w:rsidR="00717A56">
        <w:rPr>
          <w:b/>
          <w:lang w:val="en-GB"/>
        </w:rPr>
        <w:t>echnical and financial evaluation (step 2)</w:t>
      </w:r>
    </w:p>
    <w:p w14:paraId="704338F8" w14:textId="77777777" w:rsidR="00A5635D" w:rsidRPr="00682784" w:rsidRDefault="00A5635D" w:rsidP="00DD0F44">
      <w:pPr>
        <w:spacing w:after="120" w:line="264" w:lineRule="auto"/>
        <w:jc w:val="both"/>
        <w:rPr>
          <w:sz w:val="22"/>
          <w:szCs w:val="22"/>
          <w:lang w:val="en-GB"/>
        </w:rPr>
      </w:pPr>
      <w:r w:rsidRPr="00682784">
        <w:rPr>
          <w:sz w:val="22"/>
          <w:szCs w:val="22"/>
          <w:lang w:val="en-GB"/>
        </w:rPr>
        <w:t>The technical and financial evaluation will be carried out by external assessors.</w:t>
      </w:r>
    </w:p>
    <w:p w14:paraId="5DED867E" w14:textId="77777777" w:rsidR="00A5635D" w:rsidRPr="00682784" w:rsidRDefault="00A5635D" w:rsidP="00DD0F44">
      <w:pPr>
        <w:spacing w:after="120" w:line="264" w:lineRule="auto"/>
        <w:jc w:val="both"/>
        <w:rPr>
          <w:rFonts w:cs="Arial"/>
          <w:sz w:val="22"/>
          <w:szCs w:val="22"/>
          <w:lang w:val="en-GB"/>
        </w:rPr>
      </w:pPr>
      <w:r w:rsidRPr="00682784">
        <w:rPr>
          <w:rFonts w:cs="Arial"/>
          <w:sz w:val="22"/>
          <w:szCs w:val="22"/>
          <w:lang w:val="en-GB"/>
        </w:rPr>
        <w:t xml:space="preserve">The </w:t>
      </w:r>
      <w:r w:rsidRPr="00682784">
        <w:rPr>
          <w:rFonts w:cs="Arial"/>
          <w:b/>
          <w:sz w:val="22"/>
          <w:szCs w:val="22"/>
          <w:lang w:val="en-GB"/>
        </w:rPr>
        <w:t>assessors shall work under the supervision of the Chairperson of the SC</w:t>
      </w:r>
      <w:r w:rsidRPr="00682784">
        <w:rPr>
          <w:rFonts w:cs="Arial"/>
          <w:sz w:val="22"/>
          <w:szCs w:val="22"/>
          <w:lang w:val="en-GB"/>
        </w:rPr>
        <w:t>.</w:t>
      </w:r>
      <w:r w:rsidRPr="00682784">
        <w:rPr>
          <w:lang w:val="en-GB"/>
        </w:rPr>
        <w:t xml:space="preserve"> </w:t>
      </w:r>
      <w:r w:rsidRPr="00682784">
        <w:rPr>
          <w:rFonts w:cs="Arial"/>
          <w:sz w:val="22"/>
          <w:szCs w:val="22"/>
          <w:lang w:val="en-GB"/>
        </w:rPr>
        <w:t>Two external assessors must be appointed to evaluate each project proposal.</w:t>
      </w:r>
    </w:p>
    <w:p w14:paraId="7C4D681C" w14:textId="77777777" w:rsidR="00A5635D" w:rsidRPr="00682784" w:rsidRDefault="00A5635D" w:rsidP="00DD0F44">
      <w:pPr>
        <w:spacing w:after="0" w:line="264" w:lineRule="auto"/>
        <w:jc w:val="both"/>
        <w:rPr>
          <w:rFonts w:cs="Arial"/>
          <w:sz w:val="22"/>
          <w:szCs w:val="22"/>
          <w:lang w:val="en-GB"/>
        </w:rPr>
      </w:pPr>
      <w:r w:rsidRPr="00682784">
        <w:rPr>
          <w:rFonts w:cs="Arial"/>
          <w:sz w:val="22"/>
          <w:szCs w:val="22"/>
          <w:lang w:val="en-GB"/>
        </w:rPr>
        <w:t xml:space="preserve">An additional assessment done by another independent </w:t>
      </w:r>
      <w:proofErr w:type="gramStart"/>
      <w:r w:rsidRPr="00682784">
        <w:rPr>
          <w:rFonts w:cs="Arial"/>
          <w:sz w:val="22"/>
          <w:szCs w:val="22"/>
          <w:lang w:val="en-GB"/>
        </w:rPr>
        <w:t>assessor,</w:t>
      </w:r>
      <w:proofErr w:type="gramEnd"/>
      <w:r w:rsidRPr="00682784">
        <w:rPr>
          <w:rFonts w:cs="Arial"/>
          <w:sz w:val="22"/>
          <w:szCs w:val="22"/>
          <w:lang w:val="en-GB"/>
        </w:rPr>
        <w:t xml:space="preserve"> may be carried out when: </w:t>
      </w:r>
    </w:p>
    <w:p w14:paraId="40A0004B" w14:textId="77777777" w:rsidR="00A5635D" w:rsidRPr="00682784" w:rsidRDefault="00A5635D" w:rsidP="002E0D54">
      <w:pPr>
        <w:numPr>
          <w:ilvl w:val="0"/>
          <w:numId w:val="57"/>
        </w:numPr>
        <w:suppressAutoHyphens/>
        <w:spacing w:after="0" w:line="264" w:lineRule="auto"/>
        <w:jc w:val="both"/>
        <w:rPr>
          <w:rFonts w:cs="Arial"/>
          <w:sz w:val="22"/>
          <w:szCs w:val="22"/>
          <w:lang w:val="en-GB"/>
        </w:rPr>
      </w:pPr>
      <w:r w:rsidRPr="00682784">
        <w:rPr>
          <w:rFonts w:cs="Arial"/>
          <w:sz w:val="22"/>
          <w:szCs w:val="22"/>
          <w:lang w:val="en-GB"/>
        </w:rPr>
        <w:t xml:space="preserve"> the total scores given by the initial two assessors diverge by more than 20 points and</w:t>
      </w:r>
    </w:p>
    <w:p w14:paraId="55381C7B" w14:textId="77777777" w:rsidR="00A5635D" w:rsidRPr="00682784" w:rsidRDefault="00A5635D" w:rsidP="002E0D54">
      <w:pPr>
        <w:numPr>
          <w:ilvl w:val="0"/>
          <w:numId w:val="57"/>
        </w:numPr>
        <w:suppressAutoHyphens/>
        <w:spacing w:after="0" w:line="264" w:lineRule="auto"/>
        <w:jc w:val="both"/>
        <w:rPr>
          <w:rFonts w:cs="Arial"/>
          <w:sz w:val="22"/>
          <w:szCs w:val="22"/>
          <w:lang w:val="en-GB"/>
        </w:rPr>
      </w:pPr>
      <w:r w:rsidRPr="00682784">
        <w:rPr>
          <w:rFonts w:cs="Arial"/>
          <w:sz w:val="22"/>
          <w:szCs w:val="22"/>
          <w:lang w:val="en-GB"/>
        </w:rPr>
        <w:lastRenderedPageBreak/>
        <w:t xml:space="preserve"> </w:t>
      </w:r>
      <w:proofErr w:type="gramStart"/>
      <w:r w:rsidRPr="00682784">
        <w:rPr>
          <w:rFonts w:cs="Arial"/>
          <w:sz w:val="22"/>
          <w:szCs w:val="22"/>
          <w:lang w:val="en-GB"/>
        </w:rPr>
        <w:t>only</w:t>
      </w:r>
      <w:proofErr w:type="gramEnd"/>
      <w:r w:rsidRPr="00682784">
        <w:rPr>
          <w:rFonts w:cs="Arial"/>
          <w:sz w:val="22"/>
          <w:szCs w:val="22"/>
          <w:lang w:val="en-GB"/>
        </w:rPr>
        <w:t xml:space="preserve"> one of the total initial scores is above the threshold for overall admissibility of the proposals. </w:t>
      </w:r>
    </w:p>
    <w:p w14:paraId="64A96F5A" w14:textId="77777777" w:rsidR="00A5635D" w:rsidRPr="00682784" w:rsidRDefault="00A5635D" w:rsidP="00DD0F44">
      <w:pPr>
        <w:spacing w:after="120" w:line="264" w:lineRule="auto"/>
        <w:jc w:val="both"/>
        <w:rPr>
          <w:rFonts w:cs="Arial"/>
          <w:sz w:val="22"/>
          <w:szCs w:val="22"/>
          <w:lang w:val="en-GB"/>
        </w:rPr>
      </w:pPr>
      <w:bookmarkStart w:id="103" w:name="_Toc310942074"/>
      <w:r w:rsidRPr="00682784">
        <w:rPr>
          <w:rFonts w:cs="Arial"/>
          <w:sz w:val="22"/>
          <w:szCs w:val="22"/>
          <w:lang w:val="en-GB"/>
        </w:rPr>
        <w:t>The decision on the need of a third assessment will be taken by the SC members.</w:t>
      </w:r>
    </w:p>
    <w:bookmarkEnd w:id="103"/>
    <w:p w14:paraId="5321B346" w14:textId="77777777" w:rsidR="00D4631F" w:rsidRPr="00717A56" w:rsidRDefault="00D4631F" w:rsidP="00D4631F">
      <w:pPr>
        <w:spacing w:before="240" w:after="120"/>
        <w:jc w:val="both"/>
        <w:rPr>
          <w:b/>
          <w:lang w:val="en-GB"/>
        </w:rPr>
      </w:pPr>
      <w:r>
        <w:rPr>
          <w:b/>
          <w:lang w:val="en-GB"/>
        </w:rPr>
        <w:t>Quality check by the SC Chairperson</w:t>
      </w:r>
    </w:p>
    <w:p w14:paraId="4EE76DA1" w14:textId="77777777" w:rsidR="00A5635D" w:rsidRPr="00682784" w:rsidRDefault="00A5635D" w:rsidP="00DC5F7F">
      <w:pPr>
        <w:autoSpaceDE w:val="0"/>
        <w:spacing w:line="260" w:lineRule="exact"/>
        <w:jc w:val="both"/>
        <w:rPr>
          <w:rFonts w:eastAsia="Arial" w:cs="Arial"/>
          <w:sz w:val="22"/>
          <w:szCs w:val="22"/>
          <w:lang w:val="en-GB"/>
        </w:rPr>
      </w:pPr>
      <w:r w:rsidRPr="00682784">
        <w:rPr>
          <w:rFonts w:eastAsia="Arial" w:cs="Arial"/>
          <w:b/>
          <w:sz w:val="22"/>
          <w:szCs w:val="22"/>
          <w:lang w:val="en-GB"/>
        </w:rPr>
        <w:t>To ensure the quality of the work carried out by the assessors</w:t>
      </w:r>
      <w:r w:rsidRPr="00682784">
        <w:rPr>
          <w:rFonts w:eastAsia="Arial" w:cs="Arial"/>
          <w:sz w:val="22"/>
          <w:szCs w:val="22"/>
          <w:lang w:val="en-GB"/>
        </w:rPr>
        <w:t>, the SC Chairperson – with the help of the Secretary and internal assessors – shall preliminarily review all completed evaluation grids before the SC meeting.</w:t>
      </w:r>
      <w:r w:rsidRPr="00682784">
        <w:rPr>
          <w:rFonts w:eastAsia="Arial" w:cs="Arial"/>
          <w:color w:val="000000"/>
          <w:sz w:val="22"/>
          <w:szCs w:val="22"/>
          <w:lang w:val="en-GB"/>
        </w:rPr>
        <w:t xml:space="preserve"> </w:t>
      </w:r>
    </w:p>
    <w:p w14:paraId="1F65943B" w14:textId="77777777" w:rsidR="00A5635D" w:rsidRPr="00682784" w:rsidRDefault="00A5635D" w:rsidP="00211C68">
      <w:pPr>
        <w:spacing w:before="120" w:after="120" w:line="260" w:lineRule="exact"/>
        <w:jc w:val="both"/>
        <w:rPr>
          <w:rFonts w:cs="Arial"/>
          <w:sz w:val="22"/>
          <w:szCs w:val="22"/>
          <w:lang w:val="en-GB"/>
        </w:rPr>
      </w:pPr>
      <w:r w:rsidRPr="00682784">
        <w:rPr>
          <w:rFonts w:cs="Arial"/>
          <w:sz w:val="22"/>
          <w:szCs w:val="22"/>
          <w:lang w:val="en-GB"/>
        </w:rPr>
        <w:t>The outcome of this step will be:</w:t>
      </w:r>
    </w:p>
    <w:p w14:paraId="16F44DA3" w14:textId="77777777" w:rsidR="00A5635D" w:rsidRPr="00682784" w:rsidRDefault="00A5635D" w:rsidP="002E0D54">
      <w:pPr>
        <w:numPr>
          <w:ilvl w:val="5"/>
          <w:numId w:val="56"/>
        </w:numPr>
        <w:tabs>
          <w:tab w:val="left" w:pos="360"/>
        </w:tabs>
        <w:suppressAutoHyphens/>
        <w:spacing w:before="120" w:after="120" w:line="260" w:lineRule="exact"/>
        <w:jc w:val="both"/>
        <w:rPr>
          <w:rFonts w:cs="Arial"/>
          <w:sz w:val="22"/>
          <w:szCs w:val="22"/>
          <w:shd w:val="clear" w:color="auto" w:fill="00FFFF"/>
          <w:lang w:val="en-GB"/>
        </w:rPr>
      </w:pPr>
      <w:r w:rsidRPr="00682784">
        <w:rPr>
          <w:rFonts w:cs="Arial"/>
          <w:sz w:val="22"/>
          <w:szCs w:val="22"/>
          <w:lang w:val="en-GB"/>
        </w:rPr>
        <w:t xml:space="preserve">a list of applications </w:t>
      </w:r>
      <w:r w:rsidRPr="00682784">
        <w:rPr>
          <w:rFonts w:cs="Arial"/>
          <w:b/>
          <w:sz w:val="22"/>
          <w:szCs w:val="22"/>
          <w:lang w:val="en-GB"/>
        </w:rPr>
        <w:t>proposed for selection,</w:t>
      </w:r>
      <w:r w:rsidRPr="00682784">
        <w:rPr>
          <w:rFonts w:cs="Arial"/>
          <w:sz w:val="22"/>
          <w:szCs w:val="22"/>
          <w:lang w:val="en-GB"/>
        </w:rPr>
        <w:t xml:space="preserve"> ranked in descending order per Thematic Objective according with their average scores, until the maximum amount available for each Thematic Objective under this call for proposals is reached;</w:t>
      </w:r>
    </w:p>
    <w:p w14:paraId="35533484" w14:textId="77777777" w:rsidR="00A5635D" w:rsidRPr="00682784" w:rsidRDefault="00A5635D" w:rsidP="002E0D54">
      <w:pPr>
        <w:numPr>
          <w:ilvl w:val="5"/>
          <w:numId w:val="56"/>
        </w:numPr>
        <w:tabs>
          <w:tab w:val="left" w:pos="360"/>
        </w:tabs>
        <w:suppressAutoHyphens/>
        <w:spacing w:before="120" w:after="120" w:line="260" w:lineRule="exact"/>
        <w:jc w:val="both"/>
        <w:rPr>
          <w:rFonts w:cs="Arial"/>
          <w:sz w:val="22"/>
          <w:szCs w:val="22"/>
          <w:shd w:val="clear" w:color="auto" w:fill="00FFFF"/>
          <w:lang w:val="en-GB"/>
        </w:rPr>
      </w:pPr>
      <w:r w:rsidRPr="00682784">
        <w:rPr>
          <w:rFonts w:cs="Arial"/>
          <w:b/>
          <w:sz w:val="22"/>
          <w:szCs w:val="22"/>
          <w:lang w:val="en-GB"/>
        </w:rPr>
        <w:t>reserve</w:t>
      </w:r>
      <w:r w:rsidRPr="00682784">
        <w:rPr>
          <w:rFonts w:cs="Arial"/>
          <w:sz w:val="22"/>
          <w:szCs w:val="22"/>
          <w:lang w:val="en-GB"/>
        </w:rPr>
        <w:t xml:space="preserve"> list of applications that cannot be funded for budgetary reasons; </w:t>
      </w:r>
    </w:p>
    <w:p w14:paraId="54127EAC" w14:textId="77777777" w:rsidR="00A5635D" w:rsidRPr="00682784" w:rsidRDefault="00A5635D" w:rsidP="002E0D54">
      <w:pPr>
        <w:numPr>
          <w:ilvl w:val="5"/>
          <w:numId w:val="56"/>
        </w:numPr>
        <w:tabs>
          <w:tab w:val="left" w:pos="360"/>
        </w:tabs>
        <w:suppressAutoHyphens/>
        <w:spacing w:before="120" w:after="120" w:line="260" w:lineRule="exact"/>
        <w:jc w:val="both"/>
        <w:rPr>
          <w:rFonts w:cs="Arial"/>
          <w:sz w:val="22"/>
          <w:szCs w:val="22"/>
          <w:lang w:val="en-GB"/>
        </w:rPr>
      </w:pPr>
      <w:proofErr w:type="gramStart"/>
      <w:r w:rsidRPr="00682784">
        <w:rPr>
          <w:rFonts w:cs="Arial"/>
          <w:sz w:val="22"/>
          <w:szCs w:val="22"/>
          <w:lang w:val="en-GB"/>
        </w:rPr>
        <w:t>a</w:t>
      </w:r>
      <w:proofErr w:type="gramEnd"/>
      <w:r w:rsidRPr="00682784">
        <w:rPr>
          <w:rFonts w:cs="Arial"/>
          <w:sz w:val="22"/>
          <w:szCs w:val="22"/>
          <w:lang w:val="en-GB"/>
        </w:rPr>
        <w:t xml:space="preserve"> list of </w:t>
      </w:r>
      <w:r w:rsidRPr="00682784">
        <w:rPr>
          <w:rFonts w:cs="Arial"/>
          <w:b/>
          <w:sz w:val="22"/>
          <w:szCs w:val="22"/>
          <w:lang w:val="en-GB"/>
        </w:rPr>
        <w:t>rejected</w:t>
      </w:r>
      <w:r w:rsidRPr="00682784">
        <w:rPr>
          <w:rFonts w:cs="Arial"/>
          <w:sz w:val="22"/>
          <w:szCs w:val="22"/>
          <w:lang w:val="en-GB"/>
        </w:rPr>
        <w:t xml:space="preserve"> applications. </w:t>
      </w:r>
    </w:p>
    <w:p w14:paraId="64927AB4" w14:textId="77777777" w:rsidR="00A5635D" w:rsidRPr="00682784" w:rsidRDefault="00A5635D" w:rsidP="00DD0F44">
      <w:pPr>
        <w:spacing w:after="120" w:line="264" w:lineRule="auto"/>
        <w:jc w:val="both"/>
        <w:rPr>
          <w:sz w:val="12"/>
          <w:szCs w:val="12"/>
          <w:lang w:val="en-GB"/>
        </w:rPr>
      </w:pPr>
    </w:p>
    <w:p w14:paraId="627A2CA5" w14:textId="77777777" w:rsidR="00A5635D" w:rsidRPr="00682784" w:rsidRDefault="00A5635D" w:rsidP="00DD0F44">
      <w:pPr>
        <w:spacing w:after="120" w:line="264" w:lineRule="auto"/>
        <w:jc w:val="both"/>
        <w:rPr>
          <w:sz w:val="22"/>
          <w:szCs w:val="22"/>
          <w:lang w:val="en-GB"/>
        </w:rPr>
      </w:pPr>
      <w:r w:rsidRPr="00682784">
        <w:rPr>
          <w:sz w:val="22"/>
          <w:szCs w:val="22"/>
          <w:lang w:val="en-GB"/>
        </w:rPr>
        <w:t>During its deliberation, the SC members are not allowed to change the external assessors' scores and/or to alter the evaluation grids completed by the external assessors and/or the list of the applications provisionally selected. The SC will revise the conclusions made for the projects recommended for funding and will endorse or complement the recommendations made by the assessors.</w:t>
      </w:r>
    </w:p>
    <w:p w14:paraId="040FAD4E" w14:textId="77777777" w:rsidR="00A5635D" w:rsidRPr="00682784" w:rsidRDefault="00A5635D" w:rsidP="00DD0F44">
      <w:pPr>
        <w:spacing w:after="120" w:line="264" w:lineRule="auto"/>
        <w:jc w:val="both"/>
        <w:rPr>
          <w:iCs/>
          <w:sz w:val="22"/>
          <w:szCs w:val="22"/>
          <w:lang w:val="en-GB"/>
        </w:rPr>
      </w:pPr>
      <w:r w:rsidRPr="00682784">
        <w:rPr>
          <w:sz w:val="22"/>
          <w:szCs w:val="22"/>
          <w:lang w:val="en-GB"/>
        </w:rPr>
        <w:t xml:space="preserve">Once the voting members of the SC have agreed on the outcome of Step 2, the report and the minutes of the SC meeting are duly signed by all members of the Committee (voting and non-voting) and the </w:t>
      </w:r>
      <w:r w:rsidRPr="00682784">
        <w:rPr>
          <w:i/>
          <w:iCs/>
          <w:sz w:val="22"/>
          <w:szCs w:val="22"/>
          <w:lang w:val="en-GB"/>
        </w:rPr>
        <w:t xml:space="preserve">Technical and Financial </w:t>
      </w:r>
      <w:r w:rsidRPr="00682784">
        <w:rPr>
          <w:i/>
          <w:sz w:val="22"/>
          <w:szCs w:val="22"/>
          <w:lang w:val="en-GB"/>
        </w:rPr>
        <w:t>Report</w:t>
      </w:r>
      <w:r w:rsidRPr="00682784">
        <w:rPr>
          <w:bCs/>
          <w:sz w:val="22"/>
          <w:szCs w:val="22"/>
          <w:lang w:val="en-GB"/>
        </w:rPr>
        <w:t xml:space="preserve"> is</w:t>
      </w:r>
      <w:r w:rsidRPr="00682784">
        <w:rPr>
          <w:b/>
          <w:bCs/>
          <w:sz w:val="22"/>
          <w:szCs w:val="22"/>
          <w:lang w:val="en-GB"/>
        </w:rPr>
        <w:t xml:space="preserve"> submitted to the MA for endorsement</w:t>
      </w:r>
      <w:r w:rsidRPr="00682784">
        <w:rPr>
          <w:bCs/>
          <w:i/>
          <w:iCs/>
          <w:sz w:val="22"/>
          <w:szCs w:val="22"/>
          <w:lang w:val="en-GB"/>
        </w:rPr>
        <w:t xml:space="preserve">. </w:t>
      </w:r>
      <w:r w:rsidRPr="00682784">
        <w:rPr>
          <w:bCs/>
          <w:sz w:val="22"/>
          <w:szCs w:val="22"/>
          <w:lang w:val="en-GB"/>
        </w:rPr>
        <w:t xml:space="preserve">The </w:t>
      </w:r>
      <w:r w:rsidRPr="00682784">
        <w:rPr>
          <w:b/>
          <w:bCs/>
          <w:sz w:val="22"/>
          <w:szCs w:val="22"/>
          <w:lang w:val="en-GB"/>
        </w:rPr>
        <w:t>MA</w:t>
      </w:r>
      <w:r w:rsidRPr="00682784">
        <w:rPr>
          <w:bCs/>
          <w:sz w:val="22"/>
          <w:szCs w:val="22"/>
          <w:lang w:val="en-GB"/>
        </w:rPr>
        <w:t xml:space="preserve"> will verify whether the evaluation process took place according to the regulations and provisions in force, identifying any possible irregularities in the procedure and informing JMC accordingly. </w:t>
      </w:r>
    </w:p>
    <w:p w14:paraId="68784A5F" w14:textId="77777777" w:rsidR="00A5635D" w:rsidRPr="00682784" w:rsidRDefault="00A5635D" w:rsidP="00DD0F44">
      <w:pPr>
        <w:spacing w:after="120" w:line="264" w:lineRule="auto"/>
        <w:jc w:val="both"/>
        <w:rPr>
          <w:iCs/>
          <w:sz w:val="22"/>
          <w:szCs w:val="22"/>
          <w:lang w:val="en-GB"/>
        </w:rPr>
      </w:pPr>
      <w:r w:rsidRPr="00682784">
        <w:rPr>
          <w:bCs/>
          <w:sz w:val="22"/>
          <w:szCs w:val="22"/>
          <w:lang w:val="en-GB"/>
        </w:rPr>
        <w:t xml:space="preserve">The endorsed </w:t>
      </w:r>
      <w:r w:rsidRPr="00682784">
        <w:rPr>
          <w:i/>
          <w:iCs/>
          <w:sz w:val="22"/>
          <w:szCs w:val="22"/>
          <w:lang w:val="en-GB"/>
        </w:rPr>
        <w:t xml:space="preserve">Technical and Financial </w:t>
      </w:r>
      <w:r w:rsidRPr="00682784">
        <w:rPr>
          <w:bCs/>
          <w:i/>
          <w:sz w:val="22"/>
          <w:szCs w:val="22"/>
          <w:lang w:val="en-GB"/>
        </w:rPr>
        <w:t>Report</w:t>
      </w:r>
      <w:r w:rsidRPr="00682784">
        <w:rPr>
          <w:sz w:val="22"/>
          <w:szCs w:val="22"/>
          <w:lang w:val="en-GB"/>
        </w:rPr>
        <w:t xml:space="preserve"> </w:t>
      </w:r>
      <w:r w:rsidRPr="00682784">
        <w:rPr>
          <w:bCs/>
          <w:sz w:val="22"/>
          <w:szCs w:val="22"/>
          <w:lang w:val="en-GB"/>
        </w:rPr>
        <w:t>will be</w:t>
      </w:r>
      <w:r w:rsidRPr="00682784">
        <w:rPr>
          <w:b/>
          <w:bCs/>
          <w:sz w:val="22"/>
          <w:szCs w:val="22"/>
          <w:lang w:val="en-GB"/>
        </w:rPr>
        <w:t xml:space="preserve"> submitted to the JMC for approval.</w:t>
      </w:r>
    </w:p>
    <w:p w14:paraId="69CA11D3" w14:textId="77777777" w:rsidR="00A5635D" w:rsidRPr="00C35368" w:rsidRDefault="00C35368" w:rsidP="00D67190">
      <w:pPr>
        <w:spacing w:before="240" w:after="120" w:line="264" w:lineRule="auto"/>
        <w:jc w:val="both"/>
        <w:rPr>
          <w:b/>
          <w:lang w:val="en-GB"/>
        </w:rPr>
      </w:pPr>
      <w:r>
        <w:rPr>
          <w:b/>
          <w:lang w:val="en-GB"/>
        </w:rPr>
        <w:t>Verification of eligibility</w:t>
      </w:r>
    </w:p>
    <w:p w14:paraId="081ABA66" w14:textId="77777777" w:rsidR="00A5635D" w:rsidRPr="00682784" w:rsidRDefault="00A5635D" w:rsidP="007B10D5">
      <w:pPr>
        <w:spacing w:after="120" w:line="264" w:lineRule="auto"/>
        <w:jc w:val="both"/>
        <w:rPr>
          <w:rFonts w:cs="Times New Roman"/>
          <w:snapToGrid w:val="0"/>
          <w:sz w:val="22"/>
          <w:szCs w:val="22"/>
          <w:lang w:val="en-GB" w:eastAsia="en-US"/>
        </w:rPr>
      </w:pPr>
      <w:r w:rsidRPr="00682784">
        <w:rPr>
          <w:rFonts w:cs="Times New Roman"/>
          <w:snapToGrid w:val="0"/>
          <w:sz w:val="22"/>
          <w:szCs w:val="22"/>
          <w:lang w:val="en-GB" w:eastAsia="en-US"/>
        </w:rPr>
        <w:t xml:space="preserve">The verification of eligibility will </w:t>
      </w:r>
      <w:r w:rsidRPr="00682784">
        <w:rPr>
          <w:rFonts w:cs="Times New Roman"/>
          <w:snapToGrid w:val="0"/>
          <w:sz w:val="22"/>
          <w:szCs w:val="22"/>
          <w:u w:val="single"/>
          <w:lang w:val="en-GB" w:eastAsia="en-US"/>
        </w:rPr>
        <w:t>only</w:t>
      </w:r>
      <w:r w:rsidRPr="00682784">
        <w:rPr>
          <w:rFonts w:cs="Times New Roman"/>
          <w:snapToGrid w:val="0"/>
          <w:sz w:val="22"/>
          <w:szCs w:val="22"/>
          <w:lang w:val="en-GB" w:eastAsia="en-US"/>
        </w:rPr>
        <w:t xml:space="preserve"> be performed for the applications that have been proposed for selection according to their score and within the available financial envelope. However, the JMC may approve the extension of the verification of eligibility to projects on the reserve list.</w:t>
      </w:r>
    </w:p>
    <w:p w14:paraId="046DA05E" w14:textId="77777777" w:rsidR="00A5635D" w:rsidRPr="00682784" w:rsidRDefault="00A5635D" w:rsidP="007B10D5">
      <w:pPr>
        <w:spacing w:after="120" w:line="264" w:lineRule="auto"/>
        <w:jc w:val="both"/>
        <w:rPr>
          <w:sz w:val="22"/>
          <w:szCs w:val="22"/>
          <w:lang w:val="en-GB"/>
        </w:rPr>
      </w:pPr>
      <w:r w:rsidRPr="00682784">
        <w:rPr>
          <w:sz w:val="22"/>
          <w:szCs w:val="22"/>
          <w:lang w:val="en-GB"/>
        </w:rPr>
        <w:t xml:space="preserve">The verification of eligibility will be </w:t>
      </w:r>
      <w:r w:rsidRPr="00682784">
        <w:rPr>
          <w:bCs/>
          <w:sz w:val="22"/>
          <w:szCs w:val="22"/>
          <w:lang w:val="en-GB"/>
        </w:rPr>
        <w:t>carried out by the National Authority in each participating country. The chairperson shall send the list of the applicants/partners from each country to the respective NA. The NA will provide opinions in relation to the eligibility of the applicants/partners in their country based on the eligibility documents provided by the applicants/partners. E</w:t>
      </w:r>
      <w:r w:rsidRPr="00682784">
        <w:rPr>
          <w:sz w:val="22"/>
          <w:szCs w:val="22"/>
          <w:lang w:val="en-GB"/>
        </w:rPr>
        <w:t>ach NA will make a list of eligible entities and a list of entities which fail to meet the eligibility criteria.</w:t>
      </w:r>
    </w:p>
    <w:p w14:paraId="7CADEA4C" w14:textId="77777777" w:rsidR="00A5635D" w:rsidRPr="00682784" w:rsidRDefault="00A5635D" w:rsidP="007B10D5">
      <w:pPr>
        <w:spacing w:after="120" w:line="264" w:lineRule="auto"/>
        <w:jc w:val="both"/>
        <w:rPr>
          <w:sz w:val="22"/>
          <w:szCs w:val="22"/>
          <w:lang w:val="en-GB"/>
        </w:rPr>
      </w:pPr>
      <w:r w:rsidRPr="00682784">
        <w:rPr>
          <w:sz w:val="22"/>
          <w:szCs w:val="22"/>
          <w:lang w:val="en-GB"/>
        </w:rPr>
        <w:t xml:space="preserve">These lists shall be sent to the Chairperson who will prepare the </w:t>
      </w:r>
      <w:r w:rsidRPr="00682784">
        <w:rPr>
          <w:bCs/>
          <w:i/>
          <w:sz w:val="22"/>
          <w:szCs w:val="22"/>
          <w:lang w:val="en-GB"/>
        </w:rPr>
        <w:t xml:space="preserve">Verification of </w:t>
      </w:r>
      <w:r w:rsidRPr="00682784">
        <w:rPr>
          <w:i/>
          <w:sz w:val="22"/>
          <w:szCs w:val="22"/>
          <w:lang w:val="en-GB"/>
        </w:rPr>
        <w:t xml:space="preserve">Eligibility </w:t>
      </w:r>
      <w:r w:rsidRPr="00682784">
        <w:rPr>
          <w:bCs/>
          <w:i/>
          <w:sz w:val="22"/>
          <w:szCs w:val="22"/>
          <w:lang w:val="en-GB"/>
        </w:rPr>
        <w:t>Report,</w:t>
      </w:r>
      <w:r w:rsidRPr="00682784">
        <w:rPr>
          <w:i/>
          <w:sz w:val="22"/>
          <w:szCs w:val="22"/>
          <w:lang w:val="en-GB"/>
        </w:rPr>
        <w:t xml:space="preserve"> </w:t>
      </w:r>
      <w:r w:rsidRPr="00682784">
        <w:rPr>
          <w:sz w:val="22"/>
          <w:szCs w:val="22"/>
          <w:lang w:val="en-GB"/>
        </w:rPr>
        <w:t xml:space="preserve">which shall be </w:t>
      </w:r>
      <w:r w:rsidRPr="00682784">
        <w:rPr>
          <w:b/>
          <w:bCs/>
          <w:sz w:val="22"/>
          <w:szCs w:val="22"/>
          <w:lang w:val="en-GB"/>
        </w:rPr>
        <w:t>submitted to the SC and MA for endorsement.</w:t>
      </w:r>
      <w:r w:rsidRPr="00682784">
        <w:rPr>
          <w:lang w:val="en-GB"/>
        </w:rPr>
        <w:t xml:space="preserve"> </w:t>
      </w:r>
      <w:r w:rsidRPr="00682784">
        <w:rPr>
          <w:bCs/>
          <w:sz w:val="22"/>
          <w:szCs w:val="22"/>
          <w:lang w:val="en-GB"/>
        </w:rPr>
        <w:t>The MA will verify whether the evaluation process took place according to the regulations and provisions in force, identifying any possible irregularities in the procedure and informing JMC accordingly.</w:t>
      </w:r>
    </w:p>
    <w:p w14:paraId="37024FA2" w14:textId="77777777" w:rsidR="00A5635D" w:rsidRDefault="00A5635D" w:rsidP="007B10D5">
      <w:pPr>
        <w:spacing w:after="120" w:line="264" w:lineRule="auto"/>
        <w:jc w:val="both"/>
        <w:rPr>
          <w:b/>
          <w:bCs/>
          <w:sz w:val="22"/>
          <w:szCs w:val="22"/>
          <w:lang w:val="en-GB"/>
        </w:rPr>
      </w:pPr>
      <w:r w:rsidRPr="00682784">
        <w:rPr>
          <w:bCs/>
          <w:sz w:val="22"/>
          <w:szCs w:val="22"/>
          <w:lang w:val="en-GB"/>
        </w:rPr>
        <w:t xml:space="preserve">The endorsed </w:t>
      </w:r>
      <w:r w:rsidRPr="00682784">
        <w:rPr>
          <w:bCs/>
          <w:i/>
          <w:sz w:val="22"/>
          <w:szCs w:val="22"/>
          <w:lang w:val="en-GB"/>
        </w:rPr>
        <w:t xml:space="preserve">Verification of </w:t>
      </w:r>
      <w:r w:rsidRPr="00682784">
        <w:rPr>
          <w:i/>
          <w:sz w:val="22"/>
          <w:szCs w:val="22"/>
          <w:lang w:val="en-GB"/>
        </w:rPr>
        <w:t xml:space="preserve">Eligibility </w:t>
      </w:r>
      <w:r w:rsidRPr="00682784">
        <w:rPr>
          <w:bCs/>
          <w:i/>
          <w:sz w:val="22"/>
          <w:szCs w:val="22"/>
          <w:lang w:val="en-GB"/>
        </w:rPr>
        <w:t>Report</w:t>
      </w:r>
      <w:r w:rsidRPr="00682784">
        <w:rPr>
          <w:bCs/>
          <w:sz w:val="22"/>
          <w:szCs w:val="22"/>
          <w:lang w:val="en-GB"/>
        </w:rPr>
        <w:t xml:space="preserve"> will be</w:t>
      </w:r>
      <w:r w:rsidRPr="00682784">
        <w:rPr>
          <w:b/>
          <w:bCs/>
          <w:sz w:val="22"/>
          <w:szCs w:val="22"/>
          <w:lang w:val="en-GB"/>
        </w:rPr>
        <w:t xml:space="preserve"> submitted to the JMC for approval.</w:t>
      </w:r>
    </w:p>
    <w:p w14:paraId="0AF9FD94" w14:textId="77777777" w:rsidR="008F3DF2" w:rsidRDefault="008F3DF2" w:rsidP="00B13D95">
      <w:pPr>
        <w:spacing w:after="120" w:line="240" w:lineRule="auto"/>
        <w:jc w:val="both"/>
        <w:rPr>
          <w:rFonts w:cs="Times New Roman"/>
          <w:b/>
          <w:sz w:val="22"/>
          <w:szCs w:val="22"/>
          <w:lang w:val="en-GB" w:eastAsia="en-GB"/>
        </w:rPr>
      </w:pPr>
    </w:p>
    <w:p w14:paraId="3381BE2E" w14:textId="77777777" w:rsidR="008F3DF2" w:rsidRDefault="008F3DF2" w:rsidP="00B13D95">
      <w:pPr>
        <w:spacing w:after="120" w:line="240" w:lineRule="auto"/>
        <w:jc w:val="both"/>
        <w:rPr>
          <w:rFonts w:cs="Times New Roman"/>
          <w:b/>
          <w:sz w:val="22"/>
          <w:szCs w:val="22"/>
          <w:lang w:val="en-GB" w:eastAsia="en-GB"/>
        </w:rPr>
      </w:pPr>
    </w:p>
    <w:p w14:paraId="70464588" w14:textId="66E4455B" w:rsidR="00B13D95" w:rsidRPr="00B13D95" w:rsidRDefault="00B13D95" w:rsidP="00B13D95">
      <w:pPr>
        <w:spacing w:after="120" w:line="240" w:lineRule="auto"/>
        <w:jc w:val="both"/>
        <w:rPr>
          <w:rFonts w:cs="Times New Roman"/>
          <w:b/>
          <w:sz w:val="22"/>
          <w:szCs w:val="22"/>
          <w:lang w:val="en-GB" w:eastAsia="en-GB"/>
        </w:rPr>
      </w:pPr>
      <w:r w:rsidRPr="00B13D95">
        <w:rPr>
          <w:rFonts w:cs="Times New Roman"/>
          <w:b/>
          <w:sz w:val="22"/>
          <w:szCs w:val="22"/>
          <w:lang w:val="en-GB" w:eastAsia="en-GB"/>
        </w:rPr>
        <w:lastRenderedPageBreak/>
        <w:t xml:space="preserve">Verification of possible </w:t>
      </w:r>
      <w:proofErr w:type="spellStart"/>
      <w:r w:rsidRPr="00B13D95">
        <w:rPr>
          <w:rFonts w:cs="Times New Roman"/>
          <w:b/>
          <w:sz w:val="22"/>
          <w:szCs w:val="22"/>
          <w:lang w:val="en-GB" w:eastAsia="en-GB"/>
        </w:rPr>
        <w:t>overlappings</w:t>
      </w:r>
      <w:proofErr w:type="spellEnd"/>
      <w:r w:rsidRPr="00B13D95">
        <w:rPr>
          <w:rFonts w:cs="Times New Roman"/>
          <w:b/>
          <w:sz w:val="22"/>
          <w:szCs w:val="22"/>
          <w:lang w:val="en-GB" w:eastAsia="en-GB"/>
        </w:rPr>
        <w:t xml:space="preserve"> </w:t>
      </w:r>
    </w:p>
    <w:p w14:paraId="0D9D645E" w14:textId="0E807E78" w:rsidR="00B13D95" w:rsidRPr="00B13D95" w:rsidRDefault="00B13D95" w:rsidP="00B13D95">
      <w:pPr>
        <w:spacing w:after="120" w:line="240" w:lineRule="auto"/>
        <w:jc w:val="both"/>
        <w:rPr>
          <w:rFonts w:cs="Times New Roman"/>
          <w:sz w:val="22"/>
          <w:szCs w:val="22"/>
          <w:lang w:val="en-GB" w:eastAsia="en-GB"/>
        </w:rPr>
      </w:pPr>
      <w:r w:rsidRPr="00B13D95">
        <w:rPr>
          <w:rFonts w:cs="Times New Roman"/>
          <w:sz w:val="22"/>
          <w:szCs w:val="22"/>
          <w:lang w:val="en-GB" w:eastAsia="en-GB"/>
        </w:rPr>
        <w:t xml:space="preserve">The MA will send the list of selected projects to the </w:t>
      </w:r>
      <w:r w:rsidR="00670B50">
        <w:rPr>
          <w:rFonts w:cs="Times New Roman"/>
          <w:sz w:val="22"/>
          <w:szCs w:val="22"/>
          <w:lang w:val="en-GB" w:eastAsia="en-GB"/>
        </w:rPr>
        <w:t xml:space="preserve">NAs and </w:t>
      </w:r>
      <w:r w:rsidRPr="00B13D95">
        <w:rPr>
          <w:rFonts w:cs="Times New Roman"/>
          <w:sz w:val="22"/>
          <w:szCs w:val="22"/>
          <w:lang w:val="en-GB" w:eastAsia="en-GB"/>
        </w:rPr>
        <w:t>EC to consult different DGs and EU Delegations in order to avoid any double funding of projects and to identify possible synergies. Following this consultation the JMC may decide to reject initially recommended proposals</w:t>
      </w:r>
      <w:r w:rsidR="001C6A87">
        <w:rPr>
          <w:rFonts w:cs="Times New Roman"/>
          <w:sz w:val="22"/>
          <w:szCs w:val="22"/>
          <w:lang w:val="en-GB" w:eastAsia="en-GB"/>
        </w:rPr>
        <w:t>.</w:t>
      </w:r>
    </w:p>
    <w:p w14:paraId="6EB5D496" w14:textId="77777777" w:rsidR="00A5635D" w:rsidRPr="001F4390" w:rsidRDefault="00A5635D" w:rsidP="00D67190">
      <w:pPr>
        <w:spacing w:before="240" w:after="120" w:line="264" w:lineRule="auto"/>
        <w:jc w:val="both"/>
        <w:rPr>
          <w:b/>
          <w:lang w:val="en-GB"/>
        </w:rPr>
      </w:pPr>
      <w:bookmarkStart w:id="104" w:name="_Toc310942081"/>
      <w:r w:rsidRPr="001F4390">
        <w:rPr>
          <w:b/>
          <w:lang w:val="en-GB"/>
        </w:rPr>
        <w:t>A</w:t>
      </w:r>
      <w:bookmarkEnd w:id="104"/>
      <w:r w:rsidR="005A3BA1" w:rsidRPr="001F4390">
        <w:rPr>
          <w:b/>
          <w:lang w:val="en-GB"/>
        </w:rPr>
        <w:t>ppeals</w:t>
      </w:r>
    </w:p>
    <w:p w14:paraId="50A97D6C" w14:textId="77777777" w:rsidR="00A5635D" w:rsidRPr="00682784" w:rsidRDefault="00A5635D" w:rsidP="00DC5F7F">
      <w:pPr>
        <w:spacing w:after="120" w:line="240" w:lineRule="auto"/>
        <w:jc w:val="both"/>
        <w:rPr>
          <w:rFonts w:cs="Times New Roman"/>
          <w:sz w:val="22"/>
          <w:szCs w:val="22"/>
          <w:lang w:val="en-GB" w:eastAsia="en-GB"/>
        </w:rPr>
      </w:pPr>
      <w:r w:rsidRPr="00682784">
        <w:rPr>
          <w:rFonts w:cs="Times New Roman"/>
          <w:sz w:val="22"/>
          <w:szCs w:val="22"/>
          <w:lang w:val="en-GB" w:eastAsia="en-GB"/>
        </w:rPr>
        <w:t xml:space="preserve">Applicants believing that they have been harmed by an error or irregularity during one of the steps (administrative, technical and financial or verification of eligibility) of the evaluation and selection process </w:t>
      </w:r>
      <w:r w:rsidRPr="00682784">
        <w:rPr>
          <w:rFonts w:cs="Times New Roman"/>
          <w:bCs/>
          <w:sz w:val="22"/>
          <w:szCs w:val="22"/>
          <w:lang w:val="en-GB" w:eastAsia="en-GB"/>
        </w:rPr>
        <w:t>may file an appeal</w:t>
      </w:r>
      <w:r w:rsidRPr="00682784">
        <w:rPr>
          <w:rFonts w:cs="Times New Roman"/>
          <w:sz w:val="22"/>
          <w:szCs w:val="22"/>
          <w:lang w:val="en-GB" w:eastAsia="en-GB"/>
        </w:rPr>
        <w:t xml:space="preserve"> directly to the MA. The </w:t>
      </w:r>
      <w:r w:rsidRPr="00682784">
        <w:rPr>
          <w:rFonts w:cs="Times New Roman"/>
          <w:bCs/>
          <w:sz w:val="22"/>
          <w:szCs w:val="22"/>
          <w:lang w:val="en-GB" w:eastAsia="en-GB"/>
        </w:rPr>
        <w:t>applicant should substantiate its appeal by arguing why the decision of the Selection Committee/Joint Monitoring Committee infringes the provisions of the Guidelines for Grant Applicants or other applicable rules</w:t>
      </w:r>
      <w:r w:rsidRPr="00682784">
        <w:rPr>
          <w:rFonts w:cs="Times New Roman"/>
          <w:sz w:val="22"/>
          <w:szCs w:val="22"/>
          <w:lang w:val="en-GB" w:eastAsia="en-GB"/>
        </w:rPr>
        <w:t>.</w:t>
      </w:r>
    </w:p>
    <w:p w14:paraId="113D66B0" w14:textId="77777777" w:rsidR="00F37432" w:rsidRPr="00DD025B" w:rsidRDefault="00A5635D" w:rsidP="00F37432">
      <w:pPr>
        <w:pStyle w:val="Heading2"/>
        <w:spacing w:after="0" w:line="252" w:lineRule="auto"/>
        <w:jc w:val="left"/>
        <w:rPr>
          <w:sz w:val="10"/>
          <w:szCs w:val="10"/>
          <w:lang w:val="en-GB"/>
        </w:rPr>
      </w:pPr>
      <w:r>
        <w:rPr>
          <w:sz w:val="40"/>
          <w:szCs w:val="40"/>
          <w:lang w:val="en-GB"/>
        </w:rPr>
        <w:br w:type="column"/>
      </w:r>
    </w:p>
    <w:p w14:paraId="7B99283A" w14:textId="77777777" w:rsidR="00EE745F" w:rsidRDefault="008C5B6C" w:rsidP="008C5B6C">
      <w:pPr>
        <w:pStyle w:val="Heading1"/>
        <w:spacing w:before="120" w:after="0" w:line="264" w:lineRule="auto"/>
        <w:ind w:left="1080"/>
        <w:jc w:val="left"/>
        <w:rPr>
          <w:sz w:val="40"/>
          <w:szCs w:val="40"/>
          <w:lang w:val="en-GB"/>
        </w:rPr>
      </w:pPr>
      <w:bookmarkStart w:id="105" w:name="_Toc423436307"/>
      <w:r>
        <w:rPr>
          <w:sz w:val="40"/>
          <w:szCs w:val="40"/>
          <w:lang w:val="en-GB"/>
        </w:rPr>
        <w:t xml:space="preserve">8.    </w:t>
      </w:r>
      <w:r w:rsidR="00EE745F">
        <w:rPr>
          <w:sz w:val="40"/>
          <w:szCs w:val="40"/>
          <w:lang w:val="en-GB"/>
        </w:rPr>
        <w:t>Programme implementation</w:t>
      </w:r>
      <w:bookmarkEnd w:id="85"/>
      <w:bookmarkEnd w:id="105"/>
    </w:p>
    <w:p w14:paraId="3DA94569" w14:textId="77777777" w:rsidR="00EE745F" w:rsidRPr="00A5382E" w:rsidRDefault="00EE745F" w:rsidP="00EE745F">
      <w:pPr>
        <w:rPr>
          <w:lang w:val="en-GB"/>
        </w:rPr>
      </w:pPr>
    </w:p>
    <w:p w14:paraId="21D8AF3A" w14:textId="77777777" w:rsidR="00EE745F" w:rsidRPr="008C5B6C" w:rsidRDefault="008C5B6C" w:rsidP="00EE745F">
      <w:pPr>
        <w:pStyle w:val="Heading3"/>
        <w:spacing w:before="200" w:line="264" w:lineRule="auto"/>
        <w:rPr>
          <w:b/>
          <w:sz w:val="28"/>
          <w:szCs w:val="28"/>
          <w:lang w:val="en-GB"/>
        </w:rPr>
      </w:pPr>
      <w:bookmarkStart w:id="106" w:name="_Toc402864386"/>
      <w:bookmarkStart w:id="107" w:name="_Toc423436308"/>
      <w:bookmarkStart w:id="108" w:name="_Toc273563315"/>
      <w:bookmarkStart w:id="109" w:name="_Toc273788697"/>
      <w:r w:rsidRPr="00AE578C">
        <w:rPr>
          <w:b/>
          <w:sz w:val="28"/>
          <w:szCs w:val="28"/>
          <w:lang w:val="en-GB"/>
        </w:rPr>
        <w:t xml:space="preserve">8.1 </w:t>
      </w:r>
      <w:r w:rsidR="00B42858" w:rsidRPr="00AE578C">
        <w:rPr>
          <w:b/>
          <w:sz w:val="28"/>
          <w:szCs w:val="28"/>
          <w:lang w:val="en-GB"/>
        </w:rPr>
        <w:t>Summary d</w:t>
      </w:r>
      <w:r w:rsidR="00EE745F" w:rsidRPr="00AE578C">
        <w:rPr>
          <w:b/>
          <w:sz w:val="28"/>
          <w:szCs w:val="28"/>
          <w:lang w:val="en-GB"/>
        </w:rPr>
        <w:t>escription of the management and control systems</w:t>
      </w:r>
      <w:bookmarkEnd w:id="106"/>
      <w:bookmarkEnd w:id="107"/>
    </w:p>
    <w:p w14:paraId="10C714FF" w14:textId="77777777" w:rsidR="008C5B6C" w:rsidRDefault="008C5B6C" w:rsidP="00B42858">
      <w:pPr>
        <w:spacing w:after="160" w:line="259" w:lineRule="auto"/>
        <w:jc w:val="both"/>
        <w:rPr>
          <w:rFonts w:eastAsia="Times New Roman" w:cs="ArialMT"/>
          <w:bCs/>
          <w:sz w:val="22"/>
          <w:szCs w:val="22"/>
          <w:lang w:val="en-GB"/>
        </w:rPr>
      </w:pPr>
    </w:p>
    <w:p w14:paraId="407D34B5"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 xml:space="preserve">In accordance with article 30 of ENI-CBC IR, the management and control systems for the Black Sea Basin programme include: </w:t>
      </w:r>
    </w:p>
    <w:p w14:paraId="1E5BD4D4"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the functions of each body involved in management and control, including division of functions within each body, their internal organisation in compliance with the principle of separation of functions between and within such bodies; </w:t>
      </w:r>
    </w:p>
    <w:p w14:paraId="44009106"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procedures for ensuring the correctness and regularity of expenditure declared; </w:t>
      </w:r>
    </w:p>
    <w:p w14:paraId="64C85C02"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electronic data systems for accounting, storage, monitoring and reporting; </w:t>
      </w:r>
    </w:p>
    <w:p w14:paraId="757EA7D8"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systems for monitoring and reporting where the responsible body entrusts execution of tasks to another body; </w:t>
      </w:r>
    </w:p>
    <w:p w14:paraId="16F9F19F"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arrangements for auditing the functioning of the management and control systems; </w:t>
      </w:r>
    </w:p>
    <w:p w14:paraId="0DB726D3"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systems and procedures to ensure an adequate audit trail; </w:t>
      </w:r>
    </w:p>
    <w:p w14:paraId="465919C2"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 xml:space="preserve">procedures for prevention, detection and correction of irregularities, including fraud and the recovery of amounts unduly paid, together with any interest; </w:t>
      </w:r>
    </w:p>
    <w:p w14:paraId="633E0EA7"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r w:rsidRPr="00B42858">
        <w:rPr>
          <w:rFonts w:eastAsia="Times New Roman" w:cs="ArialMT"/>
          <w:bCs/>
          <w:sz w:val="22"/>
          <w:szCs w:val="22"/>
          <w:lang w:val="en-GB"/>
        </w:rPr>
        <w:t>contract award procedures for technical assistance and projects selection procedures;</w:t>
      </w:r>
    </w:p>
    <w:p w14:paraId="5EC4FB13" w14:textId="77777777" w:rsidR="00B42858" w:rsidRPr="00B42858" w:rsidRDefault="00B42858" w:rsidP="00B42858">
      <w:pPr>
        <w:numPr>
          <w:ilvl w:val="0"/>
          <w:numId w:val="77"/>
        </w:numPr>
        <w:spacing w:after="160" w:line="259" w:lineRule="auto"/>
        <w:ind w:left="567" w:hanging="425"/>
        <w:contextualSpacing/>
        <w:jc w:val="both"/>
        <w:rPr>
          <w:rFonts w:eastAsia="Times New Roman" w:cs="ArialMT"/>
          <w:bCs/>
          <w:sz w:val="22"/>
          <w:szCs w:val="22"/>
          <w:lang w:val="en-GB"/>
        </w:rPr>
      </w:pPr>
      <w:proofErr w:type="gramStart"/>
      <w:r w:rsidRPr="00B42858">
        <w:rPr>
          <w:rFonts w:eastAsia="Times New Roman" w:cs="ArialMT"/>
          <w:bCs/>
          <w:sz w:val="22"/>
          <w:szCs w:val="22"/>
          <w:lang w:val="en-GB"/>
        </w:rPr>
        <w:t>the</w:t>
      </w:r>
      <w:proofErr w:type="gramEnd"/>
      <w:r w:rsidRPr="00B42858">
        <w:rPr>
          <w:rFonts w:eastAsia="Times New Roman" w:cs="ArialMT"/>
          <w:bCs/>
          <w:sz w:val="22"/>
          <w:szCs w:val="22"/>
          <w:lang w:val="en-GB"/>
        </w:rPr>
        <w:t xml:space="preserve"> role of national authorities and the responsibilities of the participating countries in accordance with Article 31.</w:t>
      </w:r>
    </w:p>
    <w:p w14:paraId="45E10302"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table below make makes connection between the table of contents of the Description of the Management and Control Systems (DMCS) and the content required in article 30 of ENI-CBC IR:</w:t>
      </w:r>
    </w:p>
    <w:tbl>
      <w:tblPr>
        <w:tblStyle w:val="LightShading-Accent3"/>
        <w:tblW w:w="10348" w:type="dxa"/>
        <w:tblInd w:w="108" w:type="dxa"/>
        <w:tblLook w:val="04A0" w:firstRow="1" w:lastRow="0" w:firstColumn="1" w:lastColumn="0" w:noHBand="0" w:noVBand="1"/>
      </w:tblPr>
      <w:tblGrid>
        <w:gridCol w:w="7938"/>
        <w:gridCol w:w="2410"/>
      </w:tblGrid>
      <w:tr w:rsidR="00B42858" w:rsidRPr="00BF52E5" w14:paraId="13E32E58" w14:textId="77777777" w:rsidTr="00891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643D4E46" w14:textId="77777777" w:rsidR="00B42858" w:rsidRPr="00B42858" w:rsidRDefault="00B42858" w:rsidP="00B42858">
            <w:pPr>
              <w:jc w:val="both"/>
              <w:rPr>
                <w:rFonts w:eastAsia="Times New Roman" w:cs="ArialMT"/>
                <w:lang w:val="en-GB"/>
              </w:rPr>
            </w:pPr>
            <w:r w:rsidRPr="00B42858">
              <w:rPr>
                <w:rFonts w:eastAsia="Times New Roman" w:cs="ArialMT"/>
                <w:lang w:val="en-GB"/>
              </w:rPr>
              <w:t>DMCS</w:t>
            </w:r>
          </w:p>
        </w:tc>
        <w:tc>
          <w:tcPr>
            <w:tcW w:w="2410" w:type="dxa"/>
          </w:tcPr>
          <w:p w14:paraId="1EF0B883" w14:textId="77777777" w:rsidR="00B42858" w:rsidRPr="00B42858" w:rsidRDefault="00B42858" w:rsidP="00B42858">
            <w:pPr>
              <w:jc w:val="center"/>
              <w:cnfStyle w:val="100000000000" w:firstRow="1"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Article 30 of ENI-CBC IR</w:t>
            </w:r>
          </w:p>
        </w:tc>
      </w:tr>
      <w:tr w:rsidR="00B42858" w:rsidRPr="00B42858" w14:paraId="5DE6B861" w14:textId="77777777" w:rsidTr="0089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0D7594A7"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1.</w:t>
            </w:r>
            <w:r w:rsidRPr="00B42858">
              <w:rPr>
                <w:rFonts w:eastAsia="Times New Roman" w:cs="ArialMT"/>
                <w:lang w:val="en-GB"/>
              </w:rPr>
              <w:tab/>
              <w:t>Introduction</w:t>
            </w:r>
          </w:p>
        </w:tc>
        <w:tc>
          <w:tcPr>
            <w:tcW w:w="2410" w:type="dxa"/>
          </w:tcPr>
          <w:p w14:paraId="72D4845C" w14:textId="77777777" w:rsidR="00B42858" w:rsidRPr="00B42858" w:rsidRDefault="00B42858" w:rsidP="00B42858">
            <w:pPr>
              <w:jc w:val="cente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N/A</w:t>
            </w:r>
          </w:p>
        </w:tc>
      </w:tr>
      <w:tr w:rsidR="00B42858" w:rsidRPr="00B42858" w14:paraId="421C6B6C" w14:textId="77777777" w:rsidTr="0089175C">
        <w:tc>
          <w:tcPr>
            <w:cnfStyle w:val="001000000000" w:firstRow="0" w:lastRow="0" w:firstColumn="1" w:lastColumn="0" w:oddVBand="0" w:evenVBand="0" w:oddHBand="0" w:evenHBand="0" w:firstRowFirstColumn="0" w:firstRowLastColumn="0" w:lastRowFirstColumn="0" w:lastRowLastColumn="0"/>
            <w:tcW w:w="7938" w:type="dxa"/>
          </w:tcPr>
          <w:p w14:paraId="773C3DEC" w14:textId="2E8AB2C0" w:rsidR="00B42858" w:rsidRPr="00B42858" w:rsidRDefault="001F18F7" w:rsidP="00B42858">
            <w:pPr>
              <w:ind w:left="318" w:hanging="318"/>
              <w:jc w:val="both"/>
              <w:rPr>
                <w:rFonts w:eastAsia="Times New Roman" w:cs="ArialMT"/>
                <w:lang w:val="en-GB"/>
              </w:rPr>
            </w:pPr>
            <w:r>
              <w:rPr>
                <w:rFonts w:eastAsia="Times New Roman" w:cs="ArialMT"/>
                <w:lang w:val="en-GB"/>
              </w:rPr>
              <w:t xml:space="preserve">2. </w:t>
            </w:r>
            <w:r w:rsidR="00B42858" w:rsidRPr="00B42858">
              <w:rPr>
                <w:rFonts w:eastAsia="Times New Roman" w:cs="ArialMT"/>
                <w:lang w:val="en-GB"/>
              </w:rPr>
              <w:t>Functions, internal organisation and resources for programme management bodies</w:t>
            </w:r>
          </w:p>
        </w:tc>
        <w:tc>
          <w:tcPr>
            <w:tcW w:w="2410" w:type="dxa"/>
          </w:tcPr>
          <w:p w14:paraId="5D207B06" w14:textId="77777777" w:rsidR="00B42858" w:rsidRPr="00B42858" w:rsidRDefault="00B42858" w:rsidP="00B42858">
            <w:pPr>
              <w:jc w:val="cente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(a) &amp; (</w:t>
            </w:r>
            <w:proofErr w:type="spellStart"/>
            <w:r w:rsidRPr="00B42858">
              <w:rPr>
                <w:rFonts w:eastAsia="Times New Roman" w:cs="ArialMT"/>
                <w:bCs/>
                <w:lang w:val="en-GB"/>
              </w:rPr>
              <w:t>i</w:t>
            </w:r>
            <w:proofErr w:type="spellEnd"/>
            <w:r w:rsidRPr="00B42858">
              <w:rPr>
                <w:rFonts w:eastAsia="Times New Roman" w:cs="ArialMT"/>
                <w:bCs/>
                <w:lang w:val="en-GB"/>
              </w:rPr>
              <w:t>)</w:t>
            </w:r>
          </w:p>
        </w:tc>
      </w:tr>
      <w:tr w:rsidR="00B42858" w:rsidRPr="00B42858" w14:paraId="764744F6" w14:textId="77777777" w:rsidTr="0089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5751EAB2"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3.</w:t>
            </w:r>
            <w:r w:rsidRPr="00B42858">
              <w:rPr>
                <w:rFonts w:eastAsia="Times New Roman" w:cs="ArialMT"/>
                <w:lang w:val="en-GB"/>
              </w:rPr>
              <w:tab/>
              <w:t>Description of procedures for calls for project proposals, selecting and approving projects</w:t>
            </w:r>
          </w:p>
        </w:tc>
        <w:tc>
          <w:tcPr>
            <w:tcW w:w="2410" w:type="dxa"/>
          </w:tcPr>
          <w:p w14:paraId="7CA58E0B" w14:textId="77777777" w:rsidR="00B42858" w:rsidRPr="00B42858" w:rsidRDefault="00B42858" w:rsidP="00B42858">
            <w:pPr>
              <w:jc w:val="cente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(h)</w:t>
            </w:r>
          </w:p>
        </w:tc>
      </w:tr>
      <w:tr w:rsidR="00B42858" w:rsidRPr="00B42858" w14:paraId="5085C831" w14:textId="77777777" w:rsidTr="0089175C">
        <w:tc>
          <w:tcPr>
            <w:cnfStyle w:val="001000000000" w:firstRow="0" w:lastRow="0" w:firstColumn="1" w:lastColumn="0" w:oddVBand="0" w:evenVBand="0" w:oddHBand="0" w:evenHBand="0" w:firstRowFirstColumn="0" w:firstRowLastColumn="0" w:lastRowFirstColumn="0" w:lastRowLastColumn="0"/>
            <w:tcW w:w="7938" w:type="dxa"/>
          </w:tcPr>
          <w:p w14:paraId="272D9312"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4</w:t>
            </w:r>
            <w:r w:rsidRPr="00B42858">
              <w:rPr>
                <w:rFonts w:eastAsia="Times New Roman" w:cs="ArialMT"/>
                <w:lang w:val="en-GB"/>
              </w:rPr>
              <w:tab/>
              <w:t>Description of management procedures</w:t>
            </w:r>
          </w:p>
        </w:tc>
        <w:tc>
          <w:tcPr>
            <w:tcW w:w="2410" w:type="dxa"/>
          </w:tcPr>
          <w:p w14:paraId="1A6FDD34" w14:textId="77777777" w:rsidR="00B42858" w:rsidRPr="00B42858" w:rsidRDefault="00B42858" w:rsidP="00B42858">
            <w:pPr>
              <w:jc w:val="cente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(b), (c), (f), (g) &amp; (h)</w:t>
            </w:r>
          </w:p>
        </w:tc>
      </w:tr>
      <w:tr w:rsidR="00B42858" w:rsidRPr="00B42858" w14:paraId="4B4D02AB" w14:textId="77777777" w:rsidTr="008917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375DD166"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5.</w:t>
            </w:r>
            <w:r w:rsidRPr="00B42858">
              <w:rPr>
                <w:rFonts w:eastAsia="Times New Roman" w:cs="ArialMT"/>
                <w:lang w:val="en-GB"/>
              </w:rPr>
              <w:tab/>
              <w:t>Procedures for auditing the functioning of the management and control systems, the accounts and operations</w:t>
            </w:r>
          </w:p>
        </w:tc>
        <w:tc>
          <w:tcPr>
            <w:tcW w:w="2410" w:type="dxa"/>
          </w:tcPr>
          <w:p w14:paraId="2537087A" w14:textId="77777777" w:rsidR="00B42858" w:rsidRPr="00B42858" w:rsidRDefault="00B42858" w:rsidP="00B42858">
            <w:pPr>
              <w:jc w:val="cente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(e)</w:t>
            </w:r>
          </w:p>
        </w:tc>
      </w:tr>
      <w:tr w:rsidR="00B42858" w:rsidRPr="00B42858" w14:paraId="009A2221" w14:textId="77777777" w:rsidTr="0089175C">
        <w:tc>
          <w:tcPr>
            <w:cnfStyle w:val="001000000000" w:firstRow="0" w:lastRow="0" w:firstColumn="1" w:lastColumn="0" w:oddVBand="0" w:evenVBand="0" w:oddHBand="0" w:evenHBand="0" w:firstRowFirstColumn="0" w:firstRowLastColumn="0" w:lastRowFirstColumn="0" w:lastRowLastColumn="0"/>
            <w:tcW w:w="7938" w:type="dxa"/>
          </w:tcPr>
          <w:p w14:paraId="646C257F"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6.</w:t>
            </w:r>
            <w:r w:rsidRPr="00B42858">
              <w:rPr>
                <w:rFonts w:eastAsia="Times New Roman" w:cs="ArialMT"/>
                <w:lang w:val="en-GB"/>
              </w:rPr>
              <w:tab/>
              <w:t>Modification of DMCS</w:t>
            </w:r>
          </w:p>
        </w:tc>
        <w:tc>
          <w:tcPr>
            <w:tcW w:w="2410" w:type="dxa"/>
          </w:tcPr>
          <w:p w14:paraId="23E76F00" w14:textId="77777777" w:rsidR="00B42858" w:rsidRPr="00B42858" w:rsidRDefault="00B42858" w:rsidP="00B42858">
            <w:pPr>
              <w:jc w:val="cente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N/A</w:t>
            </w:r>
          </w:p>
        </w:tc>
      </w:tr>
    </w:tbl>
    <w:p w14:paraId="341BF846" w14:textId="77777777" w:rsidR="00B42858" w:rsidRPr="00B42858" w:rsidRDefault="00B42858" w:rsidP="00B42858">
      <w:pPr>
        <w:spacing w:after="160" w:line="259" w:lineRule="auto"/>
        <w:jc w:val="both"/>
        <w:rPr>
          <w:rFonts w:eastAsia="Times New Roman" w:cs="ArialMT"/>
          <w:bCs/>
          <w:sz w:val="22"/>
          <w:szCs w:val="22"/>
          <w:lang w:val="en-GB"/>
        </w:rPr>
      </w:pPr>
    </w:p>
    <w:p w14:paraId="30105652"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Some of the information is already included in specific sections of the JOP, in particular:</w:t>
      </w:r>
    </w:p>
    <w:p w14:paraId="7DCC524D" w14:textId="77777777" w:rsidR="00B42858" w:rsidRPr="00B42858" w:rsidRDefault="00B42858" w:rsidP="00B42858">
      <w:pPr>
        <w:numPr>
          <w:ilvl w:val="0"/>
          <w:numId w:val="78"/>
        </w:numPr>
        <w:spacing w:after="160" w:line="259" w:lineRule="auto"/>
        <w:contextualSpacing/>
        <w:jc w:val="both"/>
        <w:rPr>
          <w:rFonts w:eastAsia="Times New Roman" w:cs="ArialMT"/>
          <w:bCs/>
          <w:sz w:val="22"/>
          <w:szCs w:val="22"/>
          <w:lang w:val="en-GB"/>
        </w:rPr>
      </w:pPr>
      <w:r w:rsidRPr="00B42858">
        <w:rPr>
          <w:rFonts w:eastAsia="Times New Roman" w:cs="ArialMT"/>
          <w:bCs/>
          <w:sz w:val="22"/>
          <w:szCs w:val="22"/>
          <w:lang w:val="en-GB"/>
        </w:rPr>
        <w:t>points (a) and (</w:t>
      </w:r>
      <w:proofErr w:type="spellStart"/>
      <w:r w:rsidRPr="00B42858">
        <w:rPr>
          <w:rFonts w:eastAsia="Times New Roman" w:cs="ArialMT"/>
          <w:bCs/>
          <w:sz w:val="22"/>
          <w:szCs w:val="22"/>
          <w:lang w:val="en-GB"/>
        </w:rPr>
        <w:t>i</w:t>
      </w:r>
      <w:proofErr w:type="spellEnd"/>
      <w:r w:rsidRPr="00B42858">
        <w:rPr>
          <w:rFonts w:eastAsia="Times New Roman" w:cs="ArialMT"/>
          <w:bCs/>
          <w:sz w:val="22"/>
          <w:szCs w:val="22"/>
          <w:lang w:val="en-GB"/>
        </w:rPr>
        <w:t>) are summarized in the section on programme bodies and authorities</w:t>
      </w:r>
    </w:p>
    <w:p w14:paraId="227E599C" w14:textId="77777777" w:rsidR="00B42858" w:rsidRPr="00B42858" w:rsidRDefault="00B42858" w:rsidP="00B42858">
      <w:pPr>
        <w:numPr>
          <w:ilvl w:val="0"/>
          <w:numId w:val="78"/>
        </w:numPr>
        <w:spacing w:after="160" w:line="259" w:lineRule="auto"/>
        <w:contextualSpacing/>
        <w:jc w:val="both"/>
        <w:rPr>
          <w:rFonts w:eastAsia="Times New Roman" w:cs="ArialMT"/>
          <w:bCs/>
          <w:sz w:val="22"/>
          <w:szCs w:val="22"/>
          <w:lang w:val="en-GB"/>
        </w:rPr>
      </w:pPr>
      <w:r w:rsidRPr="00B42858">
        <w:rPr>
          <w:rFonts w:eastAsia="Times New Roman" w:cs="ArialMT"/>
          <w:bCs/>
          <w:sz w:val="22"/>
          <w:szCs w:val="22"/>
          <w:lang w:val="en-GB"/>
        </w:rPr>
        <w:t>project selection procedures, indicated in point (h) are summarized in the next section of the JOP</w:t>
      </w:r>
    </w:p>
    <w:p w14:paraId="64407AAE" w14:textId="77777777" w:rsidR="00B42858" w:rsidRPr="00B42858" w:rsidRDefault="00B42858" w:rsidP="00B42858">
      <w:pPr>
        <w:numPr>
          <w:ilvl w:val="0"/>
          <w:numId w:val="78"/>
        </w:numPr>
        <w:spacing w:after="160" w:line="259" w:lineRule="auto"/>
        <w:contextualSpacing/>
        <w:jc w:val="both"/>
        <w:rPr>
          <w:rFonts w:eastAsia="Times New Roman" w:cs="ArialMT"/>
          <w:bCs/>
          <w:sz w:val="22"/>
          <w:szCs w:val="22"/>
          <w:lang w:val="en-GB"/>
        </w:rPr>
      </w:pPr>
      <w:r w:rsidRPr="00B42858">
        <w:rPr>
          <w:rFonts w:eastAsia="Times New Roman" w:cs="ArialMT"/>
          <w:bCs/>
          <w:sz w:val="22"/>
          <w:szCs w:val="22"/>
          <w:lang w:val="en-GB"/>
        </w:rPr>
        <w:t>contract award procedures for technical assistance, also in point (h), is included in another section of JOP further below</w:t>
      </w:r>
    </w:p>
    <w:p w14:paraId="18AF4A38" w14:textId="77777777" w:rsidR="00B42858" w:rsidRPr="00B42858" w:rsidRDefault="00B42858" w:rsidP="00B42858">
      <w:pPr>
        <w:spacing w:after="160" w:line="259" w:lineRule="auto"/>
        <w:jc w:val="both"/>
        <w:rPr>
          <w:rFonts w:eastAsia="Times New Roman" w:cs="ArialMT"/>
          <w:b/>
          <w:sz w:val="22"/>
          <w:szCs w:val="22"/>
          <w:lang w:val="en-GB"/>
        </w:rPr>
      </w:pPr>
      <w:r w:rsidRPr="00B42858">
        <w:rPr>
          <w:rFonts w:eastAsia="Times New Roman" w:cs="ArialMT"/>
          <w:sz w:val="22"/>
          <w:szCs w:val="22"/>
          <w:lang w:val="en-GB"/>
        </w:rPr>
        <w:t>Other procedures and arrangements for management, implementation control and ensuring the adequate audit trail are briefly described below.</w:t>
      </w:r>
    </w:p>
    <w:p w14:paraId="17BEF421" w14:textId="77777777" w:rsidR="00B42858" w:rsidRPr="00B42858" w:rsidRDefault="00B42858" w:rsidP="008A7153">
      <w:pPr>
        <w:spacing w:after="160" w:line="259" w:lineRule="auto"/>
        <w:jc w:val="both"/>
        <w:rPr>
          <w:rFonts w:eastAsia="Times New Roman" w:cs="ArialMT"/>
          <w:b/>
          <w:sz w:val="22"/>
          <w:szCs w:val="22"/>
          <w:lang w:val="en-GB"/>
        </w:rPr>
      </w:pPr>
      <w:r w:rsidRPr="00B42858">
        <w:rPr>
          <w:rFonts w:eastAsia="Times New Roman" w:cs="ArialMT"/>
          <w:b/>
          <w:sz w:val="22"/>
          <w:szCs w:val="22"/>
          <w:lang w:val="en-GB"/>
        </w:rPr>
        <w:lastRenderedPageBreak/>
        <w:t xml:space="preserve">Procedures for ensuring the correctness and regularity of expenditure and revenue declared </w:t>
      </w:r>
    </w:p>
    <w:p w14:paraId="13A848CB"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 xml:space="preserve">The programme foresees several procedures for ensuring the correctness and regularity of expenditure and revenue declared by the project beneficiaries to the Managing Authority: </w:t>
      </w:r>
    </w:p>
    <w:p w14:paraId="39FD4D11" w14:textId="77777777" w:rsidR="00B42858" w:rsidRPr="00B42858" w:rsidRDefault="00B42858" w:rsidP="008A7153">
      <w:pPr>
        <w:numPr>
          <w:ilvl w:val="0"/>
          <w:numId w:val="79"/>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Regular monitoring, follow-up and support by JTS to project beneficiaries, including of/for the</w:t>
      </w:r>
      <w:r w:rsidRPr="00917195">
        <w:rPr>
          <w:rFonts w:eastAsia="Times New Roman" w:cs="ArialMT"/>
          <w:bCs/>
          <w:sz w:val="22"/>
          <w:szCs w:val="22"/>
          <w:lang w:val="en-GB"/>
        </w:rPr>
        <w:t xml:space="preserve"> </w:t>
      </w:r>
      <w:r w:rsidRPr="00B42858">
        <w:rPr>
          <w:rFonts w:eastAsia="Times New Roman" w:cs="ArialMT"/>
          <w:bCs/>
          <w:sz w:val="22"/>
          <w:szCs w:val="22"/>
          <w:lang w:val="en-GB"/>
        </w:rPr>
        <w:t>set-up of good internal control systems, accounting and archiving of supporting documents ;</w:t>
      </w:r>
    </w:p>
    <w:p w14:paraId="45825D4B" w14:textId="77777777" w:rsidR="00B42858" w:rsidRPr="00B42858" w:rsidRDefault="00B42858" w:rsidP="008A7153">
      <w:pPr>
        <w:numPr>
          <w:ilvl w:val="0"/>
          <w:numId w:val="79"/>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Verification procedures for declared expenditure and revenue;</w:t>
      </w:r>
    </w:p>
    <w:p w14:paraId="3541D11A" w14:textId="77777777" w:rsidR="00B42858" w:rsidRPr="00B42858" w:rsidRDefault="00B42858" w:rsidP="008A7153">
      <w:pPr>
        <w:numPr>
          <w:ilvl w:val="0"/>
          <w:numId w:val="79"/>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On-the-spot verifications of projects by MA &amp; JTS, with support of NA;</w:t>
      </w:r>
    </w:p>
    <w:p w14:paraId="38FF9788" w14:textId="77777777" w:rsidR="00B42858" w:rsidRPr="00B42858" w:rsidRDefault="00B42858" w:rsidP="008A7153">
      <w:pPr>
        <w:numPr>
          <w:ilvl w:val="0"/>
          <w:numId w:val="79"/>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Risk analysis and anti-fraud measures;</w:t>
      </w:r>
    </w:p>
    <w:p w14:paraId="40650204" w14:textId="77777777" w:rsidR="00B42858" w:rsidRPr="00B42858" w:rsidRDefault="00B42858" w:rsidP="008A7153">
      <w:pPr>
        <w:numPr>
          <w:ilvl w:val="0"/>
          <w:numId w:val="79"/>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Sample checks of the operations by the Audit Authority with the support of the Group of Auditors.</w:t>
      </w:r>
    </w:p>
    <w:p w14:paraId="7E0B2379"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In accordance with article 32 of ENI-CBC IR, the expenditure declared by the beneficiaries shall be examined either by an auditor or by a competent public officer. The programme decided to use the common name of “controller”. Each country has defined its own system for the selection of the controllers:</w:t>
      </w:r>
    </w:p>
    <w:tbl>
      <w:tblPr>
        <w:tblStyle w:val="LightShading-Accent3"/>
        <w:tblW w:w="0" w:type="auto"/>
        <w:tblInd w:w="108" w:type="dxa"/>
        <w:tblLook w:val="04A0" w:firstRow="1" w:lastRow="0" w:firstColumn="1" w:lastColumn="0" w:noHBand="0" w:noVBand="1"/>
      </w:tblPr>
      <w:tblGrid>
        <w:gridCol w:w="4253"/>
        <w:gridCol w:w="5908"/>
      </w:tblGrid>
      <w:tr w:rsidR="00B42858" w:rsidRPr="00BF52E5" w14:paraId="308E8B60" w14:textId="77777777" w:rsidTr="005A2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0C5CD8DD" w14:textId="77777777" w:rsidR="00B42858" w:rsidRPr="00B42858" w:rsidRDefault="00B42858" w:rsidP="00B42858">
            <w:pPr>
              <w:jc w:val="both"/>
              <w:rPr>
                <w:rFonts w:eastAsia="Times New Roman" w:cs="ArialMT"/>
                <w:lang w:val="en-GB"/>
              </w:rPr>
            </w:pPr>
            <w:r w:rsidRPr="00B42858">
              <w:rPr>
                <w:rFonts w:eastAsia="Times New Roman" w:cs="ArialMT"/>
                <w:lang w:val="en-GB"/>
              </w:rPr>
              <w:t>Country</w:t>
            </w:r>
          </w:p>
        </w:tc>
        <w:tc>
          <w:tcPr>
            <w:tcW w:w="5908" w:type="dxa"/>
          </w:tcPr>
          <w:p w14:paraId="60F84C28" w14:textId="77777777" w:rsidR="00B42858" w:rsidRPr="00B42858" w:rsidRDefault="00B42858" w:rsidP="00B42858">
            <w:pPr>
              <w:jc w:val="center"/>
              <w:cnfStyle w:val="100000000000" w:firstRow="1"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Type of controller and selection method</w:t>
            </w:r>
          </w:p>
        </w:tc>
      </w:tr>
      <w:tr w:rsidR="00B42858" w:rsidRPr="00BF52E5" w14:paraId="66B0E7B4" w14:textId="77777777" w:rsidTr="005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785AA7A"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Armenia</w:t>
            </w:r>
          </w:p>
        </w:tc>
        <w:tc>
          <w:tcPr>
            <w:tcW w:w="5908" w:type="dxa"/>
          </w:tcPr>
          <w:p w14:paraId="0DEA0AE7"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Public officers, with the option of long list of auditors if resources are not enough</w:t>
            </w:r>
          </w:p>
        </w:tc>
      </w:tr>
      <w:tr w:rsidR="00B42858" w:rsidRPr="00BF52E5" w14:paraId="67B3A4E2" w14:textId="77777777" w:rsidTr="005A2E41">
        <w:tc>
          <w:tcPr>
            <w:cnfStyle w:val="001000000000" w:firstRow="0" w:lastRow="0" w:firstColumn="1" w:lastColumn="0" w:oddVBand="0" w:evenVBand="0" w:oddHBand="0" w:evenHBand="0" w:firstRowFirstColumn="0" w:firstRowLastColumn="0" w:lastRowFirstColumn="0" w:lastRowLastColumn="0"/>
            <w:tcW w:w="4253" w:type="dxa"/>
          </w:tcPr>
          <w:p w14:paraId="35D56998"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Bulgaria</w:t>
            </w:r>
          </w:p>
        </w:tc>
        <w:tc>
          <w:tcPr>
            <w:tcW w:w="5908" w:type="dxa"/>
          </w:tcPr>
          <w:p w14:paraId="5740B02D"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Auditors selected through a short list</w:t>
            </w:r>
          </w:p>
        </w:tc>
      </w:tr>
      <w:tr w:rsidR="00B42858" w:rsidRPr="00BF52E5" w14:paraId="0DD06233" w14:textId="77777777" w:rsidTr="005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1C95993"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Georgia</w:t>
            </w:r>
          </w:p>
        </w:tc>
        <w:tc>
          <w:tcPr>
            <w:tcW w:w="5908" w:type="dxa"/>
          </w:tcPr>
          <w:p w14:paraId="547E56AF"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Auditors selected through a long list</w:t>
            </w:r>
          </w:p>
        </w:tc>
      </w:tr>
      <w:tr w:rsidR="00B42858" w:rsidRPr="00BF52E5" w14:paraId="4FFDD017" w14:textId="77777777" w:rsidTr="005A2E41">
        <w:tc>
          <w:tcPr>
            <w:cnfStyle w:val="001000000000" w:firstRow="0" w:lastRow="0" w:firstColumn="1" w:lastColumn="0" w:oddVBand="0" w:evenVBand="0" w:oddHBand="0" w:evenHBand="0" w:firstRowFirstColumn="0" w:firstRowLastColumn="0" w:lastRowFirstColumn="0" w:lastRowLastColumn="0"/>
            <w:tcW w:w="4253" w:type="dxa"/>
          </w:tcPr>
          <w:p w14:paraId="0E540437"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Greece</w:t>
            </w:r>
          </w:p>
        </w:tc>
        <w:tc>
          <w:tcPr>
            <w:tcW w:w="5908" w:type="dxa"/>
          </w:tcPr>
          <w:p w14:paraId="4832629C"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Public officers, with the option of short list of auditors if resources are not enough</w:t>
            </w:r>
          </w:p>
        </w:tc>
      </w:tr>
      <w:tr w:rsidR="00B42858" w:rsidRPr="00BF52E5" w14:paraId="3D8B3E32" w14:textId="77777777" w:rsidTr="005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724DEE4"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Moldova</w:t>
            </w:r>
          </w:p>
        </w:tc>
        <w:tc>
          <w:tcPr>
            <w:tcW w:w="5908" w:type="dxa"/>
          </w:tcPr>
          <w:p w14:paraId="3C87B72E"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Auditors selected through a long list</w:t>
            </w:r>
          </w:p>
        </w:tc>
      </w:tr>
      <w:tr w:rsidR="00B42858" w:rsidRPr="00B42858" w14:paraId="268DEFED" w14:textId="77777777" w:rsidTr="005A2E41">
        <w:tc>
          <w:tcPr>
            <w:cnfStyle w:val="001000000000" w:firstRow="0" w:lastRow="0" w:firstColumn="1" w:lastColumn="0" w:oddVBand="0" w:evenVBand="0" w:oddHBand="0" w:evenHBand="0" w:firstRowFirstColumn="0" w:firstRowLastColumn="0" w:lastRowFirstColumn="0" w:lastRowLastColumn="0"/>
            <w:tcW w:w="4253" w:type="dxa"/>
          </w:tcPr>
          <w:p w14:paraId="21DDDFE1"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Romania</w:t>
            </w:r>
          </w:p>
        </w:tc>
        <w:tc>
          <w:tcPr>
            <w:tcW w:w="5908" w:type="dxa"/>
          </w:tcPr>
          <w:p w14:paraId="57E27ACD"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Public officers</w:t>
            </w:r>
          </w:p>
        </w:tc>
      </w:tr>
      <w:tr w:rsidR="00B42858" w:rsidRPr="00BF52E5" w14:paraId="5E75C097" w14:textId="77777777" w:rsidTr="005A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E3A2EB1"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Turkey</w:t>
            </w:r>
          </w:p>
        </w:tc>
        <w:tc>
          <w:tcPr>
            <w:tcW w:w="5908" w:type="dxa"/>
          </w:tcPr>
          <w:p w14:paraId="091DFCBE"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bCs/>
                <w:lang w:val="en-GB"/>
              </w:rPr>
            </w:pPr>
            <w:r w:rsidRPr="00B42858">
              <w:rPr>
                <w:rFonts w:eastAsia="Times New Roman" w:cs="ArialMT"/>
                <w:bCs/>
                <w:lang w:val="en-GB"/>
              </w:rPr>
              <w:t>Public officers, with the support of external controllers</w:t>
            </w:r>
          </w:p>
        </w:tc>
      </w:tr>
      <w:tr w:rsidR="00B42858" w:rsidRPr="00BF52E5" w14:paraId="1C4FAC00" w14:textId="77777777" w:rsidTr="005A2E41">
        <w:tc>
          <w:tcPr>
            <w:cnfStyle w:val="001000000000" w:firstRow="0" w:lastRow="0" w:firstColumn="1" w:lastColumn="0" w:oddVBand="0" w:evenVBand="0" w:oddHBand="0" w:evenHBand="0" w:firstRowFirstColumn="0" w:firstRowLastColumn="0" w:lastRowFirstColumn="0" w:lastRowLastColumn="0"/>
            <w:tcW w:w="4253" w:type="dxa"/>
          </w:tcPr>
          <w:p w14:paraId="666A4A34" w14:textId="77777777" w:rsidR="00B42858" w:rsidRPr="00B42858" w:rsidRDefault="00B42858" w:rsidP="00B42858">
            <w:pPr>
              <w:ind w:left="318" w:hanging="318"/>
              <w:jc w:val="both"/>
              <w:rPr>
                <w:rFonts w:eastAsia="Times New Roman" w:cs="ArialMT"/>
                <w:lang w:val="en-GB"/>
              </w:rPr>
            </w:pPr>
            <w:r w:rsidRPr="00B42858">
              <w:rPr>
                <w:rFonts w:eastAsia="Times New Roman" w:cs="ArialMT"/>
                <w:lang w:val="en-GB"/>
              </w:rPr>
              <w:t>Ukraine</w:t>
            </w:r>
          </w:p>
        </w:tc>
        <w:tc>
          <w:tcPr>
            <w:tcW w:w="5908" w:type="dxa"/>
          </w:tcPr>
          <w:p w14:paraId="16AD9591"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bCs/>
                <w:lang w:val="en-GB"/>
              </w:rPr>
            </w:pPr>
            <w:r w:rsidRPr="00B42858">
              <w:rPr>
                <w:rFonts w:eastAsia="Times New Roman" w:cs="ArialMT"/>
                <w:bCs/>
                <w:lang w:val="en-GB"/>
              </w:rPr>
              <w:t>Auditors selected through a long list</w:t>
            </w:r>
          </w:p>
        </w:tc>
      </w:tr>
    </w:tbl>
    <w:p w14:paraId="37864B0D" w14:textId="77777777" w:rsidR="00B42858" w:rsidRPr="00B42858" w:rsidRDefault="00B42858" w:rsidP="00B42858">
      <w:pPr>
        <w:spacing w:after="160" w:line="259" w:lineRule="auto"/>
        <w:jc w:val="both"/>
        <w:rPr>
          <w:rFonts w:eastAsia="Times New Roman" w:cs="ArialMT"/>
          <w:bCs/>
          <w:sz w:val="22"/>
          <w:szCs w:val="22"/>
          <w:lang w:val="en-GB"/>
        </w:rPr>
      </w:pPr>
    </w:p>
    <w:p w14:paraId="35F9FD67"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 xml:space="preserve">All payment requests by beneficiaries, whether intermediate or final, should be subject to </w:t>
      </w:r>
      <w:r w:rsidRPr="00B42858">
        <w:rPr>
          <w:rFonts w:eastAsia="Times New Roman" w:cs="ArialMT"/>
          <w:b/>
          <w:sz w:val="22"/>
          <w:szCs w:val="22"/>
          <w:lang w:val="en-GB"/>
        </w:rPr>
        <w:t>administrative verifications</w:t>
      </w:r>
      <w:r w:rsidRPr="00B42858">
        <w:rPr>
          <w:rFonts w:eastAsia="Times New Roman" w:cs="ArialMT"/>
          <w:bCs/>
          <w:sz w:val="22"/>
          <w:szCs w:val="22"/>
          <w:lang w:val="en-GB"/>
        </w:rPr>
        <w:t xml:space="preserve"> by MA, after a compliance check by JTS. The verifications shall be based on an examination of the claim and relevant supporting documentation such as narrative and financial reports and Expenditure Verification Report. Additionally, a sample of expenditure supporting documents, such as procurement procedures, invoices, proofs of payment and delivery or timesheets, may be examined, if the need arises from the outcome of the Expenditure Verification Report.</w:t>
      </w:r>
    </w:p>
    <w:p w14:paraId="527B1D6D"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
          <w:sz w:val="22"/>
          <w:szCs w:val="22"/>
          <w:lang w:val="en-GB"/>
        </w:rPr>
        <w:t>On-the-spot verifications</w:t>
      </w:r>
      <w:r w:rsidRPr="00B42858">
        <w:rPr>
          <w:rFonts w:eastAsia="Times New Roman" w:cs="ArialMT"/>
          <w:bCs/>
          <w:sz w:val="22"/>
          <w:szCs w:val="22"/>
          <w:lang w:val="en-GB"/>
        </w:rPr>
        <w:t xml:space="preserve"> shall be carried out in order to check the reality of the operation, that the delivery of the products/services is in full compliance with the terms and references of the Grant Contract, that the beneficiary’s Statements of Expenditure and Sources of Funding is correct and that the actions and expenditure are in line with the community, programme and national rules. On-the-spot verifications shall be carried out on a sample basis. </w:t>
      </w:r>
    </w:p>
    <w:p w14:paraId="5824C39A" w14:textId="77777777" w:rsidR="00B42858" w:rsidRPr="00B42858" w:rsidRDefault="00B42858" w:rsidP="008A7153">
      <w:pPr>
        <w:spacing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Payment procedures </w:t>
      </w:r>
    </w:p>
    <w:p w14:paraId="1570BF18"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Beneficiaries will receive the following payments during the life-time of the project:</w:t>
      </w:r>
    </w:p>
    <w:p w14:paraId="215FAE86"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An initial payment following the signature of the grant contract</w:t>
      </w:r>
    </w:p>
    <w:p w14:paraId="6EB703FF"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Interim payment, after approval of the corresponding financial and narrative reports, accompanied by Expenditure Verification Reports (EVR)</w:t>
      </w:r>
    </w:p>
    <w:p w14:paraId="7E214C1D" w14:textId="77777777" w:rsidR="00B42858" w:rsidRPr="00B42858" w:rsidRDefault="00B42858" w:rsidP="008A7153">
      <w:pPr>
        <w:spacing w:after="16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A balance payment, after approval of the final report, also accompanied by Expenditure Verification Reports (EVR)</w:t>
      </w:r>
    </w:p>
    <w:p w14:paraId="5E71E5C0"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procedures shall have the following steps:</w:t>
      </w:r>
    </w:p>
    <w:p w14:paraId="5287E245"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lastRenderedPageBreak/>
        <w:t>INITIAL PAYMENT:</w:t>
      </w:r>
    </w:p>
    <w:p w14:paraId="42006402"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Calibri" w:cs="Arial"/>
          <w:noProof/>
          <w:sz w:val="22"/>
          <w:szCs w:val="22"/>
          <w:lang w:val="en-GB" w:eastAsia="en-GB"/>
        </w:rPr>
        <w:drawing>
          <wp:inline distT="0" distB="0" distL="0" distR="0" wp14:anchorId="783B4BD2" wp14:editId="15D8A450">
            <wp:extent cx="2590800" cy="1303020"/>
            <wp:effectExtent l="0" t="0" r="0" b="0"/>
            <wp:docPr id="26" name="Imat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90800" cy="1303020"/>
                    </a:xfrm>
                    <a:prstGeom prst="rect">
                      <a:avLst/>
                    </a:prstGeom>
                    <a:noFill/>
                    <a:ln>
                      <a:noFill/>
                    </a:ln>
                  </pic:spPr>
                </pic:pic>
              </a:graphicData>
            </a:graphic>
          </wp:inline>
        </w:drawing>
      </w:r>
    </w:p>
    <w:p w14:paraId="24096CA2"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INTERIM&amp;BALANCE PAYMENTS:</w:t>
      </w:r>
    </w:p>
    <w:p w14:paraId="18993668"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Calibri" w:cs="Arial"/>
          <w:noProof/>
          <w:sz w:val="22"/>
          <w:szCs w:val="22"/>
          <w:lang w:val="en-GB" w:eastAsia="en-GB"/>
        </w:rPr>
        <w:drawing>
          <wp:inline distT="0" distB="0" distL="0" distR="0" wp14:anchorId="33244FA1" wp14:editId="130FA0AB">
            <wp:extent cx="6118860" cy="1524000"/>
            <wp:effectExtent l="0" t="0" r="0" b="0"/>
            <wp:docPr id="29"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8860" cy="1524000"/>
                    </a:xfrm>
                    <a:prstGeom prst="rect">
                      <a:avLst/>
                    </a:prstGeom>
                    <a:noFill/>
                    <a:ln>
                      <a:noFill/>
                    </a:ln>
                  </pic:spPr>
                </pic:pic>
              </a:graphicData>
            </a:graphic>
          </wp:inline>
        </w:drawing>
      </w:r>
    </w:p>
    <w:p w14:paraId="48C8E60F" w14:textId="77777777" w:rsidR="00B42858" w:rsidRPr="00B42858" w:rsidRDefault="00B42858" w:rsidP="00B42858">
      <w:pPr>
        <w:spacing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Recovery of unduly spent amounts </w:t>
      </w:r>
    </w:p>
    <w:p w14:paraId="5E2EA2B7" w14:textId="77777777" w:rsidR="00B42858" w:rsidRPr="00B42858" w:rsidRDefault="00B42858" w:rsidP="00B42858">
      <w:pPr>
        <w:spacing w:after="160" w:line="259" w:lineRule="auto"/>
        <w:jc w:val="both"/>
        <w:rPr>
          <w:rFonts w:eastAsia="Calibri" w:cs="Arial"/>
          <w:sz w:val="22"/>
          <w:szCs w:val="22"/>
          <w:lang w:val="ca-ES" w:eastAsia="en-US"/>
        </w:rPr>
      </w:pPr>
      <w:r w:rsidRPr="00B42858">
        <w:rPr>
          <w:rFonts w:eastAsia="Times New Roman" w:cs="ArialMT"/>
          <w:bCs/>
          <w:sz w:val="22"/>
          <w:szCs w:val="22"/>
          <w:lang w:val="en-GB"/>
        </w:rPr>
        <w:t>The Managing Authority shall in the first instance be responsible for making the financial corrections required and pursuing recoveries in connection with individual or systemic irregularities detected in projects, technical assistance or in the programme.</w:t>
      </w:r>
      <w:r w:rsidRPr="00B42858">
        <w:rPr>
          <w:rFonts w:eastAsia="Calibri" w:cs="Arial"/>
          <w:sz w:val="22"/>
          <w:szCs w:val="22"/>
          <w:lang w:val="ca-ES" w:eastAsia="en-US"/>
        </w:rPr>
        <w:t xml:space="preserve"> </w:t>
      </w:r>
    </w:p>
    <w:p w14:paraId="3E253B72" w14:textId="7777777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financial corrections may lead to:</w:t>
      </w:r>
    </w:p>
    <w:p w14:paraId="35664CA5"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Reducing the amount of EU contribution reimbursed to programme bodies receiving technical assistance funds;</w:t>
      </w:r>
    </w:p>
    <w:p w14:paraId="309733AE"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 xml:space="preserve">Off-setting the cancelled amount against a future payment of EU contribution to the project </w:t>
      </w:r>
      <w:proofErr w:type="gramStart"/>
      <w:r w:rsidRPr="00B42858">
        <w:rPr>
          <w:rFonts w:eastAsia="Times New Roman" w:cs="ArialMT"/>
          <w:bCs/>
          <w:sz w:val="22"/>
          <w:szCs w:val="22"/>
          <w:lang w:val="en-GB"/>
        </w:rPr>
        <w:t>beneficiary(</w:t>
      </w:r>
      <w:proofErr w:type="spellStart"/>
      <w:proofErr w:type="gramEnd"/>
      <w:r w:rsidRPr="00B42858">
        <w:rPr>
          <w:rFonts w:eastAsia="Times New Roman" w:cs="ArialMT"/>
          <w:bCs/>
          <w:sz w:val="22"/>
          <w:szCs w:val="22"/>
          <w:lang w:val="en-GB"/>
        </w:rPr>
        <w:t>ies</w:t>
      </w:r>
      <w:proofErr w:type="spellEnd"/>
      <w:r w:rsidRPr="00B42858">
        <w:rPr>
          <w:rFonts w:eastAsia="Times New Roman" w:cs="ArialMT"/>
          <w:bCs/>
          <w:sz w:val="22"/>
          <w:szCs w:val="22"/>
          <w:lang w:val="en-GB"/>
        </w:rPr>
        <w:t>) or the programme bodies receiving technical assistance funds;</w:t>
      </w:r>
    </w:p>
    <w:p w14:paraId="33A6569B" w14:textId="77777777" w:rsidR="00B42858" w:rsidRPr="00B42858" w:rsidRDefault="00B42858" w:rsidP="00B42858">
      <w:pPr>
        <w:spacing w:after="16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Pr="00B42858">
        <w:rPr>
          <w:rFonts w:eastAsia="Times New Roman" w:cs="ArialMT"/>
          <w:bCs/>
          <w:sz w:val="22"/>
          <w:szCs w:val="22"/>
          <w:lang w:val="en-GB"/>
        </w:rPr>
        <w:tab/>
        <w:t xml:space="preserve">Issuing a recovery order claiming the project </w:t>
      </w:r>
      <w:proofErr w:type="gramStart"/>
      <w:r w:rsidRPr="00B42858">
        <w:rPr>
          <w:rFonts w:eastAsia="Times New Roman" w:cs="ArialMT"/>
          <w:bCs/>
          <w:sz w:val="22"/>
          <w:szCs w:val="22"/>
          <w:lang w:val="en-GB"/>
        </w:rPr>
        <w:t>beneficiary(</w:t>
      </w:r>
      <w:proofErr w:type="spellStart"/>
      <w:proofErr w:type="gramEnd"/>
      <w:r w:rsidRPr="00B42858">
        <w:rPr>
          <w:rFonts w:eastAsia="Times New Roman" w:cs="ArialMT"/>
          <w:bCs/>
          <w:sz w:val="22"/>
          <w:szCs w:val="22"/>
          <w:lang w:val="en-GB"/>
        </w:rPr>
        <w:t>ies</w:t>
      </w:r>
      <w:proofErr w:type="spellEnd"/>
      <w:r w:rsidRPr="00B42858">
        <w:rPr>
          <w:rFonts w:eastAsia="Times New Roman" w:cs="ArialMT"/>
          <w:bCs/>
          <w:sz w:val="22"/>
          <w:szCs w:val="22"/>
          <w:lang w:val="en-GB"/>
        </w:rPr>
        <w:t>) or the programme bodies the payment of the amount unduly received of EU contribution.</w:t>
      </w:r>
    </w:p>
    <w:p w14:paraId="0F553B39" w14:textId="0D9C92B7" w:rsidR="00B42858" w:rsidRPr="00B42858" w:rsidRDefault="00B42858" w:rsidP="00B42858">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 xml:space="preserve">The steps to be followed </w:t>
      </w:r>
      <w:r w:rsidR="00ED5E2E">
        <w:rPr>
          <w:rFonts w:eastAsia="Times New Roman" w:cs="ArialMT"/>
          <w:bCs/>
          <w:sz w:val="22"/>
          <w:szCs w:val="22"/>
          <w:lang w:val="en-GB"/>
        </w:rPr>
        <w:t>when issuing the r</w:t>
      </w:r>
      <w:r w:rsidR="00ED5E2E" w:rsidRPr="00B42858">
        <w:rPr>
          <w:rFonts w:eastAsia="Times New Roman" w:cs="ArialMT"/>
          <w:bCs/>
          <w:sz w:val="22"/>
          <w:szCs w:val="22"/>
          <w:lang w:val="en-GB"/>
        </w:rPr>
        <w:t xml:space="preserve">ecovery orders </w:t>
      </w:r>
      <w:r w:rsidRPr="00B42858">
        <w:rPr>
          <w:rFonts w:eastAsia="Times New Roman" w:cs="ArialMT"/>
          <w:bCs/>
          <w:sz w:val="22"/>
          <w:szCs w:val="22"/>
          <w:lang w:val="en-GB"/>
        </w:rPr>
        <w:t>shall be:</w:t>
      </w:r>
    </w:p>
    <w:p w14:paraId="53CDB50D"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1.</w:t>
      </w:r>
      <w:r w:rsidRPr="00B42858">
        <w:rPr>
          <w:rFonts w:eastAsia="Times New Roman" w:cs="ArialMT"/>
          <w:bCs/>
          <w:sz w:val="22"/>
          <w:szCs w:val="22"/>
          <w:lang w:val="en-GB"/>
        </w:rPr>
        <w:tab/>
        <w:t xml:space="preserve">Issue of the recovery order by the Authorizing Officer of the MA, registration of debt in the accounting system and delivery of recovery order to project Lead Beneficiary </w:t>
      </w:r>
    </w:p>
    <w:p w14:paraId="15A7882B"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2.</w:t>
      </w:r>
      <w:r w:rsidRPr="00B42858">
        <w:rPr>
          <w:rFonts w:eastAsia="Times New Roman" w:cs="ArialMT"/>
          <w:bCs/>
          <w:sz w:val="22"/>
          <w:szCs w:val="22"/>
          <w:lang w:val="en-GB"/>
        </w:rPr>
        <w:tab/>
        <w:t>Reception of the payment from the Lead Beneficiary in the stipulated deadline (and insertion into the accounting) or decision to consider the recovery as contentious</w:t>
      </w:r>
    </w:p>
    <w:p w14:paraId="571FA84B"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3.</w:t>
      </w:r>
      <w:r w:rsidRPr="00B42858">
        <w:rPr>
          <w:rFonts w:eastAsia="Times New Roman" w:cs="ArialMT"/>
          <w:bCs/>
          <w:sz w:val="22"/>
          <w:szCs w:val="22"/>
          <w:lang w:val="en-GB"/>
        </w:rPr>
        <w:tab/>
        <w:t>Communication to beneficiary, if the recovery is not concerning the Lead Beneficiary and it was not possible for him to recover the amount</w:t>
      </w:r>
    </w:p>
    <w:p w14:paraId="74883ACE"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4.</w:t>
      </w:r>
      <w:r w:rsidRPr="00B42858">
        <w:rPr>
          <w:rFonts w:eastAsia="Times New Roman" w:cs="ArialMT"/>
          <w:bCs/>
          <w:sz w:val="22"/>
          <w:szCs w:val="22"/>
          <w:lang w:val="en-GB"/>
        </w:rPr>
        <w:tab/>
        <w:t>If the amount due is not received, initiation of a waiver procedure or decision to activate the mechanisms in either article 74.4 of ENI-CBC Implementing Rules (for EU Member States) or in article 74.5 (for Turkey and Partner Countries), i.e. issue of the recovery order by the Authorizing Officer of the MA and delivery of recovery order to the National Authority.</w:t>
      </w:r>
    </w:p>
    <w:p w14:paraId="2944F0D1" w14:textId="77777777" w:rsidR="00B42858" w:rsidRPr="00B42858" w:rsidRDefault="00B42858" w:rsidP="00B42858">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5.</w:t>
      </w:r>
      <w:r w:rsidRPr="00B42858">
        <w:rPr>
          <w:rFonts w:eastAsia="Times New Roman" w:cs="ArialMT"/>
          <w:bCs/>
          <w:sz w:val="22"/>
          <w:szCs w:val="22"/>
          <w:lang w:val="en-GB"/>
        </w:rPr>
        <w:tab/>
        <w:t xml:space="preserve">Reception of the payment (and insertion into the accounting) </w:t>
      </w:r>
    </w:p>
    <w:p w14:paraId="54D73EB1" w14:textId="566232DD" w:rsidR="00B42858" w:rsidRPr="00B42858" w:rsidRDefault="00B42858" w:rsidP="00B42858">
      <w:pPr>
        <w:spacing w:after="16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6.</w:t>
      </w:r>
      <w:r w:rsidRPr="00B42858">
        <w:rPr>
          <w:rFonts w:eastAsia="Times New Roman" w:cs="ArialMT"/>
          <w:bCs/>
          <w:sz w:val="22"/>
          <w:szCs w:val="22"/>
          <w:lang w:val="en-GB"/>
        </w:rPr>
        <w:tab/>
        <w:t>Information to EC or submitting of the recovery file to EC</w:t>
      </w:r>
      <w:r w:rsidR="00F53582" w:rsidRPr="001E5BE2">
        <w:rPr>
          <w:lang w:val="en-GB"/>
        </w:rPr>
        <w:t xml:space="preserve"> </w:t>
      </w:r>
      <w:r w:rsidR="00F53582" w:rsidRPr="00F53582">
        <w:rPr>
          <w:rFonts w:eastAsia="Times New Roman" w:cs="ArialMT"/>
          <w:bCs/>
          <w:sz w:val="22"/>
          <w:szCs w:val="22"/>
          <w:lang w:val="en-GB"/>
        </w:rPr>
        <w:t>in accordance with the provisions of Article 75 of Regulation (EU) No.897/2014.</w:t>
      </w:r>
    </w:p>
    <w:p w14:paraId="608CF20D" w14:textId="77777777" w:rsidR="00B42858" w:rsidRPr="00B42858" w:rsidRDefault="00B42858" w:rsidP="00B42858">
      <w:pPr>
        <w:spacing w:after="16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lastRenderedPageBreak/>
        <w:t>In case of waiver of debts, the steps to be followed shall be:</w:t>
      </w:r>
    </w:p>
    <w:p w14:paraId="1A2ED031" w14:textId="77777777" w:rsidR="00B42858" w:rsidRPr="00B42858" w:rsidRDefault="00B42858" w:rsidP="008A7153">
      <w:pPr>
        <w:spacing w:after="160" w:line="259" w:lineRule="auto"/>
        <w:ind w:left="426" w:hanging="284"/>
        <w:jc w:val="center"/>
        <w:rPr>
          <w:rFonts w:eastAsia="Times New Roman" w:cs="ArialMT"/>
          <w:bCs/>
          <w:sz w:val="22"/>
          <w:szCs w:val="22"/>
          <w:lang w:val="en-GB"/>
        </w:rPr>
      </w:pPr>
      <w:r w:rsidRPr="00B42858">
        <w:rPr>
          <w:rFonts w:eastAsia="Calibri" w:cs="Arial"/>
          <w:noProof/>
          <w:sz w:val="22"/>
          <w:szCs w:val="22"/>
          <w:lang w:val="en-GB" w:eastAsia="en-GB"/>
        </w:rPr>
        <w:drawing>
          <wp:inline distT="0" distB="0" distL="0" distR="0" wp14:anchorId="5993770B" wp14:editId="094AC04F">
            <wp:extent cx="6119495" cy="1053465"/>
            <wp:effectExtent l="0" t="0" r="0" b="0"/>
            <wp:docPr id="30" name="Imat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19495" cy="1053465"/>
                    </a:xfrm>
                    <a:prstGeom prst="rect">
                      <a:avLst/>
                    </a:prstGeom>
                  </pic:spPr>
                </pic:pic>
              </a:graphicData>
            </a:graphic>
          </wp:inline>
        </w:drawing>
      </w:r>
    </w:p>
    <w:p w14:paraId="10F597C2" w14:textId="77777777" w:rsidR="00B42858" w:rsidRPr="00B42858" w:rsidRDefault="00B42858" w:rsidP="008A7153">
      <w:pPr>
        <w:spacing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Procedures for drawing up the programme accounts </w:t>
      </w:r>
    </w:p>
    <w:p w14:paraId="38CBAA8B"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The accounts of the programme shall be drawn up by the Managing Authority. These accounts shall be independent and separate and shall include only transactions relating to the programme. They shall be kept in such a way as to enable analytical monitoring of the programme by thematic objective and priority, as well as technical assistance.</w:t>
      </w:r>
    </w:p>
    <w:p w14:paraId="785A71C1" w14:textId="07C81CE9"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The accounting activity ensures chronological and systematic recording, processing, publishing and maintaining information related to the Programme accounts for both internal and external reporting.</w:t>
      </w:r>
    </w:p>
    <w:p w14:paraId="40CB0275"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A system of double entry accounting is used. It provides the following:</w:t>
      </w:r>
    </w:p>
    <w:p w14:paraId="472A1A65" w14:textId="77777777" w:rsidR="00B42858" w:rsidRPr="00B42858" w:rsidRDefault="00B42858" w:rsidP="008A7153">
      <w:pPr>
        <w:spacing w:after="0" w:line="259" w:lineRule="auto"/>
        <w:ind w:left="142"/>
        <w:jc w:val="both"/>
        <w:rPr>
          <w:rFonts w:eastAsia="Times New Roman" w:cs="ArialMT"/>
          <w:bCs/>
          <w:sz w:val="22"/>
          <w:szCs w:val="22"/>
          <w:lang w:val="en-GB"/>
        </w:rPr>
      </w:pPr>
      <w:r w:rsidRPr="00B42858">
        <w:rPr>
          <w:rFonts w:eastAsia="Times New Roman" w:cs="ArialMT"/>
          <w:bCs/>
          <w:sz w:val="22"/>
          <w:szCs w:val="22"/>
          <w:lang w:val="en-GB"/>
        </w:rPr>
        <w:t>- Chronological and systematic registration, processing and storage of information that can be verified for all accounting transactions;</w:t>
      </w:r>
    </w:p>
    <w:p w14:paraId="35437101"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w:t>
      </w:r>
      <w:r w:rsidR="003453C1">
        <w:rPr>
          <w:rFonts w:eastAsia="Times New Roman" w:cs="ArialMT"/>
          <w:bCs/>
          <w:sz w:val="22"/>
          <w:szCs w:val="22"/>
          <w:lang w:val="en-GB"/>
        </w:rPr>
        <w:t xml:space="preserve"> </w:t>
      </w:r>
      <w:r w:rsidRPr="00B42858">
        <w:rPr>
          <w:rFonts w:eastAsia="Times New Roman" w:cs="ArialMT"/>
          <w:bCs/>
          <w:sz w:val="22"/>
          <w:szCs w:val="22"/>
          <w:lang w:val="en-GB"/>
        </w:rPr>
        <w:t>Control of the operations and of the processing procedures used and the accuracy of the accounting data supplied;</w:t>
      </w:r>
    </w:p>
    <w:p w14:paraId="775304CF" w14:textId="1420FC5E"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 Exact and accurate vision of the financial operations regarding the use of ENI funds;</w:t>
      </w:r>
    </w:p>
    <w:p w14:paraId="46EC640C"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 Keeping   the accounting in LEI and / or EUR;</w:t>
      </w:r>
    </w:p>
    <w:p w14:paraId="75C6FB18"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 Accounting related to commitments.</w:t>
      </w:r>
    </w:p>
    <w:p w14:paraId="6D9BC6A5"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Preparing accounting records and financial statements occurs with different frequency: some documents are prepared daily, while others are prepared monthly, quarterly or annually.</w:t>
      </w:r>
    </w:p>
    <w:p w14:paraId="0C209CC2" w14:textId="77777777" w:rsidR="00B42858" w:rsidRPr="00917195" w:rsidRDefault="00B42858" w:rsidP="008A7153">
      <w:pPr>
        <w:spacing w:after="160" w:line="259" w:lineRule="auto"/>
        <w:jc w:val="both"/>
        <w:rPr>
          <w:rFonts w:eastAsia="Times New Roman" w:cs="ArialMT"/>
          <w:i/>
          <w:sz w:val="22"/>
          <w:szCs w:val="22"/>
          <w:lang w:val="en-GB"/>
        </w:rPr>
      </w:pPr>
      <w:r w:rsidRPr="00917195">
        <w:rPr>
          <w:rFonts w:eastAsia="Times New Roman" w:cs="ArialMT"/>
          <w:i/>
          <w:sz w:val="22"/>
          <w:szCs w:val="22"/>
          <w:lang w:val="en-GB"/>
        </w:rPr>
        <w:t>Daily:</w:t>
      </w:r>
    </w:p>
    <w:p w14:paraId="5A2A78D8"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 xml:space="preserve">-Accounting notes </w:t>
      </w:r>
    </w:p>
    <w:p w14:paraId="2A6AE36B" w14:textId="77777777" w:rsidR="00B42858" w:rsidRPr="00917195" w:rsidRDefault="00B42858" w:rsidP="008A7153">
      <w:pPr>
        <w:spacing w:after="160" w:line="259" w:lineRule="auto"/>
        <w:jc w:val="both"/>
        <w:rPr>
          <w:rFonts w:eastAsia="Times New Roman" w:cs="ArialMT"/>
          <w:i/>
          <w:sz w:val="22"/>
          <w:szCs w:val="22"/>
          <w:lang w:val="en-GB"/>
        </w:rPr>
      </w:pPr>
      <w:r w:rsidRPr="00917195">
        <w:rPr>
          <w:rFonts w:eastAsia="Times New Roman" w:cs="ArialMT"/>
          <w:i/>
          <w:sz w:val="22"/>
          <w:szCs w:val="22"/>
          <w:lang w:val="en-GB"/>
        </w:rPr>
        <w:t>Monthly:</w:t>
      </w:r>
    </w:p>
    <w:p w14:paraId="61A33764"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-Synthetic trial balance for all priorities;</w:t>
      </w:r>
    </w:p>
    <w:p w14:paraId="4D90E805"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-Cumulative balance for the entire program;</w:t>
      </w:r>
    </w:p>
    <w:p w14:paraId="4B21E8D9"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 xml:space="preserve"> -Separate content sheet for each priority;</w:t>
      </w:r>
    </w:p>
    <w:p w14:paraId="6EEEAF49"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-Accounting journal which registers all transactions;</w:t>
      </w:r>
    </w:p>
    <w:p w14:paraId="55C77748" w14:textId="77777777" w:rsidR="00B42858" w:rsidRPr="00B42858" w:rsidRDefault="00B42858" w:rsidP="008A7153">
      <w:pPr>
        <w:spacing w:after="0" w:line="259" w:lineRule="auto"/>
        <w:ind w:left="426" w:hanging="284"/>
        <w:jc w:val="both"/>
        <w:rPr>
          <w:rFonts w:eastAsia="Times New Roman" w:cs="ArialMT"/>
          <w:bCs/>
          <w:sz w:val="22"/>
          <w:szCs w:val="22"/>
          <w:lang w:val="en-GB"/>
        </w:rPr>
      </w:pPr>
      <w:r w:rsidRPr="00B42858">
        <w:rPr>
          <w:rFonts w:eastAsia="Times New Roman" w:cs="ArialMT"/>
          <w:bCs/>
          <w:sz w:val="22"/>
          <w:szCs w:val="22"/>
          <w:lang w:val="en-GB"/>
        </w:rPr>
        <w:t>-General Ledger</w:t>
      </w:r>
    </w:p>
    <w:p w14:paraId="6037F76C" w14:textId="77777777" w:rsidR="00B42858" w:rsidRPr="00917195" w:rsidRDefault="00B42858" w:rsidP="008A7153">
      <w:pPr>
        <w:spacing w:before="120" w:after="160" w:line="259" w:lineRule="auto"/>
        <w:jc w:val="both"/>
        <w:rPr>
          <w:rFonts w:eastAsia="Calibri" w:cs="Arial"/>
          <w:i/>
          <w:sz w:val="22"/>
          <w:szCs w:val="22"/>
          <w:lang w:val="en-GB"/>
        </w:rPr>
      </w:pPr>
      <w:r w:rsidRPr="00917195">
        <w:rPr>
          <w:rFonts w:eastAsia="Calibri" w:cs="Arial"/>
          <w:i/>
          <w:sz w:val="22"/>
          <w:szCs w:val="22"/>
          <w:lang w:val="en-GB"/>
        </w:rPr>
        <w:t>Quarterly and annually:</w:t>
      </w:r>
    </w:p>
    <w:p w14:paraId="5E1BC426" w14:textId="77777777" w:rsidR="00B42858" w:rsidRPr="00B42858" w:rsidRDefault="00B42858" w:rsidP="008A7153">
      <w:pPr>
        <w:spacing w:after="160" w:line="259" w:lineRule="auto"/>
        <w:jc w:val="both"/>
        <w:rPr>
          <w:rFonts w:eastAsia="Calibri" w:cs="Arial"/>
          <w:sz w:val="22"/>
          <w:szCs w:val="22"/>
          <w:lang w:val="en-GB"/>
        </w:rPr>
      </w:pPr>
      <w:r w:rsidRPr="00B42858">
        <w:rPr>
          <w:rFonts w:eastAsia="Calibri" w:cs="Arial"/>
          <w:sz w:val="22"/>
          <w:szCs w:val="22"/>
          <w:lang w:val="en-GB"/>
        </w:rPr>
        <w:t>-Balance Sheet and annexes</w:t>
      </w:r>
    </w:p>
    <w:p w14:paraId="6A40BE71"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 xml:space="preserve">Analytical accounts will be established by adding letters or numbers after the synthetic account number, in order to monitor the priorities, thematic objectives, projects and beneficiaries. </w:t>
      </w:r>
    </w:p>
    <w:p w14:paraId="50D6F0AF"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Monitoring procedures </w:t>
      </w:r>
    </w:p>
    <w:p w14:paraId="60DC382C"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 xml:space="preserve">Monitoring activities shall be carried out at project level, both internally (by the project partners) and externally (by the programme bodies). The aim of the project-level monitoring activities shall be to track </w:t>
      </w:r>
      <w:r w:rsidRPr="00B42858">
        <w:rPr>
          <w:rFonts w:eastAsia="Times New Roman" w:cs="ArialMT"/>
          <w:sz w:val="22"/>
          <w:szCs w:val="22"/>
          <w:lang w:val="en-GB"/>
        </w:rPr>
        <w:lastRenderedPageBreak/>
        <w:t xml:space="preserve">progress in project implementation, to take remedial action where necessary as soon as possible, as well as to update action plans. </w:t>
      </w:r>
    </w:p>
    <w:p w14:paraId="7B63DE93"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Project monitoring is the on-going process of systematic collection of information about the conduct and results of certain activities, analysis and use of information through the documents and / or by site visits, in order to obtain the overview about the progress of a project.</w:t>
      </w:r>
    </w:p>
    <w:p w14:paraId="415EB180"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The monitoring procedure is the managerial instrument through which the technical and financial progress made in implementing projects at various levels is followed, including comparing their results with proposed targets to meet specific objectives.</w:t>
      </w:r>
    </w:p>
    <w:p w14:paraId="68CC5E54" w14:textId="77777777" w:rsidR="00B42858" w:rsidRPr="00B42858" w:rsidRDefault="00B42858" w:rsidP="008A7153">
      <w:pPr>
        <w:spacing w:after="160" w:line="259" w:lineRule="auto"/>
        <w:jc w:val="both"/>
        <w:rPr>
          <w:rFonts w:eastAsia="Times New Roman" w:cs="ArialMT"/>
          <w:sz w:val="22"/>
          <w:szCs w:val="22"/>
          <w:lang w:val="en-GB"/>
        </w:rPr>
      </w:pPr>
      <w:r w:rsidRPr="00B42858">
        <w:rPr>
          <w:rFonts w:eastAsia="Times New Roman" w:cs="ArialMT"/>
          <w:sz w:val="22"/>
          <w:szCs w:val="22"/>
          <w:lang w:val="en-GB"/>
        </w:rPr>
        <w:t>The monitoring procedures provide an operational framework for carrying out the monitoring of projects by the MA/JTS, by determining the way of work, deadlines for these activities and responsibilities of personnel involved;</w:t>
      </w:r>
    </w:p>
    <w:p w14:paraId="034BACC3"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Use of electronic data systems </w:t>
      </w:r>
    </w:p>
    <w:p w14:paraId="092F6C11" w14:textId="12C5513D" w:rsidR="00B42858" w:rsidRPr="00B42858" w:rsidRDefault="00B42858" w:rsidP="008A7153">
      <w:pPr>
        <w:spacing w:after="160" w:line="259" w:lineRule="auto"/>
        <w:jc w:val="both"/>
        <w:rPr>
          <w:rFonts w:eastAsia="Calibri" w:cs="Arial"/>
          <w:sz w:val="22"/>
          <w:szCs w:val="22"/>
          <w:lang w:val="en-GB"/>
        </w:rPr>
      </w:pPr>
      <w:r w:rsidRPr="00B42858">
        <w:rPr>
          <w:rFonts w:eastAsia="Times New Roman" w:cs="ArialMT"/>
          <w:bCs/>
          <w:sz w:val="22"/>
          <w:szCs w:val="22"/>
          <w:lang w:val="en-GB"/>
        </w:rPr>
        <w:t xml:space="preserve">The software (IT system) to be developed by the Managing Authority shall, to the extent possible, include features for </w:t>
      </w:r>
      <w:r w:rsidRPr="00B42858">
        <w:rPr>
          <w:rFonts w:eastAsia="Calibri" w:cs="Arial"/>
          <w:sz w:val="22"/>
          <w:szCs w:val="22"/>
          <w:lang w:val="en-GB"/>
        </w:rPr>
        <w:t>collecting, recording and storing electronically data on each project, for monitoring, evaluation, financial management, control and audit and communication purposes.</w:t>
      </w:r>
    </w:p>
    <w:p w14:paraId="7B5176A1"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software will be a management system covering the whole programme cycle and allowing:</w:t>
      </w:r>
    </w:p>
    <w:p w14:paraId="7F4106FF"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management of procedures, including the programme work flow and audit trail</w:t>
      </w:r>
    </w:p>
    <w:p w14:paraId="7CB653C1"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monitoring information for all programme bodies, including dashboards and alerts</w:t>
      </w:r>
    </w:p>
    <w:p w14:paraId="79B7FB56"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reporting</w:t>
      </w:r>
    </w:p>
    <w:p w14:paraId="2232058F" w14:textId="77777777" w:rsidR="00B42858" w:rsidRPr="00B42858" w:rsidRDefault="00B42858" w:rsidP="008A7153">
      <w:pPr>
        <w:spacing w:before="48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Procedure for the risk management </w:t>
      </w:r>
    </w:p>
    <w:p w14:paraId="740C0767"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In order to monitor the external and internal environment of the Programme as to identify whether or not the assumptions that have already been made within the JOP are likely to hold true, as well as new risks that may be emerging, a system of risk management will be implemented. This will include an appropriate procedure for risk identification and actions to be taken in order to manage or mitigate the risks.</w:t>
      </w:r>
    </w:p>
    <w:p w14:paraId="0C84ED10"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 xml:space="preserve">The risk management procedure describes, taking into account the principle of proportionality, the system put in place for ensuring that an appropriate risk management exercise is conducted at least once per year, and, in particular, in the event of major modifications of the activities. </w:t>
      </w:r>
    </w:p>
    <w:p w14:paraId="62872EFD"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It describes the work flow needed for conducting the risk management exercise and the bodies, departments and personnel involved and the documents to be prepared.</w:t>
      </w:r>
    </w:p>
    <w:p w14:paraId="7722983E"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Risk management is a continuous and cyclical process that includes the following steps:</w:t>
      </w:r>
    </w:p>
    <w:p w14:paraId="053777CA"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Risk identification and evaluation</w:t>
      </w:r>
    </w:p>
    <w:p w14:paraId="3BFB3E33"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Planning of activities for risk mitigation</w:t>
      </w:r>
    </w:p>
    <w:p w14:paraId="308DFEBF"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Implementing of activities for risk mitigation</w:t>
      </w:r>
    </w:p>
    <w:p w14:paraId="5272C585"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Revision of the risk mitigation activities and risk reporting</w:t>
      </w:r>
      <w:r w:rsidRPr="00B42858" w:rsidDel="009264B5">
        <w:rPr>
          <w:rFonts w:eastAsia="Times New Roman" w:cs="ArialMT"/>
          <w:bCs/>
          <w:sz w:val="22"/>
          <w:szCs w:val="22"/>
          <w:lang w:val="en-GB"/>
        </w:rPr>
        <w:t xml:space="preserve"> </w:t>
      </w:r>
    </w:p>
    <w:p w14:paraId="18105AE2" w14:textId="77777777" w:rsidR="00B42858" w:rsidRPr="00B42858" w:rsidRDefault="00B42858" w:rsidP="008A7153">
      <w:pPr>
        <w:spacing w:before="48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Archiving procedure by programme bodies </w:t>
      </w:r>
    </w:p>
    <w:p w14:paraId="467B423B"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 xml:space="preserve">The documents issued by any department of the Black Sea Basin MA are the property of the Romanian Ministry of Regional Development and Public Administration. They are kept for a period of 5 years after the </w:t>
      </w:r>
      <w:r w:rsidRPr="00B42858">
        <w:rPr>
          <w:rFonts w:eastAsia="Times New Roman" w:cs="ArialMT"/>
          <w:bCs/>
          <w:sz w:val="22"/>
          <w:szCs w:val="22"/>
          <w:lang w:val="en-GB"/>
        </w:rPr>
        <w:lastRenderedPageBreak/>
        <w:t>official closure of the Joint Operational Programme "Black Sea Basin 2014-2020 in accordance with the requirements of European regulations and in accordance with the Romanian legislation on keeping the documents to their creators and holders.</w:t>
      </w:r>
    </w:p>
    <w:p w14:paraId="01A898C5"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Procedure for the verification of JTS capacities to carry out delegated tasks </w:t>
      </w:r>
    </w:p>
    <w:p w14:paraId="3BF96E0C"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JMA will delegate to the JTS several tasks related to the daily management of the programme by means of an implementing agreement signed with the legal entity hosting the JTS. The verification performed by the JMA in order to assess and monitor the capacity of the JTS to carry out the delegated task will consist of continuous verification of the delegated tasks based on the documents submitted by JTS according to the procedures of the JMA and JTS as well as periodical/ad-hoc on the spot verifications.</w:t>
      </w:r>
    </w:p>
    <w:p w14:paraId="6AFF89D7" w14:textId="77777777" w:rsidR="00B42858" w:rsidRPr="00B42858" w:rsidRDefault="00B42858" w:rsidP="008A7153">
      <w:pPr>
        <w:spacing w:before="240" w:after="160" w:line="259" w:lineRule="auto"/>
        <w:jc w:val="both"/>
        <w:rPr>
          <w:rFonts w:eastAsia="Times New Roman" w:cs="ArialMT"/>
          <w:sz w:val="22"/>
          <w:szCs w:val="22"/>
          <w:lang w:val="en-GB"/>
        </w:rPr>
      </w:pPr>
      <w:r w:rsidRPr="00B42858">
        <w:rPr>
          <w:rFonts w:eastAsia="Times New Roman" w:cs="ArialMT"/>
          <w:sz w:val="22"/>
          <w:szCs w:val="22"/>
          <w:lang w:val="en-GB"/>
        </w:rPr>
        <w:t>The verification of the delegated tasks will mainly focus on the following aspects:</w:t>
      </w:r>
    </w:p>
    <w:p w14:paraId="6857ED59"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 xml:space="preserve">the institutional conformity and capacity </w:t>
      </w:r>
    </w:p>
    <w:p w14:paraId="10394D12"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 xml:space="preserve">the correct use of procedures of the JTS </w:t>
      </w:r>
    </w:p>
    <w:p w14:paraId="014E67EF"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the various documents and report drafted by the JTS while performing the delegated activities</w:t>
      </w:r>
    </w:p>
    <w:p w14:paraId="37F5FEBC"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he relevant conditions and operations related to performing the delegated activities according to implementing agreement</w:t>
      </w:r>
    </w:p>
    <w:p w14:paraId="733A5400"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sz w:val="22"/>
          <w:szCs w:val="22"/>
          <w:lang w:val="en-GB"/>
        </w:rPr>
        <w:t>JMA will analyse the results of the verifications in order to establish corrective measures targeted to improve the activity and performance of the JTS</w:t>
      </w:r>
      <w:r w:rsidRPr="00B42858">
        <w:rPr>
          <w:rFonts w:eastAsia="Times New Roman" w:cs="ArialMT"/>
          <w:b/>
          <w:sz w:val="22"/>
          <w:szCs w:val="22"/>
          <w:lang w:val="en-GB"/>
        </w:rPr>
        <w:t>.</w:t>
      </w:r>
    </w:p>
    <w:p w14:paraId="1FB58A46"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Procedures for the management of irregularities </w:t>
      </w:r>
    </w:p>
    <w:p w14:paraId="12866617"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prevention, detection and correction of irregularities and fraud are a joint responsibility of the programme bodies and the participating countries and affect multiple procedures described in DMCS.</w:t>
      </w:r>
    </w:p>
    <w:p w14:paraId="49073ED8"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prevention of irregularities both at programme and project level may be summarised in three types of actions:</w:t>
      </w:r>
    </w:p>
    <w:p w14:paraId="3602D10A"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Information</w:t>
      </w:r>
    </w:p>
    <w:p w14:paraId="251A4E0B"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Capacity building</w:t>
      </w:r>
    </w:p>
    <w:p w14:paraId="7D30B490" w14:textId="77777777" w:rsidR="00B42858" w:rsidRPr="00B42858" w:rsidRDefault="00B42858" w:rsidP="008A7153">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Support</w:t>
      </w:r>
    </w:p>
    <w:p w14:paraId="508BFDD6" w14:textId="77777777" w:rsidR="00B42858" w:rsidRPr="008A7153" w:rsidRDefault="00B42858" w:rsidP="008A7153">
      <w:pPr>
        <w:spacing w:before="360" w:after="160" w:line="259" w:lineRule="auto"/>
        <w:jc w:val="both"/>
        <w:rPr>
          <w:rFonts w:eastAsia="Times New Roman" w:cs="ArialMT"/>
          <w:bCs/>
          <w:sz w:val="22"/>
          <w:szCs w:val="22"/>
          <w:lang w:val="en-GB"/>
        </w:rPr>
      </w:pPr>
      <w:r w:rsidRPr="008A7153">
        <w:rPr>
          <w:rFonts w:eastAsia="Calibri" w:cs="Arial"/>
          <w:sz w:val="22"/>
          <w:szCs w:val="22"/>
          <w:lang w:val="en-US" w:eastAsia="en-US"/>
        </w:rPr>
        <w:t>Managing Authority will ensure a unitary set of rules for ascertainment of the types of irregularities and their corresponding corrections. This set of rules will take into account the nature and the gravity of the irregularities and financial loss, while a proportionate financial correction will be applied</w:t>
      </w:r>
      <w:r w:rsidRPr="008A7153">
        <w:rPr>
          <w:rFonts w:eastAsia="Times New Roman" w:cs="ArialMT"/>
          <w:bCs/>
          <w:sz w:val="22"/>
          <w:szCs w:val="22"/>
          <w:lang w:val="en-GB"/>
        </w:rPr>
        <w:t>.</w:t>
      </w:r>
    </w:p>
    <w:p w14:paraId="2595C898"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 main procedures and actions to be carried out for the detection of irregularities and fraud and its responsible bodies are:</w:t>
      </w:r>
    </w:p>
    <w:tbl>
      <w:tblPr>
        <w:tblStyle w:val="LightShading-Accent3"/>
        <w:tblW w:w="10456" w:type="dxa"/>
        <w:tblLook w:val="04A0" w:firstRow="1" w:lastRow="0" w:firstColumn="1" w:lastColumn="0" w:noHBand="0" w:noVBand="1"/>
      </w:tblPr>
      <w:tblGrid>
        <w:gridCol w:w="6771"/>
        <w:gridCol w:w="3685"/>
      </w:tblGrid>
      <w:tr w:rsidR="00B42858" w:rsidRPr="00B42858" w14:paraId="434BAA25" w14:textId="77777777" w:rsidTr="00C81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7E3D3E7D" w14:textId="77777777" w:rsidR="00B42858" w:rsidRPr="00B42858" w:rsidRDefault="00B42858" w:rsidP="00B42858">
            <w:pPr>
              <w:tabs>
                <w:tab w:val="num" w:pos="426"/>
                <w:tab w:val="num" w:pos="720"/>
              </w:tabs>
              <w:spacing w:line="276" w:lineRule="auto"/>
              <w:jc w:val="center"/>
              <w:rPr>
                <w:rFonts w:eastAsia="Times New Roman" w:cs="ArialMT"/>
                <w:lang w:val="en-GB"/>
              </w:rPr>
            </w:pPr>
            <w:r w:rsidRPr="00B42858">
              <w:rPr>
                <w:rFonts w:eastAsia="Times New Roman" w:cs="ArialMT"/>
                <w:lang w:val="en-GB"/>
              </w:rPr>
              <w:t>Procedure/Action</w:t>
            </w:r>
          </w:p>
        </w:tc>
        <w:tc>
          <w:tcPr>
            <w:tcW w:w="3685" w:type="dxa"/>
          </w:tcPr>
          <w:p w14:paraId="0E93485C" w14:textId="77777777" w:rsidR="00B42858" w:rsidRPr="00B42858" w:rsidRDefault="00B42858" w:rsidP="00B42858">
            <w:pPr>
              <w:tabs>
                <w:tab w:val="num" w:pos="426"/>
                <w:tab w:val="num" w:pos="720"/>
              </w:tabs>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Responsible bodies</w:t>
            </w:r>
          </w:p>
        </w:tc>
      </w:tr>
      <w:tr w:rsidR="00B42858" w:rsidRPr="00B42858" w14:paraId="57EB1249" w14:textId="77777777" w:rsidTr="00C8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48CB142C" w14:textId="77777777" w:rsidR="00B42858" w:rsidRPr="00B42858" w:rsidRDefault="00B42858" w:rsidP="00B42858">
            <w:pPr>
              <w:rPr>
                <w:rFonts w:eastAsia="Times New Roman" w:cs="ArialMT"/>
                <w:lang w:val="en-GB"/>
              </w:rPr>
            </w:pPr>
            <w:r w:rsidRPr="00B42858">
              <w:rPr>
                <w:rFonts w:eastAsia="Times New Roman" w:cs="ArialMT"/>
                <w:lang w:val="en-GB"/>
              </w:rPr>
              <w:t>Expenditure Verification Report (EVR)</w:t>
            </w:r>
          </w:p>
        </w:tc>
        <w:tc>
          <w:tcPr>
            <w:tcW w:w="3685" w:type="dxa"/>
          </w:tcPr>
          <w:p w14:paraId="31D1C7CF"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lang w:val="en-GB"/>
              </w:rPr>
            </w:pPr>
            <w:r w:rsidRPr="00B42858">
              <w:rPr>
                <w:rFonts w:eastAsia="Times New Roman" w:cs="ArialMT"/>
                <w:lang w:val="en-GB"/>
              </w:rPr>
              <w:t>Controllers</w:t>
            </w:r>
          </w:p>
        </w:tc>
      </w:tr>
      <w:tr w:rsidR="00B42858" w:rsidRPr="00B42858" w14:paraId="4F5B8D85" w14:textId="77777777" w:rsidTr="00C81DC6">
        <w:tc>
          <w:tcPr>
            <w:cnfStyle w:val="001000000000" w:firstRow="0" w:lastRow="0" w:firstColumn="1" w:lastColumn="0" w:oddVBand="0" w:evenVBand="0" w:oddHBand="0" w:evenHBand="0" w:firstRowFirstColumn="0" w:firstRowLastColumn="0" w:lastRowFirstColumn="0" w:lastRowLastColumn="0"/>
            <w:tcW w:w="6771" w:type="dxa"/>
          </w:tcPr>
          <w:p w14:paraId="70295C4C" w14:textId="77777777" w:rsidR="00B42858" w:rsidRPr="00B42858" w:rsidRDefault="00B42858" w:rsidP="00B42858">
            <w:pPr>
              <w:rPr>
                <w:rFonts w:eastAsia="Times New Roman" w:cs="ArialMT"/>
                <w:lang w:val="en-GB"/>
              </w:rPr>
            </w:pPr>
            <w:r w:rsidRPr="00B42858">
              <w:rPr>
                <w:rFonts w:eastAsia="Times New Roman" w:cs="ArialMT"/>
                <w:lang w:val="en-GB"/>
              </w:rPr>
              <w:t xml:space="preserve">Verification of supporting documents </w:t>
            </w:r>
          </w:p>
        </w:tc>
        <w:tc>
          <w:tcPr>
            <w:tcW w:w="3685" w:type="dxa"/>
          </w:tcPr>
          <w:p w14:paraId="7DC6D162"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Controllers, JTS, MA &amp; CCP</w:t>
            </w:r>
          </w:p>
        </w:tc>
      </w:tr>
      <w:tr w:rsidR="00B42858" w:rsidRPr="00B42858" w14:paraId="28B8BC27" w14:textId="77777777" w:rsidTr="00C8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0650F6F8" w14:textId="77777777" w:rsidR="00B42858" w:rsidRPr="00B42858" w:rsidRDefault="00B42858" w:rsidP="00B42858">
            <w:pPr>
              <w:rPr>
                <w:rFonts w:eastAsia="Times New Roman" w:cs="ArialMT"/>
                <w:lang w:val="en-GB"/>
              </w:rPr>
            </w:pPr>
            <w:r w:rsidRPr="00B42858">
              <w:rPr>
                <w:rFonts w:eastAsia="Times New Roman" w:cs="ArialMT"/>
                <w:lang w:val="en-GB"/>
              </w:rPr>
              <w:t>On-the-spots checks</w:t>
            </w:r>
          </w:p>
        </w:tc>
        <w:tc>
          <w:tcPr>
            <w:tcW w:w="3685" w:type="dxa"/>
          </w:tcPr>
          <w:p w14:paraId="6B1F3ECA"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lang w:val="en-GB"/>
              </w:rPr>
            </w:pPr>
            <w:r w:rsidRPr="00B42858">
              <w:rPr>
                <w:rFonts w:eastAsia="Times New Roman" w:cs="ArialMT"/>
                <w:lang w:val="en-GB"/>
              </w:rPr>
              <w:t>MA &amp; CCP</w:t>
            </w:r>
          </w:p>
        </w:tc>
      </w:tr>
      <w:tr w:rsidR="00B42858" w:rsidRPr="00B42858" w14:paraId="1C5645A7" w14:textId="77777777" w:rsidTr="00C81DC6">
        <w:tc>
          <w:tcPr>
            <w:cnfStyle w:val="001000000000" w:firstRow="0" w:lastRow="0" w:firstColumn="1" w:lastColumn="0" w:oddVBand="0" w:evenVBand="0" w:oddHBand="0" w:evenHBand="0" w:firstRowFirstColumn="0" w:firstRowLastColumn="0" w:lastRowFirstColumn="0" w:lastRowLastColumn="0"/>
            <w:tcW w:w="6771" w:type="dxa"/>
          </w:tcPr>
          <w:p w14:paraId="5216E5E1" w14:textId="77777777" w:rsidR="00B42858" w:rsidRPr="00B42858" w:rsidRDefault="00B42858" w:rsidP="00B42858">
            <w:pPr>
              <w:rPr>
                <w:rFonts w:eastAsia="Times New Roman" w:cs="ArialMT"/>
                <w:lang w:val="en-GB"/>
              </w:rPr>
            </w:pPr>
            <w:r w:rsidRPr="00B42858">
              <w:rPr>
                <w:rFonts w:eastAsia="Times New Roman" w:cs="ArialMT"/>
                <w:lang w:val="en-GB"/>
              </w:rPr>
              <w:t xml:space="preserve">Progress reports </w:t>
            </w:r>
          </w:p>
        </w:tc>
        <w:tc>
          <w:tcPr>
            <w:tcW w:w="3685" w:type="dxa"/>
          </w:tcPr>
          <w:p w14:paraId="537DCE0A"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JTS &amp; MA</w:t>
            </w:r>
          </w:p>
        </w:tc>
      </w:tr>
      <w:tr w:rsidR="00B42858" w:rsidRPr="00BF52E5" w14:paraId="55EA6CFB" w14:textId="77777777" w:rsidTr="00C8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34BAE059" w14:textId="77777777" w:rsidR="00B42858" w:rsidRPr="00B42858" w:rsidRDefault="00B42858" w:rsidP="00B42858">
            <w:pPr>
              <w:rPr>
                <w:rFonts w:eastAsia="Times New Roman" w:cs="ArialMT"/>
                <w:lang w:val="en-GB"/>
              </w:rPr>
            </w:pPr>
            <w:r w:rsidRPr="00B42858">
              <w:rPr>
                <w:rFonts w:eastAsia="Times New Roman" w:cs="ArialMT"/>
                <w:lang w:val="en-GB"/>
              </w:rPr>
              <w:t>Follow-up &amp; regular monitoring</w:t>
            </w:r>
          </w:p>
        </w:tc>
        <w:tc>
          <w:tcPr>
            <w:tcW w:w="3685" w:type="dxa"/>
          </w:tcPr>
          <w:p w14:paraId="003D9785"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lang w:val="en-GB"/>
              </w:rPr>
            </w:pPr>
            <w:r w:rsidRPr="00B42858">
              <w:rPr>
                <w:rFonts w:eastAsia="Times New Roman" w:cs="ArialMT"/>
                <w:lang w:val="en-GB"/>
              </w:rPr>
              <w:t>JTS with support by NA</w:t>
            </w:r>
          </w:p>
        </w:tc>
      </w:tr>
      <w:tr w:rsidR="00B42858" w:rsidRPr="00B42858" w14:paraId="5ED30FF3" w14:textId="77777777" w:rsidTr="00C81DC6">
        <w:tc>
          <w:tcPr>
            <w:cnfStyle w:val="001000000000" w:firstRow="0" w:lastRow="0" w:firstColumn="1" w:lastColumn="0" w:oddVBand="0" w:evenVBand="0" w:oddHBand="0" w:evenHBand="0" w:firstRowFirstColumn="0" w:firstRowLastColumn="0" w:lastRowFirstColumn="0" w:lastRowLastColumn="0"/>
            <w:tcW w:w="6771" w:type="dxa"/>
          </w:tcPr>
          <w:p w14:paraId="1D63C4B6" w14:textId="77777777" w:rsidR="00B42858" w:rsidRPr="00B42858" w:rsidRDefault="00B42858" w:rsidP="00B42858">
            <w:pPr>
              <w:rPr>
                <w:rFonts w:eastAsia="Times New Roman" w:cs="ArialMT"/>
                <w:lang w:val="en-GB"/>
              </w:rPr>
            </w:pPr>
            <w:r w:rsidRPr="00B42858">
              <w:rPr>
                <w:rFonts w:eastAsia="Times New Roman" w:cs="ArialMT"/>
                <w:lang w:val="en-GB"/>
              </w:rPr>
              <w:t>Visit to project’s events/activities</w:t>
            </w:r>
          </w:p>
        </w:tc>
        <w:tc>
          <w:tcPr>
            <w:tcW w:w="3685" w:type="dxa"/>
          </w:tcPr>
          <w:p w14:paraId="177E2EB8" w14:textId="77777777" w:rsidR="00B42858" w:rsidRPr="00B42858" w:rsidRDefault="00B42858" w:rsidP="00B42858">
            <w:pPr>
              <w:cnfStyle w:val="000000000000" w:firstRow="0" w:lastRow="0" w:firstColumn="0" w:lastColumn="0" w:oddVBand="0" w:evenVBand="0" w:oddHBand="0" w:evenHBand="0" w:firstRowFirstColumn="0" w:firstRowLastColumn="0" w:lastRowFirstColumn="0" w:lastRowLastColumn="0"/>
              <w:rPr>
                <w:rFonts w:eastAsia="Times New Roman" w:cs="ArialMT"/>
                <w:lang w:val="en-GB"/>
              </w:rPr>
            </w:pPr>
            <w:r w:rsidRPr="00B42858">
              <w:rPr>
                <w:rFonts w:eastAsia="Times New Roman" w:cs="ArialMT"/>
                <w:lang w:val="en-GB"/>
              </w:rPr>
              <w:t>JTS, MA &amp; NA</w:t>
            </w:r>
          </w:p>
        </w:tc>
      </w:tr>
      <w:tr w:rsidR="00B42858" w:rsidRPr="00B42858" w14:paraId="351C4E54" w14:textId="77777777" w:rsidTr="00C81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71" w:type="dxa"/>
          </w:tcPr>
          <w:p w14:paraId="6217C593" w14:textId="77777777" w:rsidR="00B42858" w:rsidRPr="00B42858" w:rsidRDefault="00B42858" w:rsidP="00B42858">
            <w:pPr>
              <w:rPr>
                <w:rFonts w:eastAsia="Times New Roman" w:cs="ArialMT"/>
                <w:lang w:val="en-GB"/>
              </w:rPr>
            </w:pPr>
            <w:r w:rsidRPr="00B42858">
              <w:rPr>
                <w:rFonts w:eastAsia="Times New Roman" w:cs="ArialMT"/>
                <w:lang w:val="en-GB"/>
              </w:rPr>
              <w:t>Sample checks, including checks on the performance of the work of controllers (re-performing &amp; check on working papers)</w:t>
            </w:r>
          </w:p>
        </w:tc>
        <w:tc>
          <w:tcPr>
            <w:tcW w:w="3685" w:type="dxa"/>
          </w:tcPr>
          <w:p w14:paraId="4503929C" w14:textId="77777777" w:rsidR="00B42858" w:rsidRPr="00B42858" w:rsidRDefault="00B42858" w:rsidP="00B42858">
            <w:pPr>
              <w:cnfStyle w:val="000000100000" w:firstRow="0" w:lastRow="0" w:firstColumn="0" w:lastColumn="0" w:oddVBand="0" w:evenVBand="0" w:oddHBand="1" w:evenHBand="0" w:firstRowFirstColumn="0" w:firstRowLastColumn="0" w:lastRowFirstColumn="0" w:lastRowLastColumn="0"/>
              <w:rPr>
                <w:rFonts w:eastAsia="Times New Roman" w:cs="ArialMT"/>
                <w:lang w:val="en-GB"/>
              </w:rPr>
            </w:pPr>
            <w:r w:rsidRPr="00B42858">
              <w:rPr>
                <w:rFonts w:eastAsia="Times New Roman" w:cs="ArialMT"/>
                <w:lang w:val="en-GB"/>
              </w:rPr>
              <w:t xml:space="preserve">AA &amp; </w:t>
            </w:r>
            <w:proofErr w:type="spellStart"/>
            <w:r w:rsidRPr="00B42858">
              <w:rPr>
                <w:rFonts w:eastAsia="Times New Roman" w:cs="ArialMT"/>
                <w:lang w:val="en-GB"/>
              </w:rPr>
              <w:t>GoA</w:t>
            </w:r>
            <w:proofErr w:type="spellEnd"/>
          </w:p>
        </w:tc>
      </w:tr>
    </w:tbl>
    <w:p w14:paraId="19F5B653" w14:textId="77777777" w:rsidR="00B42858" w:rsidRPr="00B42858" w:rsidRDefault="00B42858" w:rsidP="00B42858">
      <w:pPr>
        <w:spacing w:after="160" w:line="259" w:lineRule="auto"/>
        <w:jc w:val="both"/>
        <w:rPr>
          <w:rFonts w:eastAsia="Times New Roman" w:cs="ArialMT"/>
          <w:bCs/>
          <w:sz w:val="22"/>
          <w:szCs w:val="22"/>
          <w:lang w:val="en-GB"/>
        </w:rPr>
      </w:pPr>
    </w:p>
    <w:p w14:paraId="02603E69"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When the irregularities are identified in the framework of the verification procedures linked to a payment claim, MA may reduce the amount of EU funding for the project to be paid or the reimbursement of technical assistance expenses. Otherwise, once the irregularity is confirmed by MA, this body will decide on the applicable procedure to recover or offset the amount due.</w:t>
      </w:r>
    </w:p>
    <w:p w14:paraId="4146F4B9"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Procedures for auditing the functioning of the management and control systems, the accounts and operations </w:t>
      </w:r>
    </w:p>
    <w:p w14:paraId="5A2727FD" w14:textId="77777777" w:rsidR="00B42858" w:rsidRPr="00B42858" w:rsidRDefault="00B42858" w:rsidP="008A7153">
      <w:pPr>
        <w:spacing w:after="160" w:line="259" w:lineRule="auto"/>
        <w:jc w:val="both"/>
        <w:rPr>
          <w:rFonts w:eastAsia="Calibri" w:cs="ArialMT"/>
          <w:bCs/>
          <w:sz w:val="22"/>
          <w:szCs w:val="22"/>
          <w:lang w:val="en-GB" w:eastAsia="en-US"/>
        </w:rPr>
      </w:pPr>
      <w:r w:rsidRPr="00B42858">
        <w:rPr>
          <w:rFonts w:eastAsia="Calibri" w:cs="Arial"/>
          <w:sz w:val="22"/>
          <w:szCs w:val="22"/>
          <w:lang w:val="ca-ES" w:eastAsia="en-GB"/>
        </w:rPr>
        <w:t xml:space="preserve">The Audit Authority's audit manual describes the working procedures to be carried out for the audits </w:t>
      </w:r>
      <w:r w:rsidRPr="00B42858">
        <w:rPr>
          <w:rFonts w:eastAsia="Calibri" w:cs="ArialMT"/>
          <w:bCs/>
          <w:sz w:val="22"/>
          <w:szCs w:val="22"/>
          <w:lang w:val="en-GB" w:eastAsia="en-US"/>
        </w:rPr>
        <w:t xml:space="preserve">on the programme management and control systems, on the appropriate sample of projects and on the annual accounts of the programme. </w:t>
      </w:r>
    </w:p>
    <w:p w14:paraId="2B35EA08"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MT"/>
          <w:bCs/>
          <w:sz w:val="22"/>
          <w:szCs w:val="22"/>
          <w:lang w:val="en-GB" w:eastAsia="en-US"/>
        </w:rPr>
        <w:t xml:space="preserve">The audit manual </w:t>
      </w:r>
      <w:r w:rsidRPr="00B42858">
        <w:rPr>
          <w:rFonts w:eastAsia="Calibri" w:cs="Arial"/>
          <w:sz w:val="22"/>
          <w:szCs w:val="22"/>
          <w:lang w:val="ca-ES" w:eastAsia="en-GB"/>
        </w:rPr>
        <w:t xml:space="preserve">provide a description of the working procedures for the different phases of an audit, i.e. audit planning, preliminary survey, risk assessment, performance of engagements, recording and documentation, supervision, reporting, quality assurance process and external review, using the work of other auditors, use of any computer assisted audit techniques (CAATs), sampling methods used, etc. </w:t>
      </w:r>
    </w:p>
    <w:p w14:paraId="4E5FF592"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
          <w:sz w:val="22"/>
          <w:szCs w:val="22"/>
          <w:lang w:val="ca-ES" w:eastAsia="en-GB"/>
        </w:rPr>
        <w:t xml:space="preserve">The audit manual contain reference to materiality thresholds and other quantitative and qualitative factors to consider when assessing the materiality of audit findings for system audits, audits of operations and audits of the annual accounts. </w:t>
      </w:r>
    </w:p>
    <w:p w14:paraId="525CB283"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
          <w:sz w:val="22"/>
          <w:szCs w:val="22"/>
          <w:lang w:val="ca-ES" w:eastAsia="en-GB"/>
        </w:rPr>
        <w:t>The audit manual cover a description of the different phases of reporting (such as draft audit reports, contradictory procedure with the auditee and final audit reports), deadlines for reporting, follow-up processes.</w:t>
      </w:r>
    </w:p>
    <w:p w14:paraId="49392893"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MT"/>
          <w:bCs/>
          <w:sz w:val="22"/>
          <w:szCs w:val="22"/>
          <w:lang w:val="en-GB" w:eastAsia="en-US"/>
        </w:rPr>
        <w:t>The Audit Authority will be assisted by a Group of Auditors comprising a representative from each country participating in the programme.</w:t>
      </w:r>
    </w:p>
    <w:p w14:paraId="30D67934"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
          <w:sz w:val="22"/>
          <w:szCs w:val="22"/>
          <w:lang w:val="ca-ES" w:eastAsia="en-GB"/>
        </w:rPr>
        <w:t xml:space="preserve">The </w:t>
      </w:r>
      <w:r w:rsidRPr="00B42858">
        <w:rPr>
          <w:rFonts w:eastAsia="Calibri" w:cs="Arial"/>
          <w:color w:val="000000"/>
          <w:sz w:val="22"/>
          <w:szCs w:val="22"/>
          <w:lang w:val="ca-ES" w:eastAsia="en-US"/>
        </w:rPr>
        <w:t>Audit Authority</w:t>
      </w:r>
      <w:r w:rsidRPr="00B42858">
        <w:rPr>
          <w:rFonts w:eastAsia="Calibri" w:cs="Arial"/>
          <w:sz w:val="22"/>
          <w:szCs w:val="22"/>
          <w:lang w:val="ca-ES" w:eastAsia="en-US"/>
        </w:rPr>
        <w:t xml:space="preserve"> </w:t>
      </w:r>
      <w:r w:rsidRPr="00B42858">
        <w:rPr>
          <w:rFonts w:eastAsia="Calibri" w:cs="Arial"/>
          <w:sz w:val="22"/>
          <w:szCs w:val="22"/>
          <w:lang w:val="ca-ES" w:eastAsia="en-GB"/>
        </w:rPr>
        <w:t>consider the Guideline No 25 of the European Implementing Guidelines for the INTOSAI Auditing Standards</w:t>
      </w:r>
      <w:r w:rsidRPr="00B42858">
        <w:rPr>
          <w:rFonts w:eastAsia="Calibri" w:cs="Arial"/>
          <w:sz w:val="22"/>
          <w:szCs w:val="22"/>
          <w:vertAlign w:val="superscript"/>
          <w:lang w:val="ca-ES" w:eastAsia="en-GB"/>
        </w:rPr>
        <w:footnoteReference w:id="89"/>
      </w:r>
      <w:r w:rsidRPr="00B42858">
        <w:rPr>
          <w:rFonts w:eastAsia="Calibri" w:cs="Arial"/>
          <w:sz w:val="22"/>
          <w:szCs w:val="22"/>
          <w:lang w:val="ca-ES" w:eastAsia="en-GB"/>
        </w:rPr>
        <w:t xml:space="preserve">, related to the concept of using the work of other auditors and experts by the European Supreme Audit Institutions. This guideline specifically refers to the requirements to be respected depending on the extent of the reliance on the work done by other auditors at each phase of the audit, whether for planning purposes, as part of the audit evidence or at the end of the testing. </w:t>
      </w:r>
    </w:p>
    <w:p w14:paraId="2EF485A6" w14:textId="77777777" w:rsidR="00B42858" w:rsidRPr="00B42858" w:rsidRDefault="00B42858" w:rsidP="008A7153">
      <w:pPr>
        <w:spacing w:after="160" w:line="259" w:lineRule="auto"/>
        <w:jc w:val="both"/>
        <w:rPr>
          <w:rFonts w:eastAsia="Calibri" w:cs="Arial"/>
          <w:sz w:val="22"/>
          <w:szCs w:val="22"/>
          <w:lang w:val="ca-ES" w:eastAsia="en-GB"/>
        </w:rPr>
      </w:pPr>
      <w:r w:rsidRPr="00B42858">
        <w:rPr>
          <w:rFonts w:eastAsia="Calibri" w:cs="Arial"/>
          <w:sz w:val="22"/>
          <w:szCs w:val="22"/>
          <w:lang w:val="ca-ES" w:eastAsia="en-GB"/>
        </w:rPr>
        <w:t xml:space="preserve">The extent of procedures that the principal auditor should perform to obtain sufficient appropriate audit evidence that the work of the other auditor is adequate for the principal auditor's purposes, in the context of the specific assignment, depends on the phases of the audit where the work of other auditors may be used. Especially when the work is used as audit evidence, the </w:t>
      </w:r>
      <w:r w:rsidRPr="00B42858">
        <w:rPr>
          <w:rFonts w:eastAsia="Calibri" w:cs="Arial"/>
          <w:color w:val="000000"/>
          <w:sz w:val="22"/>
          <w:szCs w:val="22"/>
          <w:lang w:val="ca-ES" w:eastAsia="en-US"/>
        </w:rPr>
        <w:t>Audit Authority</w:t>
      </w:r>
      <w:r w:rsidRPr="00B42858">
        <w:rPr>
          <w:rFonts w:eastAsia="Calibri" w:cs="Arial"/>
          <w:sz w:val="22"/>
          <w:szCs w:val="22"/>
          <w:lang w:val="ca-ES" w:eastAsia="en-GB"/>
        </w:rPr>
        <w:t>’s review will be more detailed.</w:t>
      </w:r>
    </w:p>
    <w:p w14:paraId="75B80F43" w14:textId="77777777" w:rsidR="00625DED" w:rsidRDefault="00B42858" w:rsidP="008A7153">
      <w:pPr>
        <w:spacing w:before="240" w:after="160" w:line="259" w:lineRule="auto"/>
        <w:jc w:val="both"/>
        <w:rPr>
          <w:rFonts w:eastAsia="Calibri" w:cs="Arial"/>
          <w:sz w:val="22"/>
          <w:szCs w:val="22"/>
          <w:lang w:val="ca-ES" w:eastAsia="en-GB"/>
        </w:rPr>
      </w:pPr>
      <w:r w:rsidRPr="00B42858">
        <w:rPr>
          <w:rFonts w:eastAsia="Calibri" w:cs="Arial"/>
          <w:sz w:val="22"/>
          <w:szCs w:val="22"/>
          <w:lang w:val="ca-ES" w:eastAsia="en-GB"/>
        </w:rPr>
        <w:t>Further guidance is provided by the ISSAI 1610</w:t>
      </w:r>
      <w:r w:rsidRPr="00B42858">
        <w:rPr>
          <w:rFonts w:eastAsia="Calibri" w:cs="Arial"/>
          <w:sz w:val="22"/>
          <w:szCs w:val="22"/>
          <w:vertAlign w:val="superscript"/>
          <w:lang w:val="ca-ES" w:eastAsia="en-GB"/>
        </w:rPr>
        <w:footnoteReference w:id="90"/>
      </w:r>
      <w:r w:rsidRPr="00B42858">
        <w:rPr>
          <w:rFonts w:eastAsia="Calibri" w:cs="Arial"/>
          <w:sz w:val="22"/>
          <w:szCs w:val="22"/>
          <w:lang w:val="ca-ES" w:eastAsia="en-GB"/>
        </w:rPr>
        <w:t xml:space="preserve"> (includes ISA 610) concerning the use of the work of internal auditor, and by ISSAI 1620</w:t>
      </w:r>
      <w:r w:rsidRPr="00B42858">
        <w:rPr>
          <w:rFonts w:eastAsia="Calibri" w:cs="Arial"/>
          <w:sz w:val="22"/>
          <w:szCs w:val="22"/>
          <w:vertAlign w:val="superscript"/>
          <w:lang w:val="ca-ES" w:eastAsia="en-GB"/>
        </w:rPr>
        <w:footnoteReference w:id="91"/>
      </w:r>
      <w:r w:rsidRPr="00B42858">
        <w:rPr>
          <w:rFonts w:eastAsia="Calibri" w:cs="Arial"/>
          <w:sz w:val="22"/>
          <w:szCs w:val="22"/>
          <w:lang w:val="ca-ES" w:eastAsia="en-GB"/>
        </w:rPr>
        <w:t>on using the work of an auditor's expert.</w:t>
      </w:r>
    </w:p>
    <w:p w14:paraId="312E7500" w14:textId="77777777" w:rsidR="00B42858" w:rsidRPr="00B42858" w:rsidRDefault="00B42858" w:rsidP="008A7153">
      <w:pPr>
        <w:spacing w:before="240" w:after="160" w:line="259" w:lineRule="auto"/>
        <w:jc w:val="both"/>
        <w:rPr>
          <w:rFonts w:eastAsia="Times New Roman" w:cs="ArialMT"/>
          <w:b/>
          <w:sz w:val="22"/>
          <w:szCs w:val="22"/>
          <w:lang w:val="en-GB"/>
        </w:rPr>
      </w:pPr>
      <w:r w:rsidRPr="00B42858">
        <w:rPr>
          <w:rFonts w:eastAsia="Times New Roman" w:cs="ArialMT"/>
          <w:b/>
          <w:sz w:val="22"/>
          <w:szCs w:val="22"/>
          <w:lang w:val="en-GB"/>
        </w:rPr>
        <w:t xml:space="preserve">Modification of DMCS </w:t>
      </w:r>
    </w:p>
    <w:p w14:paraId="5E4B5DFC"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Modifications may arise as a proposal of the National Authorities, JTS, MA or AA, with the aim of improving the efficiency and effectiveness of the programme and project implementation or in order to correct deficiencies in the system.</w:t>
      </w:r>
    </w:p>
    <w:p w14:paraId="0C617659" w14:textId="77777777" w:rsidR="00B42858" w:rsidRPr="00B42858" w:rsidRDefault="00B42858" w:rsidP="008A7153">
      <w:pPr>
        <w:spacing w:after="160" w:line="259" w:lineRule="auto"/>
        <w:jc w:val="both"/>
        <w:rPr>
          <w:rFonts w:eastAsia="Times New Roman" w:cs="ArialMT"/>
          <w:bCs/>
          <w:sz w:val="22"/>
          <w:szCs w:val="22"/>
          <w:lang w:val="en-GB"/>
        </w:rPr>
      </w:pPr>
      <w:r w:rsidRPr="00B42858">
        <w:rPr>
          <w:rFonts w:eastAsia="Times New Roman" w:cs="ArialMT"/>
          <w:bCs/>
          <w:sz w:val="22"/>
          <w:szCs w:val="22"/>
          <w:lang w:val="en-GB"/>
        </w:rPr>
        <w:t>There may be two types of modifications of the DMCS:</w:t>
      </w:r>
    </w:p>
    <w:p w14:paraId="1205FA18" w14:textId="093C2CF1" w:rsidR="00B42858" w:rsidRPr="00B42858" w:rsidRDefault="00B42858" w:rsidP="00B42858">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lastRenderedPageBreak/>
        <w:t xml:space="preserve">Minor </w:t>
      </w:r>
      <w:proofErr w:type="gramStart"/>
      <w:r w:rsidRPr="00B42858">
        <w:rPr>
          <w:rFonts w:eastAsia="Times New Roman" w:cs="ArialMT"/>
          <w:bCs/>
          <w:sz w:val="22"/>
          <w:szCs w:val="22"/>
          <w:lang w:val="en-GB"/>
        </w:rPr>
        <w:t>modifications, that</w:t>
      </w:r>
      <w:proofErr w:type="gramEnd"/>
      <w:r w:rsidRPr="00B42858">
        <w:rPr>
          <w:rFonts w:eastAsia="Times New Roman" w:cs="ArialMT"/>
          <w:bCs/>
          <w:sz w:val="22"/>
          <w:szCs w:val="22"/>
          <w:lang w:val="en-GB"/>
        </w:rPr>
        <w:t xml:space="preserve"> do not significantly affect the management and control system. JMC shall be informed  about the nature of the modification;</w:t>
      </w:r>
    </w:p>
    <w:p w14:paraId="0A582252" w14:textId="77777777" w:rsidR="00B42858" w:rsidRPr="00B42858" w:rsidRDefault="00B42858" w:rsidP="00B42858">
      <w:pPr>
        <w:numPr>
          <w:ilvl w:val="0"/>
          <w:numId w:val="80"/>
        </w:numPr>
        <w:spacing w:after="160" w:line="259" w:lineRule="auto"/>
        <w:ind w:left="426" w:hanging="284"/>
        <w:contextualSpacing/>
        <w:jc w:val="both"/>
        <w:rPr>
          <w:rFonts w:eastAsia="Times New Roman" w:cs="ArialMT"/>
          <w:bCs/>
          <w:sz w:val="22"/>
          <w:szCs w:val="22"/>
          <w:lang w:val="en-GB"/>
        </w:rPr>
      </w:pPr>
      <w:r w:rsidRPr="00B42858">
        <w:rPr>
          <w:rFonts w:eastAsia="Times New Roman" w:cs="ArialMT"/>
          <w:bCs/>
          <w:sz w:val="22"/>
          <w:szCs w:val="22"/>
          <w:lang w:val="en-GB"/>
        </w:rPr>
        <w:t>Significant modifications which will be approved by JMC. The revised version of the document shall be made available to all programme authorities and bodies, as well as to the European Commission.</w:t>
      </w:r>
    </w:p>
    <w:p w14:paraId="72294EB8" w14:textId="77777777" w:rsidR="00B42858" w:rsidRPr="00B42858" w:rsidRDefault="00B42858" w:rsidP="00B42858">
      <w:pPr>
        <w:rPr>
          <w:highlight w:val="yellow"/>
          <w:lang w:val="en-GB"/>
        </w:rPr>
      </w:pPr>
    </w:p>
    <w:p w14:paraId="35BDEC1E" w14:textId="77777777" w:rsidR="00EE745F" w:rsidRPr="00F838AF" w:rsidRDefault="004816B7" w:rsidP="00EE745F">
      <w:pPr>
        <w:pStyle w:val="Heading3"/>
        <w:spacing w:before="200" w:after="240" w:line="264" w:lineRule="auto"/>
        <w:rPr>
          <w:b/>
          <w:sz w:val="28"/>
          <w:szCs w:val="28"/>
          <w:lang w:val="en-GB"/>
        </w:rPr>
      </w:pPr>
      <w:bookmarkStart w:id="110" w:name="_Toc402864387"/>
      <w:bookmarkStart w:id="111" w:name="_Toc423436309"/>
      <w:r>
        <w:rPr>
          <w:b/>
          <w:sz w:val="28"/>
          <w:szCs w:val="28"/>
          <w:lang w:val="en-GB"/>
        </w:rPr>
        <w:t xml:space="preserve">8.2 </w:t>
      </w:r>
      <w:r w:rsidR="00EE745F" w:rsidRPr="00F838AF">
        <w:rPr>
          <w:b/>
          <w:sz w:val="28"/>
          <w:szCs w:val="28"/>
          <w:lang w:val="en-GB"/>
        </w:rPr>
        <w:t>Time-frame for programme implementation</w:t>
      </w:r>
      <w:bookmarkEnd w:id="108"/>
      <w:bookmarkEnd w:id="109"/>
      <w:bookmarkEnd w:id="110"/>
      <w:bookmarkEnd w:id="111"/>
    </w:p>
    <w:tbl>
      <w:tblPr>
        <w:tblStyle w:val="TableGrid"/>
        <w:tblW w:w="0" w:type="auto"/>
        <w:tblLook w:val="04A0" w:firstRow="1" w:lastRow="0" w:firstColumn="1" w:lastColumn="0" w:noHBand="0" w:noVBand="1"/>
      </w:tblPr>
      <w:tblGrid>
        <w:gridCol w:w="1997"/>
        <w:gridCol w:w="412"/>
        <w:gridCol w:w="441"/>
        <w:gridCol w:w="413"/>
        <w:gridCol w:w="441"/>
        <w:gridCol w:w="412"/>
        <w:gridCol w:w="440"/>
        <w:gridCol w:w="411"/>
        <w:gridCol w:w="440"/>
        <w:gridCol w:w="411"/>
        <w:gridCol w:w="440"/>
        <w:gridCol w:w="411"/>
        <w:gridCol w:w="440"/>
        <w:gridCol w:w="411"/>
        <w:gridCol w:w="440"/>
        <w:gridCol w:w="411"/>
        <w:gridCol w:w="440"/>
        <w:gridCol w:w="411"/>
        <w:gridCol w:w="440"/>
        <w:gridCol w:w="411"/>
        <w:gridCol w:w="440"/>
      </w:tblGrid>
      <w:tr w:rsidR="00EE745F" w:rsidRPr="00BE3BD6" w14:paraId="023958D1" w14:textId="77777777" w:rsidTr="004818FA">
        <w:tc>
          <w:tcPr>
            <w:tcW w:w="10869" w:type="dxa"/>
            <w:gridSpan w:val="21"/>
          </w:tcPr>
          <w:p w14:paraId="52181DBA" w14:textId="77777777" w:rsidR="00EE745F" w:rsidRPr="00BE3BD6" w:rsidRDefault="00EE745F" w:rsidP="004818FA">
            <w:pPr>
              <w:autoSpaceDE w:val="0"/>
              <w:autoSpaceDN w:val="0"/>
              <w:adjustRightInd w:val="0"/>
              <w:spacing w:after="60" w:line="264" w:lineRule="auto"/>
              <w:jc w:val="center"/>
              <w:rPr>
                <w:b/>
                <w:sz w:val="20"/>
                <w:szCs w:val="20"/>
                <w:lang w:val="en-GB"/>
              </w:rPr>
            </w:pPr>
            <w:r>
              <w:rPr>
                <w:b/>
                <w:sz w:val="20"/>
                <w:szCs w:val="20"/>
                <w:lang w:val="en-GB"/>
              </w:rPr>
              <w:t>Provisional indicative time-frame for programme implementation</w:t>
            </w:r>
          </w:p>
        </w:tc>
      </w:tr>
      <w:tr w:rsidR="00EE745F" w:rsidRPr="00BE3BD6" w14:paraId="71169032" w14:textId="77777777" w:rsidTr="004818FA">
        <w:tc>
          <w:tcPr>
            <w:tcW w:w="1997" w:type="dxa"/>
            <w:vMerge w:val="restart"/>
          </w:tcPr>
          <w:p w14:paraId="6D110125" w14:textId="77777777" w:rsidR="00EE745F" w:rsidRPr="00BE3BD6" w:rsidRDefault="00EE745F" w:rsidP="004818FA">
            <w:pPr>
              <w:autoSpaceDE w:val="0"/>
              <w:autoSpaceDN w:val="0"/>
              <w:adjustRightInd w:val="0"/>
              <w:spacing w:after="60" w:line="264" w:lineRule="auto"/>
              <w:jc w:val="center"/>
              <w:rPr>
                <w:b/>
                <w:sz w:val="20"/>
                <w:szCs w:val="20"/>
                <w:lang w:val="en-GB"/>
              </w:rPr>
            </w:pPr>
          </w:p>
        </w:tc>
        <w:tc>
          <w:tcPr>
            <w:tcW w:w="887" w:type="dxa"/>
            <w:gridSpan w:val="2"/>
          </w:tcPr>
          <w:p w14:paraId="4065E3A0"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2015</w:t>
            </w:r>
          </w:p>
        </w:tc>
        <w:tc>
          <w:tcPr>
            <w:tcW w:w="888" w:type="dxa"/>
            <w:gridSpan w:val="2"/>
          </w:tcPr>
          <w:p w14:paraId="1FDA535C"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2016</w:t>
            </w:r>
          </w:p>
        </w:tc>
        <w:tc>
          <w:tcPr>
            <w:tcW w:w="888" w:type="dxa"/>
            <w:gridSpan w:val="2"/>
          </w:tcPr>
          <w:p w14:paraId="15BCA8EC"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2017</w:t>
            </w:r>
          </w:p>
        </w:tc>
        <w:tc>
          <w:tcPr>
            <w:tcW w:w="887" w:type="dxa"/>
            <w:gridSpan w:val="2"/>
          </w:tcPr>
          <w:p w14:paraId="01A91791"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2018</w:t>
            </w:r>
          </w:p>
        </w:tc>
        <w:tc>
          <w:tcPr>
            <w:tcW w:w="887" w:type="dxa"/>
            <w:gridSpan w:val="2"/>
          </w:tcPr>
          <w:p w14:paraId="4EF9C122"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2019</w:t>
            </w:r>
          </w:p>
        </w:tc>
        <w:tc>
          <w:tcPr>
            <w:tcW w:w="887" w:type="dxa"/>
            <w:gridSpan w:val="2"/>
          </w:tcPr>
          <w:p w14:paraId="5E731CAD"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2020</w:t>
            </w:r>
          </w:p>
        </w:tc>
        <w:tc>
          <w:tcPr>
            <w:tcW w:w="887" w:type="dxa"/>
            <w:gridSpan w:val="2"/>
          </w:tcPr>
          <w:p w14:paraId="012010AA"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2021</w:t>
            </w:r>
          </w:p>
        </w:tc>
        <w:tc>
          <w:tcPr>
            <w:tcW w:w="887" w:type="dxa"/>
            <w:gridSpan w:val="2"/>
          </w:tcPr>
          <w:p w14:paraId="462BE7E1"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2022</w:t>
            </w:r>
          </w:p>
        </w:tc>
        <w:tc>
          <w:tcPr>
            <w:tcW w:w="887" w:type="dxa"/>
            <w:gridSpan w:val="2"/>
          </w:tcPr>
          <w:p w14:paraId="1D6B7D55"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2023</w:t>
            </w:r>
          </w:p>
        </w:tc>
        <w:tc>
          <w:tcPr>
            <w:tcW w:w="887" w:type="dxa"/>
            <w:gridSpan w:val="2"/>
          </w:tcPr>
          <w:p w14:paraId="3FB3D59C" w14:textId="77777777" w:rsidR="00EE745F" w:rsidRPr="00BE3BD6" w:rsidRDefault="00EE745F" w:rsidP="004818FA">
            <w:pPr>
              <w:autoSpaceDE w:val="0"/>
              <w:autoSpaceDN w:val="0"/>
              <w:adjustRightInd w:val="0"/>
              <w:spacing w:after="60" w:line="264" w:lineRule="auto"/>
              <w:jc w:val="center"/>
              <w:rPr>
                <w:b/>
                <w:sz w:val="20"/>
                <w:szCs w:val="20"/>
                <w:lang w:val="en-GB"/>
              </w:rPr>
            </w:pPr>
            <w:r w:rsidRPr="00BE3BD6">
              <w:rPr>
                <w:b/>
                <w:sz w:val="20"/>
                <w:szCs w:val="20"/>
                <w:lang w:val="en-GB"/>
              </w:rPr>
              <w:t>2024</w:t>
            </w:r>
          </w:p>
        </w:tc>
      </w:tr>
      <w:tr w:rsidR="00EE745F" w:rsidRPr="00172913" w14:paraId="3F80DCCA" w14:textId="77777777" w:rsidTr="004818FA">
        <w:tc>
          <w:tcPr>
            <w:tcW w:w="1997" w:type="dxa"/>
            <w:vMerge/>
          </w:tcPr>
          <w:p w14:paraId="09A6B5CB" w14:textId="77777777" w:rsidR="00EE745F" w:rsidRPr="00172913" w:rsidRDefault="00EE745F" w:rsidP="004818FA">
            <w:pPr>
              <w:autoSpaceDE w:val="0"/>
              <w:autoSpaceDN w:val="0"/>
              <w:adjustRightInd w:val="0"/>
              <w:spacing w:after="60" w:line="264" w:lineRule="auto"/>
              <w:jc w:val="center"/>
              <w:rPr>
                <w:sz w:val="20"/>
                <w:szCs w:val="20"/>
                <w:lang w:val="en-GB"/>
              </w:rPr>
            </w:pPr>
          </w:p>
        </w:tc>
        <w:tc>
          <w:tcPr>
            <w:tcW w:w="433" w:type="dxa"/>
          </w:tcPr>
          <w:p w14:paraId="5B98E850"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14152E6A"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4" w:type="dxa"/>
          </w:tcPr>
          <w:p w14:paraId="0BA25AD3"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6E82FA9C"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4" w:type="dxa"/>
          </w:tcPr>
          <w:p w14:paraId="31D52816"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596F9FBE"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2A502E5E"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610F86AA"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2BAE22A4"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5273C338"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3E152CC9"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4D63F502"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0EBB2D57"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3DC70D64"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1859844E"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3D35690C"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450BBA7D"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6DFE3209"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c>
          <w:tcPr>
            <w:tcW w:w="433" w:type="dxa"/>
          </w:tcPr>
          <w:p w14:paraId="4BD2814C"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w:t>
            </w:r>
          </w:p>
        </w:tc>
        <w:tc>
          <w:tcPr>
            <w:tcW w:w="454" w:type="dxa"/>
          </w:tcPr>
          <w:p w14:paraId="65B72E87" w14:textId="77777777" w:rsidR="00EE745F" w:rsidRPr="00172913" w:rsidRDefault="00EE745F" w:rsidP="004818FA">
            <w:pPr>
              <w:autoSpaceDE w:val="0"/>
              <w:autoSpaceDN w:val="0"/>
              <w:adjustRightInd w:val="0"/>
              <w:spacing w:after="60" w:line="264" w:lineRule="auto"/>
              <w:jc w:val="center"/>
              <w:rPr>
                <w:sz w:val="20"/>
                <w:szCs w:val="20"/>
                <w:lang w:val="en-GB"/>
              </w:rPr>
            </w:pPr>
            <w:r w:rsidRPr="00172913">
              <w:rPr>
                <w:sz w:val="20"/>
                <w:szCs w:val="20"/>
                <w:lang w:val="en-GB"/>
              </w:rPr>
              <w:t>II</w:t>
            </w:r>
          </w:p>
        </w:tc>
      </w:tr>
      <w:tr w:rsidR="00EE745F" w:rsidRPr="00172913" w14:paraId="1585EE63" w14:textId="77777777" w:rsidTr="004818FA">
        <w:tc>
          <w:tcPr>
            <w:tcW w:w="1997" w:type="dxa"/>
          </w:tcPr>
          <w:p w14:paraId="4DA312DD"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Submission to EC</w:t>
            </w:r>
          </w:p>
        </w:tc>
        <w:tc>
          <w:tcPr>
            <w:tcW w:w="433" w:type="dxa"/>
            <w:shd w:val="clear" w:color="auto" w:fill="3366FF"/>
          </w:tcPr>
          <w:p w14:paraId="04178E3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6B6A27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7783F06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BAA36E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6C07DD4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04C1E07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CCC002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92DCAD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CCBF75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7DDB9C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202BC41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A0F12F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F57F27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BFE6DF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ACC89C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73CF296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6D73590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7D2A9BC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66A743C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39E15BA7"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055E0B" w14:paraId="4D3F616B" w14:textId="77777777" w:rsidTr="004818FA">
        <w:tc>
          <w:tcPr>
            <w:tcW w:w="1997" w:type="dxa"/>
          </w:tcPr>
          <w:p w14:paraId="4E1701D6"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Adoption by EC</w:t>
            </w:r>
          </w:p>
        </w:tc>
        <w:tc>
          <w:tcPr>
            <w:tcW w:w="433" w:type="dxa"/>
          </w:tcPr>
          <w:p w14:paraId="63AE5F9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3395C61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13DD874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349C3CC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68D3C99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FEACF3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0E1C9E3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7AEE7C0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2A18B61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10D738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C15FB9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0261281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644B031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CC19CC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AA8B44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51982F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EC19F1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7500DDA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D44B85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05FFB7B"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3B5B9C98" w14:textId="77777777" w:rsidTr="004818FA">
        <w:tc>
          <w:tcPr>
            <w:tcW w:w="1997" w:type="dxa"/>
          </w:tcPr>
          <w:p w14:paraId="13892781"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Period of execution</w:t>
            </w:r>
            <w:r>
              <w:rPr>
                <w:rStyle w:val="FootnoteReference"/>
                <w:sz w:val="20"/>
                <w:szCs w:val="20"/>
                <w:lang w:val="en-GB"/>
              </w:rPr>
              <w:footnoteReference w:id="92"/>
            </w:r>
          </w:p>
        </w:tc>
        <w:tc>
          <w:tcPr>
            <w:tcW w:w="433" w:type="dxa"/>
          </w:tcPr>
          <w:p w14:paraId="0FBD4D5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C4CD56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3366FF"/>
          </w:tcPr>
          <w:p w14:paraId="5AA39F3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220EAA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3366FF"/>
          </w:tcPr>
          <w:p w14:paraId="53D726C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7FF7111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4457315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600CA0D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5F83F1F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63E7371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383A93A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3A3F3D0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2714AA0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ECAC34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23B154C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650D362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46E4097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354B8E5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2E9F97D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3B90C17D"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6099ECB9" w14:textId="77777777" w:rsidTr="004818FA">
        <w:tc>
          <w:tcPr>
            <w:tcW w:w="1997" w:type="dxa"/>
          </w:tcPr>
          <w:p w14:paraId="4493584C"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Signature of Fin. Agreement</w:t>
            </w:r>
            <w:r w:rsidR="00563509">
              <w:rPr>
                <w:sz w:val="20"/>
                <w:szCs w:val="20"/>
                <w:lang w:val="en-GB"/>
              </w:rPr>
              <w:t>s</w:t>
            </w:r>
            <w:r>
              <w:rPr>
                <w:sz w:val="20"/>
                <w:szCs w:val="20"/>
                <w:lang w:val="en-GB"/>
              </w:rPr>
              <w:t>.</w:t>
            </w:r>
            <w:r>
              <w:rPr>
                <w:rStyle w:val="FootnoteReference"/>
                <w:sz w:val="20"/>
                <w:szCs w:val="20"/>
                <w:lang w:val="en-GB"/>
              </w:rPr>
              <w:footnoteReference w:id="93"/>
            </w:r>
          </w:p>
        </w:tc>
        <w:tc>
          <w:tcPr>
            <w:tcW w:w="433" w:type="dxa"/>
          </w:tcPr>
          <w:p w14:paraId="63AF36B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3D32C4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3366FF"/>
          </w:tcPr>
          <w:p w14:paraId="6755734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435724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216E83D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7C555E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87C731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3958888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47AAC5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13149E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AED491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C1A8C5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187B9C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0EEEFA0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00F9FC1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148BE4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2EB8349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BC6237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2B4B5A9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04DE561B"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7CEB6659" w14:textId="77777777" w:rsidTr="004818FA">
        <w:tc>
          <w:tcPr>
            <w:tcW w:w="1997" w:type="dxa"/>
          </w:tcPr>
          <w:p w14:paraId="0C1B67C7"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JMC meetings</w:t>
            </w:r>
          </w:p>
        </w:tc>
        <w:tc>
          <w:tcPr>
            <w:tcW w:w="433" w:type="dxa"/>
          </w:tcPr>
          <w:p w14:paraId="1268E65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D59F93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3366FF"/>
          </w:tcPr>
          <w:p w14:paraId="5FBA89B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2434B4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auto"/>
          </w:tcPr>
          <w:p w14:paraId="3AAB323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4B3336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79C7460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6CD5D44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auto"/>
          </w:tcPr>
          <w:p w14:paraId="623CA27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4B32B6B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7399008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4FB6C1D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136495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0AA957D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D9BB1E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7904490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4734DA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467759C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6BBC447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FFFFFF" w:themeFill="background1"/>
          </w:tcPr>
          <w:p w14:paraId="309C72C3"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7B2A378C" w14:textId="77777777" w:rsidTr="004818FA">
        <w:tc>
          <w:tcPr>
            <w:tcW w:w="1997" w:type="dxa"/>
          </w:tcPr>
          <w:p w14:paraId="6DC2576B" w14:textId="77777777" w:rsidR="00EE745F" w:rsidRPr="00172913" w:rsidRDefault="00EE745F" w:rsidP="004818FA">
            <w:pPr>
              <w:autoSpaceDE w:val="0"/>
              <w:autoSpaceDN w:val="0"/>
              <w:adjustRightInd w:val="0"/>
              <w:spacing w:after="60" w:line="264" w:lineRule="auto"/>
              <w:jc w:val="both"/>
              <w:rPr>
                <w:sz w:val="20"/>
                <w:szCs w:val="20"/>
                <w:lang w:val="en-GB"/>
              </w:rPr>
            </w:pPr>
            <w:r>
              <w:rPr>
                <w:sz w:val="20"/>
                <w:szCs w:val="20"/>
                <w:lang w:val="en-GB"/>
              </w:rPr>
              <w:t>Launching of the calls</w:t>
            </w:r>
          </w:p>
        </w:tc>
        <w:tc>
          <w:tcPr>
            <w:tcW w:w="433" w:type="dxa"/>
          </w:tcPr>
          <w:p w14:paraId="53A0A41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4C33EA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614746A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066EB1D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5FAA376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01CA5F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auto"/>
          </w:tcPr>
          <w:p w14:paraId="0617C10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854401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32CA94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3679FC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9686C1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6081C1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02AF88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B8DEA4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E6264D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3FC34FE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2DDAC9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D33A60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1752DB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76790C9"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33186333" w14:textId="77777777" w:rsidTr="004818FA">
        <w:tc>
          <w:tcPr>
            <w:tcW w:w="1997" w:type="dxa"/>
          </w:tcPr>
          <w:p w14:paraId="1DA1EF78" w14:textId="77777777" w:rsidR="00EE745F" w:rsidRDefault="00EE745F" w:rsidP="004818FA">
            <w:pPr>
              <w:autoSpaceDE w:val="0"/>
              <w:autoSpaceDN w:val="0"/>
              <w:adjustRightInd w:val="0"/>
              <w:spacing w:after="60" w:line="264" w:lineRule="auto"/>
              <w:jc w:val="both"/>
              <w:rPr>
                <w:sz w:val="20"/>
                <w:szCs w:val="20"/>
                <w:lang w:val="en-GB"/>
              </w:rPr>
            </w:pPr>
            <w:r>
              <w:rPr>
                <w:sz w:val="20"/>
                <w:szCs w:val="20"/>
                <w:lang w:val="en-GB"/>
              </w:rPr>
              <w:t>Evaluation/selection of projects</w:t>
            </w:r>
          </w:p>
        </w:tc>
        <w:tc>
          <w:tcPr>
            <w:tcW w:w="433" w:type="dxa"/>
          </w:tcPr>
          <w:p w14:paraId="686CA0F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A6708E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4DCE61F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0190E97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shd w:val="clear" w:color="auto" w:fill="3366FF"/>
          </w:tcPr>
          <w:p w14:paraId="2F5A596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3825452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08D9A72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20EDEF6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6305849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5BCE76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B0643F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A6B3E7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F492BB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51F9B7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789C321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B39B07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0F33632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416EAEA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E2FD37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BD0C4BE"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7C579680" w14:textId="77777777" w:rsidTr="004818FA">
        <w:tc>
          <w:tcPr>
            <w:tcW w:w="1997" w:type="dxa"/>
          </w:tcPr>
          <w:p w14:paraId="49A25B84" w14:textId="77777777" w:rsidR="00EE745F" w:rsidRDefault="00EE745F" w:rsidP="004818FA">
            <w:pPr>
              <w:autoSpaceDE w:val="0"/>
              <w:autoSpaceDN w:val="0"/>
              <w:adjustRightInd w:val="0"/>
              <w:spacing w:after="60" w:line="264" w:lineRule="auto"/>
              <w:jc w:val="both"/>
              <w:rPr>
                <w:sz w:val="20"/>
                <w:szCs w:val="20"/>
                <w:lang w:val="en-GB"/>
              </w:rPr>
            </w:pPr>
            <w:r>
              <w:rPr>
                <w:sz w:val="20"/>
                <w:szCs w:val="20"/>
                <w:lang w:val="en-GB"/>
              </w:rPr>
              <w:t>Contracting phase</w:t>
            </w:r>
          </w:p>
        </w:tc>
        <w:tc>
          <w:tcPr>
            <w:tcW w:w="433" w:type="dxa"/>
          </w:tcPr>
          <w:p w14:paraId="749DB56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146656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64ACE07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72CB42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69077A4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EEBE92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1B5BC5A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2ABA344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auto"/>
          </w:tcPr>
          <w:p w14:paraId="4474E38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34AB54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74190D7A"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0026F35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auto"/>
          </w:tcPr>
          <w:p w14:paraId="7152FBF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17983F7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auto"/>
          </w:tcPr>
          <w:p w14:paraId="46C89F1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198AFDE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043C7A7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F33DDE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23D4041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7ADA9CB"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54FCC8EF" w14:textId="77777777" w:rsidTr="004818FA">
        <w:tc>
          <w:tcPr>
            <w:tcW w:w="1997" w:type="dxa"/>
          </w:tcPr>
          <w:p w14:paraId="4735B0D3" w14:textId="77777777" w:rsidR="00EE745F" w:rsidRDefault="00EE745F" w:rsidP="004818FA">
            <w:pPr>
              <w:autoSpaceDE w:val="0"/>
              <w:autoSpaceDN w:val="0"/>
              <w:adjustRightInd w:val="0"/>
              <w:spacing w:after="60" w:line="264" w:lineRule="auto"/>
              <w:jc w:val="both"/>
              <w:rPr>
                <w:sz w:val="20"/>
                <w:szCs w:val="20"/>
                <w:lang w:val="en-GB"/>
              </w:rPr>
            </w:pPr>
            <w:r>
              <w:rPr>
                <w:sz w:val="20"/>
                <w:szCs w:val="20"/>
                <w:lang w:val="en-GB"/>
              </w:rPr>
              <w:t>Implementation of projects</w:t>
            </w:r>
          </w:p>
        </w:tc>
        <w:tc>
          <w:tcPr>
            <w:tcW w:w="433" w:type="dxa"/>
          </w:tcPr>
          <w:p w14:paraId="71CD601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EEC89E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03744A3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1F4F5F2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4302C9E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auto"/>
          </w:tcPr>
          <w:p w14:paraId="5D07FE6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16B88A32"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409A5789"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7C1D058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0069CEF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7635486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752832A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222BE33F"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08B9B2B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570AE81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58773FC7"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71D6ABA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3850BC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220A0F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28CCD464" w14:textId="77777777" w:rsidR="00EE745F" w:rsidRPr="00172913" w:rsidRDefault="00EE745F" w:rsidP="004818FA">
            <w:pPr>
              <w:autoSpaceDE w:val="0"/>
              <w:autoSpaceDN w:val="0"/>
              <w:adjustRightInd w:val="0"/>
              <w:spacing w:after="60" w:line="264" w:lineRule="auto"/>
              <w:jc w:val="both"/>
              <w:rPr>
                <w:sz w:val="20"/>
                <w:szCs w:val="20"/>
                <w:lang w:val="en-GB"/>
              </w:rPr>
            </w:pPr>
          </w:p>
        </w:tc>
      </w:tr>
      <w:tr w:rsidR="00EE745F" w:rsidRPr="00172913" w14:paraId="7D2E2BD7" w14:textId="77777777" w:rsidTr="004818FA">
        <w:tc>
          <w:tcPr>
            <w:tcW w:w="1997" w:type="dxa"/>
          </w:tcPr>
          <w:p w14:paraId="00B5530B" w14:textId="77777777" w:rsidR="00EE745F" w:rsidRDefault="00EE745F" w:rsidP="004818FA">
            <w:pPr>
              <w:autoSpaceDE w:val="0"/>
              <w:autoSpaceDN w:val="0"/>
              <w:adjustRightInd w:val="0"/>
              <w:spacing w:after="60" w:line="264" w:lineRule="auto"/>
              <w:jc w:val="both"/>
              <w:rPr>
                <w:sz w:val="20"/>
                <w:szCs w:val="20"/>
                <w:lang w:val="en-GB"/>
              </w:rPr>
            </w:pPr>
            <w:r>
              <w:rPr>
                <w:sz w:val="20"/>
                <w:szCs w:val="20"/>
                <w:lang w:val="en-GB"/>
              </w:rPr>
              <w:t>Programme closure</w:t>
            </w:r>
          </w:p>
        </w:tc>
        <w:tc>
          <w:tcPr>
            <w:tcW w:w="433" w:type="dxa"/>
          </w:tcPr>
          <w:p w14:paraId="473F74C8"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87007CD"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2CE84566"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5BB328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4" w:type="dxa"/>
          </w:tcPr>
          <w:p w14:paraId="598EEC3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B07EAA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9C1836C"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FDBAB0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593C77B1"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7FC8A6D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4FB4F19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BA4773B"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1F7F02AE"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66968495"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tcPr>
          <w:p w14:paraId="37692AE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tcPr>
          <w:p w14:paraId="589F0960"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6837899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35A5ED93"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33" w:type="dxa"/>
            <w:shd w:val="clear" w:color="auto" w:fill="3366FF"/>
          </w:tcPr>
          <w:p w14:paraId="3997EF14" w14:textId="77777777" w:rsidR="00EE745F" w:rsidRPr="00172913" w:rsidRDefault="00EE745F" w:rsidP="004818FA">
            <w:pPr>
              <w:autoSpaceDE w:val="0"/>
              <w:autoSpaceDN w:val="0"/>
              <w:adjustRightInd w:val="0"/>
              <w:spacing w:after="60" w:line="264" w:lineRule="auto"/>
              <w:jc w:val="both"/>
              <w:rPr>
                <w:sz w:val="20"/>
                <w:szCs w:val="20"/>
                <w:lang w:val="en-GB"/>
              </w:rPr>
            </w:pPr>
          </w:p>
        </w:tc>
        <w:tc>
          <w:tcPr>
            <w:tcW w:w="454" w:type="dxa"/>
            <w:shd w:val="clear" w:color="auto" w:fill="3366FF"/>
          </w:tcPr>
          <w:p w14:paraId="14BBA178" w14:textId="77777777" w:rsidR="00EE745F" w:rsidRPr="00172913" w:rsidRDefault="00EE745F" w:rsidP="004818FA">
            <w:pPr>
              <w:autoSpaceDE w:val="0"/>
              <w:autoSpaceDN w:val="0"/>
              <w:adjustRightInd w:val="0"/>
              <w:spacing w:after="60" w:line="264" w:lineRule="auto"/>
              <w:jc w:val="both"/>
              <w:rPr>
                <w:sz w:val="20"/>
                <w:szCs w:val="20"/>
                <w:lang w:val="en-GB"/>
              </w:rPr>
            </w:pPr>
          </w:p>
        </w:tc>
      </w:tr>
    </w:tbl>
    <w:p w14:paraId="6F54E099" w14:textId="77777777" w:rsidR="00EE745F" w:rsidRDefault="00EE745F" w:rsidP="00EE745F">
      <w:pPr>
        <w:autoSpaceDE w:val="0"/>
        <w:autoSpaceDN w:val="0"/>
        <w:adjustRightInd w:val="0"/>
        <w:spacing w:after="60" w:line="264" w:lineRule="auto"/>
        <w:jc w:val="both"/>
        <w:rPr>
          <w:sz w:val="22"/>
          <w:szCs w:val="22"/>
          <w:lang w:val="en-GB"/>
        </w:rPr>
      </w:pPr>
    </w:p>
    <w:p w14:paraId="26393369" w14:textId="77777777" w:rsidR="00EE745F" w:rsidRPr="00F62747" w:rsidRDefault="004816B7" w:rsidP="00EE745F">
      <w:pPr>
        <w:pStyle w:val="Heading3"/>
        <w:spacing w:before="200" w:line="264" w:lineRule="auto"/>
        <w:rPr>
          <w:b/>
          <w:sz w:val="28"/>
          <w:szCs w:val="28"/>
          <w:lang w:val="en-GB"/>
        </w:rPr>
      </w:pPr>
      <w:bookmarkStart w:id="112" w:name="_Toc273563317"/>
      <w:bookmarkStart w:id="113" w:name="_Toc273788699"/>
      <w:bookmarkStart w:id="114" w:name="_Toc402864390"/>
      <w:bookmarkStart w:id="115" w:name="_Toc423436310"/>
      <w:r>
        <w:rPr>
          <w:b/>
          <w:sz w:val="28"/>
          <w:szCs w:val="28"/>
          <w:lang w:val="en-GB"/>
        </w:rPr>
        <w:t xml:space="preserve">8.3 </w:t>
      </w:r>
      <w:r w:rsidR="00EE745F" w:rsidRPr="00F62747">
        <w:rPr>
          <w:b/>
          <w:sz w:val="28"/>
          <w:szCs w:val="28"/>
          <w:lang w:val="en-GB"/>
        </w:rPr>
        <w:t>Technical assistance</w:t>
      </w:r>
      <w:bookmarkEnd w:id="112"/>
      <w:bookmarkEnd w:id="113"/>
      <w:bookmarkEnd w:id="114"/>
      <w:r w:rsidR="002C0004" w:rsidRPr="00F62747">
        <w:rPr>
          <w:b/>
          <w:sz w:val="28"/>
          <w:szCs w:val="28"/>
          <w:lang w:val="en-GB"/>
        </w:rPr>
        <w:t xml:space="preserve"> (TA)</w:t>
      </w:r>
      <w:bookmarkEnd w:id="115"/>
    </w:p>
    <w:p w14:paraId="7B761749" w14:textId="77777777" w:rsidR="008D40A7" w:rsidRPr="008D40A7" w:rsidRDefault="008D40A7" w:rsidP="00C30CD2">
      <w:pPr>
        <w:rPr>
          <w:sz w:val="4"/>
          <w:szCs w:val="4"/>
          <w:highlight w:val="green"/>
          <w:lang w:val="en-GB"/>
        </w:rPr>
      </w:pPr>
    </w:p>
    <w:p w14:paraId="7C684B0B" w14:textId="77777777" w:rsidR="004E311C" w:rsidRDefault="004E311C" w:rsidP="00A75CE5">
      <w:pPr>
        <w:spacing w:after="120" w:line="240" w:lineRule="auto"/>
        <w:ind w:right="-58"/>
        <w:jc w:val="both"/>
        <w:rPr>
          <w:rFonts w:asciiTheme="majorHAnsi" w:eastAsia="Times New Roman" w:hAnsiTheme="majorHAnsi" w:cs="Times New Roman"/>
          <w:sz w:val="22"/>
          <w:szCs w:val="22"/>
          <w:lang w:val="en-GB" w:eastAsia="en-US"/>
        </w:rPr>
      </w:pPr>
      <w:proofErr w:type="gramStart"/>
      <w:r w:rsidRPr="004E311C">
        <w:rPr>
          <w:rFonts w:asciiTheme="majorHAnsi" w:eastAsia="Times New Roman" w:hAnsiTheme="majorHAnsi" w:cs="Times New Roman"/>
          <w:sz w:val="22"/>
          <w:szCs w:val="22"/>
          <w:lang w:val="en-GB" w:eastAsia="en-US"/>
        </w:rPr>
        <w:t>According with art.</w:t>
      </w:r>
      <w:proofErr w:type="gramEnd"/>
      <w:r w:rsidRPr="004E311C">
        <w:rPr>
          <w:rFonts w:asciiTheme="majorHAnsi" w:eastAsia="Times New Roman" w:hAnsiTheme="majorHAnsi" w:cs="Times New Roman"/>
          <w:sz w:val="22"/>
          <w:szCs w:val="22"/>
          <w:lang w:val="en-GB" w:eastAsia="en-US"/>
        </w:rPr>
        <w:t xml:space="preserve"> </w:t>
      </w:r>
      <w:r>
        <w:rPr>
          <w:rFonts w:asciiTheme="majorHAnsi" w:eastAsia="Times New Roman" w:hAnsiTheme="majorHAnsi" w:cs="Times New Roman"/>
          <w:sz w:val="22"/>
          <w:szCs w:val="22"/>
          <w:lang w:val="en-GB" w:eastAsia="en-US"/>
        </w:rPr>
        <w:t>34</w:t>
      </w:r>
      <w:r w:rsidRPr="004E311C">
        <w:rPr>
          <w:rFonts w:asciiTheme="majorHAnsi" w:eastAsia="Times New Roman" w:hAnsiTheme="majorHAnsi" w:cs="Times New Roman"/>
          <w:sz w:val="22"/>
          <w:szCs w:val="22"/>
          <w:lang w:val="en-GB" w:eastAsia="en-US"/>
        </w:rPr>
        <w:t xml:space="preserve"> of Regulation (EU) No.897/2014</w:t>
      </w:r>
      <w:r>
        <w:rPr>
          <w:rFonts w:asciiTheme="majorHAnsi" w:eastAsia="Times New Roman" w:hAnsiTheme="majorHAnsi" w:cs="Times New Roman"/>
          <w:sz w:val="22"/>
          <w:szCs w:val="22"/>
          <w:lang w:val="en-GB" w:eastAsia="en-US"/>
        </w:rPr>
        <w:t xml:space="preserve">, </w:t>
      </w:r>
      <w:r w:rsidR="006718A3">
        <w:rPr>
          <w:rFonts w:asciiTheme="majorHAnsi" w:eastAsia="Times New Roman" w:hAnsiTheme="majorHAnsi" w:cs="Times New Roman"/>
          <w:sz w:val="22"/>
          <w:szCs w:val="22"/>
          <w:lang w:val="en-GB" w:eastAsia="en-US"/>
        </w:rPr>
        <w:t xml:space="preserve">a </w:t>
      </w:r>
      <w:r w:rsidR="006718A3" w:rsidRPr="006718A3">
        <w:rPr>
          <w:rFonts w:asciiTheme="majorHAnsi" w:eastAsia="Times New Roman" w:hAnsiTheme="majorHAnsi" w:cs="Times New Roman"/>
          <w:sz w:val="22"/>
          <w:szCs w:val="22"/>
          <w:lang w:val="en-GB" w:eastAsia="en-US"/>
        </w:rPr>
        <w:t>maximum of 10 % of the Union's total contribution may be allocated to technical assistance</w:t>
      </w:r>
    </w:p>
    <w:p w14:paraId="4813EB31" w14:textId="77777777" w:rsidR="004E311C" w:rsidRDefault="004E311C" w:rsidP="00A75CE5">
      <w:pPr>
        <w:spacing w:after="120" w:line="240" w:lineRule="auto"/>
        <w:ind w:right="-58"/>
        <w:jc w:val="both"/>
        <w:rPr>
          <w:rFonts w:asciiTheme="majorHAnsi" w:eastAsia="Times New Roman" w:hAnsiTheme="majorHAnsi" w:cs="Times New Roman"/>
          <w:sz w:val="22"/>
          <w:szCs w:val="22"/>
          <w:lang w:val="en-GB" w:eastAsia="en-US"/>
        </w:rPr>
      </w:pPr>
      <w:r>
        <w:rPr>
          <w:rFonts w:asciiTheme="majorHAnsi" w:eastAsia="Times New Roman" w:hAnsiTheme="majorHAnsi" w:cs="Times New Roman"/>
          <w:sz w:val="22"/>
          <w:szCs w:val="22"/>
          <w:lang w:val="en-GB" w:eastAsia="en-US"/>
        </w:rPr>
        <w:t>Although t</w:t>
      </w:r>
      <w:r w:rsidRPr="004E311C">
        <w:rPr>
          <w:rFonts w:asciiTheme="majorHAnsi" w:eastAsia="Times New Roman" w:hAnsiTheme="majorHAnsi" w:cs="Times New Roman"/>
          <w:sz w:val="22"/>
          <w:szCs w:val="22"/>
          <w:lang w:val="en-GB" w:eastAsia="en-US"/>
        </w:rPr>
        <w:t>he vastness of the eli</w:t>
      </w:r>
      <w:r>
        <w:rPr>
          <w:rFonts w:asciiTheme="majorHAnsi" w:eastAsia="Times New Roman" w:hAnsiTheme="majorHAnsi" w:cs="Times New Roman"/>
          <w:sz w:val="22"/>
          <w:szCs w:val="22"/>
          <w:lang w:val="en-GB" w:eastAsia="en-US"/>
        </w:rPr>
        <w:t xml:space="preserve">gible territory and the large number of partners expected to be involved in the projects </w:t>
      </w:r>
      <w:r w:rsidRPr="004E311C">
        <w:rPr>
          <w:rFonts w:asciiTheme="majorHAnsi" w:eastAsia="Times New Roman" w:hAnsiTheme="majorHAnsi" w:cs="Times New Roman"/>
          <w:sz w:val="22"/>
          <w:szCs w:val="22"/>
          <w:lang w:val="en-GB" w:eastAsia="en-US"/>
        </w:rPr>
        <w:t xml:space="preserve">makes programme implementation </w:t>
      </w:r>
      <w:r>
        <w:rPr>
          <w:rFonts w:asciiTheme="majorHAnsi" w:eastAsia="Times New Roman" w:hAnsiTheme="majorHAnsi" w:cs="Times New Roman"/>
          <w:sz w:val="22"/>
          <w:szCs w:val="22"/>
          <w:lang w:val="en-GB" w:eastAsia="en-US"/>
        </w:rPr>
        <w:t xml:space="preserve">very </w:t>
      </w:r>
      <w:r w:rsidRPr="004E311C">
        <w:rPr>
          <w:rFonts w:asciiTheme="majorHAnsi" w:eastAsia="Times New Roman" w:hAnsiTheme="majorHAnsi" w:cs="Times New Roman"/>
          <w:sz w:val="22"/>
          <w:szCs w:val="22"/>
          <w:lang w:val="en-GB" w:eastAsia="en-US"/>
        </w:rPr>
        <w:t xml:space="preserve">demanding in </w:t>
      </w:r>
      <w:r w:rsidR="006718A3">
        <w:rPr>
          <w:rFonts w:asciiTheme="majorHAnsi" w:eastAsia="Times New Roman" w:hAnsiTheme="majorHAnsi" w:cs="Times New Roman"/>
          <w:sz w:val="22"/>
          <w:szCs w:val="22"/>
          <w:lang w:val="en-GB" w:eastAsia="en-US"/>
        </w:rPr>
        <w:t>terms of</w:t>
      </w:r>
      <w:r w:rsidRPr="004E311C">
        <w:rPr>
          <w:rFonts w:asciiTheme="majorHAnsi" w:eastAsia="Times New Roman" w:hAnsiTheme="majorHAnsi" w:cs="Times New Roman"/>
          <w:sz w:val="22"/>
          <w:szCs w:val="22"/>
          <w:lang w:val="en-GB" w:eastAsia="en-US"/>
        </w:rPr>
        <w:t xml:space="preserve"> financi</w:t>
      </w:r>
      <w:r>
        <w:rPr>
          <w:rFonts w:asciiTheme="majorHAnsi" w:eastAsia="Times New Roman" w:hAnsiTheme="majorHAnsi" w:cs="Times New Roman"/>
          <w:sz w:val="22"/>
          <w:szCs w:val="22"/>
          <w:lang w:val="en-GB" w:eastAsia="en-US"/>
        </w:rPr>
        <w:t xml:space="preserve">al </w:t>
      </w:r>
      <w:r w:rsidR="006718A3">
        <w:rPr>
          <w:rFonts w:asciiTheme="majorHAnsi" w:eastAsia="Times New Roman" w:hAnsiTheme="majorHAnsi" w:cs="Times New Roman"/>
          <w:sz w:val="22"/>
          <w:szCs w:val="22"/>
          <w:lang w:val="en-GB" w:eastAsia="en-US"/>
        </w:rPr>
        <w:t>resources</w:t>
      </w:r>
      <w:r>
        <w:rPr>
          <w:rFonts w:asciiTheme="majorHAnsi" w:eastAsia="Times New Roman" w:hAnsiTheme="majorHAnsi" w:cs="Times New Roman"/>
          <w:sz w:val="22"/>
          <w:szCs w:val="22"/>
          <w:lang w:val="en-GB" w:eastAsia="en-US"/>
        </w:rPr>
        <w:t xml:space="preserve">, in order to give priority to projects, </w:t>
      </w:r>
      <w:r w:rsidRPr="00C30CD2">
        <w:rPr>
          <w:rFonts w:asciiTheme="majorHAnsi" w:eastAsia="Times New Roman" w:hAnsiTheme="majorHAnsi" w:cs="Times New Roman"/>
          <w:sz w:val="22"/>
          <w:szCs w:val="22"/>
          <w:lang w:val="en-GB" w:eastAsia="en-US"/>
        </w:rPr>
        <w:t>initially</w:t>
      </w:r>
      <w:r w:rsidR="00A75CE5" w:rsidRPr="00C30CD2">
        <w:rPr>
          <w:rFonts w:asciiTheme="majorHAnsi" w:eastAsia="Times New Roman" w:hAnsiTheme="majorHAnsi" w:cs="Times New Roman"/>
          <w:sz w:val="22"/>
          <w:szCs w:val="22"/>
          <w:lang w:val="en-GB" w:eastAsia="en-US"/>
        </w:rPr>
        <w:t>, a 10 % of the Union's total contribution shall be allocated to techni</w:t>
      </w:r>
      <w:r>
        <w:rPr>
          <w:rFonts w:asciiTheme="majorHAnsi" w:eastAsia="Times New Roman" w:hAnsiTheme="majorHAnsi" w:cs="Times New Roman"/>
          <w:sz w:val="22"/>
          <w:szCs w:val="22"/>
          <w:lang w:val="en-GB" w:eastAsia="en-US"/>
        </w:rPr>
        <w:t xml:space="preserve">cal assistance of the programme. </w:t>
      </w:r>
    </w:p>
    <w:p w14:paraId="0E1F25EE" w14:textId="77777777" w:rsidR="00FE36B4" w:rsidRDefault="00FE36B4" w:rsidP="00FE36B4">
      <w:pPr>
        <w:spacing w:after="120" w:line="240" w:lineRule="auto"/>
        <w:ind w:right="-58"/>
        <w:jc w:val="both"/>
        <w:rPr>
          <w:rFonts w:asciiTheme="majorHAnsi" w:eastAsia="Times New Roman" w:hAnsiTheme="majorHAnsi" w:cs="Times New Roman"/>
          <w:sz w:val="22"/>
          <w:szCs w:val="22"/>
          <w:lang w:val="en-GB" w:eastAsia="en-US"/>
        </w:rPr>
      </w:pPr>
      <w:r w:rsidRPr="00DA607C">
        <w:rPr>
          <w:rFonts w:asciiTheme="majorHAnsi" w:eastAsia="Times New Roman" w:hAnsiTheme="majorHAnsi" w:cs="Times New Roman"/>
          <w:sz w:val="22"/>
          <w:szCs w:val="22"/>
          <w:lang w:val="en-GB" w:eastAsia="en-US"/>
        </w:rPr>
        <w:t xml:space="preserve">In addition, according to art.12, 14 and 36 of Regulation (EU) No.897/2014, Romania and Bulgaria will co-finance the technical assistance by covering the costs of staff dedicated to the programme, as reflected in section </w:t>
      </w:r>
      <w:r w:rsidRPr="00DA607C">
        <w:rPr>
          <w:rFonts w:asciiTheme="majorHAnsi" w:eastAsia="Times New Roman" w:hAnsiTheme="majorHAnsi" w:cs="Times New Roman"/>
          <w:i/>
          <w:sz w:val="22"/>
          <w:szCs w:val="22"/>
          <w:lang w:val="en-GB" w:eastAsia="en-US"/>
        </w:rPr>
        <w:t xml:space="preserve">8.7 </w:t>
      </w:r>
      <w:proofErr w:type="gramStart"/>
      <w:r w:rsidRPr="00DA607C">
        <w:rPr>
          <w:rFonts w:asciiTheme="majorHAnsi" w:eastAsia="Times New Roman" w:hAnsiTheme="majorHAnsi" w:cs="Times New Roman"/>
          <w:i/>
          <w:sz w:val="22"/>
          <w:szCs w:val="22"/>
          <w:lang w:val="en-GB" w:eastAsia="en-US"/>
        </w:rPr>
        <w:t>Financial</w:t>
      </w:r>
      <w:proofErr w:type="gramEnd"/>
      <w:r w:rsidRPr="00DA607C">
        <w:rPr>
          <w:rFonts w:asciiTheme="majorHAnsi" w:eastAsia="Times New Roman" w:hAnsiTheme="majorHAnsi" w:cs="Times New Roman"/>
          <w:i/>
          <w:sz w:val="22"/>
          <w:szCs w:val="22"/>
          <w:lang w:val="en-GB" w:eastAsia="en-US"/>
        </w:rPr>
        <w:t xml:space="preserve"> plan</w:t>
      </w:r>
      <w:r w:rsidRPr="00DA607C">
        <w:rPr>
          <w:rFonts w:asciiTheme="majorHAnsi" w:eastAsia="Times New Roman" w:hAnsiTheme="majorHAnsi" w:cs="Times New Roman"/>
          <w:sz w:val="22"/>
          <w:szCs w:val="22"/>
          <w:lang w:val="en-GB" w:eastAsia="en-US"/>
        </w:rPr>
        <w:t>.</w:t>
      </w:r>
      <w:r w:rsidRPr="00012C59">
        <w:rPr>
          <w:rFonts w:asciiTheme="majorHAnsi" w:eastAsia="Times New Roman" w:hAnsiTheme="majorHAnsi" w:cs="Times New Roman"/>
          <w:sz w:val="22"/>
          <w:szCs w:val="22"/>
          <w:lang w:val="en-GB" w:eastAsia="en-US"/>
        </w:rPr>
        <w:t xml:space="preserve"> </w:t>
      </w:r>
    </w:p>
    <w:p w14:paraId="3F329CEE" w14:textId="77777777" w:rsidR="00A75CE5" w:rsidRDefault="004E311C" w:rsidP="00A75CE5">
      <w:pPr>
        <w:spacing w:after="120" w:line="240" w:lineRule="auto"/>
        <w:ind w:right="-58"/>
        <w:jc w:val="both"/>
        <w:rPr>
          <w:rFonts w:asciiTheme="majorHAnsi" w:eastAsia="Times New Roman" w:hAnsiTheme="majorHAnsi" w:cs="Times New Roman"/>
          <w:sz w:val="22"/>
          <w:szCs w:val="22"/>
          <w:lang w:val="en-GB" w:eastAsia="en-US"/>
        </w:rPr>
      </w:pPr>
      <w:r>
        <w:rPr>
          <w:rFonts w:asciiTheme="majorHAnsi" w:eastAsia="Times New Roman" w:hAnsiTheme="majorHAnsi" w:cs="Times New Roman"/>
          <w:sz w:val="22"/>
          <w:szCs w:val="22"/>
          <w:lang w:val="en-GB" w:eastAsia="en-US"/>
        </w:rPr>
        <w:t>Nevertheless,</w:t>
      </w:r>
      <w:r w:rsidR="00A75CE5" w:rsidRPr="00C30CD2">
        <w:rPr>
          <w:rFonts w:asciiTheme="majorHAnsi" w:eastAsia="Times New Roman" w:hAnsiTheme="majorHAnsi" w:cs="Times New Roman"/>
          <w:sz w:val="22"/>
          <w:szCs w:val="22"/>
          <w:lang w:val="en-GB" w:eastAsia="en-US"/>
        </w:rPr>
        <w:t xml:space="preserve"> during the implementation stage</w:t>
      </w:r>
      <w:r>
        <w:rPr>
          <w:rFonts w:asciiTheme="majorHAnsi" w:eastAsia="Times New Roman" w:hAnsiTheme="majorHAnsi" w:cs="Times New Roman"/>
          <w:sz w:val="22"/>
          <w:szCs w:val="22"/>
          <w:lang w:val="en-GB" w:eastAsia="en-US"/>
        </w:rPr>
        <w:t xml:space="preserve">, based on the budget execution at projects level and also taking into account the final deadline for contracting, </w:t>
      </w:r>
      <w:r w:rsidR="00A75CE5" w:rsidRPr="00C30CD2">
        <w:rPr>
          <w:rFonts w:asciiTheme="majorHAnsi" w:eastAsia="Times New Roman" w:hAnsiTheme="majorHAnsi" w:cs="Times New Roman"/>
          <w:sz w:val="22"/>
          <w:szCs w:val="22"/>
          <w:lang w:val="en-GB" w:eastAsia="en-US"/>
        </w:rPr>
        <w:t xml:space="preserve">upon </w:t>
      </w:r>
      <w:r w:rsidR="00563509" w:rsidRPr="00C30CD2">
        <w:rPr>
          <w:rFonts w:asciiTheme="majorHAnsi" w:eastAsia="Times New Roman" w:hAnsiTheme="majorHAnsi" w:cs="Times New Roman"/>
          <w:sz w:val="22"/>
          <w:szCs w:val="22"/>
          <w:lang w:val="en-GB" w:eastAsia="en-US"/>
        </w:rPr>
        <w:t>a</w:t>
      </w:r>
      <w:r w:rsidR="00A75CE5" w:rsidRPr="00C30CD2">
        <w:rPr>
          <w:rFonts w:asciiTheme="majorHAnsi" w:eastAsia="Times New Roman" w:hAnsiTheme="majorHAnsi" w:cs="Times New Roman"/>
          <w:sz w:val="22"/>
          <w:szCs w:val="22"/>
          <w:lang w:val="en-GB" w:eastAsia="en-US"/>
        </w:rPr>
        <w:t xml:space="preserve"> needs analysis, the amount may be modified, according with art. </w:t>
      </w:r>
      <w:proofErr w:type="gramStart"/>
      <w:r w:rsidR="00A75CE5" w:rsidRPr="00C30CD2">
        <w:rPr>
          <w:rFonts w:asciiTheme="majorHAnsi" w:eastAsia="Times New Roman" w:hAnsiTheme="majorHAnsi" w:cs="Times New Roman"/>
          <w:sz w:val="22"/>
          <w:szCs w:val="22"/>
          <w:lang w:val="en-GB" w:eastAsia="en-US"/>
        </w:rPr>
        <w:t>6 of Regulation (EU) No.897/2014.</w:t>
      </w:r>
      <w:proofErr w:type="gramEnd"/>
      <w:r w:rsidR="00A75CE5" w:rsidRPr="00C30CD2">
        <w:rPr>
          <w:rFonts w:asciiTheme="majorHAnsi" w:eastAsia="Times New Roman" w:hAnsiTheme="majorHAnsi" w:cs="Times New Roman"/>
          <w:sz w:val="22"/>
          <w:szCs w:val="22"/>
          <w:lang w:val="en-GB" w:eastAsia="en-US"/>
        </w:rPr>
        <w:t xml:space="preserve"> </w:t>
      </w:r>
    </w:p>
    <w:p w14:paraId="13BB200B" w14:textId="2111F93A" w:rsidR="000446F6" w:rsidRPr="00C30CD2" w:rsidRDefault="002C0004" w:rsidP="00A75CE5">
      <w:pPr>
        <w:spacing w:after="120" w:line="240" w:lineRule="auto"/>
        <w:ind w:right="-58"/>
        <w:jc w:val="both"/>
        <w:rPr>
          <w:rFonts w:asciiTheme="majorHAnsi" w:eastAsia="Times New Roman" w:hAnsiTheme="majorHAnsi" w:cs="Times New Roman"/>
          <w:sz w:val="22"/>
          <w:szCs w:val="22"/>
          <w:lang w:val="en-GB" w:eastAsia="en-US"/>
        </w:rPr>
      </w:pPr>
      <w:r>
        <w:rPr>
          <w:rFonts w:asciiTheme="majorHAnsi" w:eastAsia="Times New Roman" w:hAnsiTheme="majorHAnsi" w:cs="Times New Roman"/>
          <w:sz w:val="22"/>
          <w:szCs w:val="22"/>
          <w:lang w:val="en-GB" w:eastAsia="en-US"/>
        </w:rPr>
        <w:lastRenderedPageBreak/>
        <w:t xml:space="preserve">On the other hand, </w:t>
      </w:r>
      <w:r w:rsidR="000446F6">
        <w:rPr>
          <w:rFonts w:asciiTheme="majorHAnsi" w:eastAsia="Times New Roman" w:hAnsiTheme="majorHAnsi" w:cs="Times New Roman"/>
          <w:sz w:val="22"/>
          <w:szCs w:val="22"/>
          <w:lang w:val="en-GB" w:eastAsia="en-US"/>
        </w:rPr>
        <w:t>t</w:t>
      </w:r>
      <w:r w:rsidR="000446F6" w:rsidRPr="000446F6">
        <w:rPr>
          <w:rFonts w:asciiTheme="majorHAnsi" w:eastAsia="Times New Roman" w:hAnsiTheme="majorHAnsi" w:cs="Times New Roman"/>
          <w:sz w:val="22"/>
          <w:szCs w:val="22"/>
          <w:lang w:val="en-GB" w:eastAsia="en-US"/>
        </w:rPr>
        <w:t>he EC has indicated that there will be an EU T</w:t>
      </w:r>
      <w:r w:rsidR="000446F6">
        <w:rPr>
          <w:rFonts w:asciiTheme="majorHAnsi" w:eastAsia="Times New Roman" w:hAnsiTheme="majorHAnsi" w:cs="Times New Roman"/>
          <w:sz w:val="22"/>
          <w:szCs w:val="22"/>
          <w:lang w:val="en-GB" w:eastAsia="en-US"/>
        </w:rPr>
        <w:t>ech</w:t>
      </w:r>
      <w:r w:rsidR="00DB6AFF">
        <w:rPr>
          <w:rFonts w:asciiTheme="majorHAnsi" w:eastAsia="Times New Roman" w:hAnsiTheme="majorHAnsi" w:cs="Times New Roman"/>
          <w:sz w:val="22"/>
          <w:szCs w:val="22"/>
          <w:lang w:val="en-GB" w:eastAsia="en-US"/>
        </w:rPr>
        <w:t>n</w:t>
      </w:r>
      <w:r w:rsidR="000446F6">
        <w:rPr>
          <w:rFonts w:asciiTheme="majorHAnsi" w:eastAsia="Times New Roman" w:hAnsiTheme="majorHAnsi" w:cs="Times New Roman"/>
          <w:sz w:val="22"/>
          <w:szCs w:val="22"/>
          <w:lang w:val="en-GB" w:eastAsia="en-US"/>
        </w:rPr>
        <w:t xml:space="preserve">ical </w:t>
      </w:r>
      <w:r w:rsidR="000446F6" w:rsidRPr="000446F6">
        <w:rPr>
          <w:rFonts w:asciiTheme="majorHAnsi" w:eastAsia="Times New Roman" w:hAnsiTheme="majorHAnsi" w:cs="Times New Roman"/>
          <w:sz w:val="22"/>
          <w:szCs w:val="22"/>
          <w:lang w:val="en-GB" w:eastAsia="en-US"/>
        </w:rPr>
        <w:t>A</w:t>
      </w:r>
      <w:r w:rsidR="000446F6">
        <w:rPr>
          <w:rFonts w:asciiTheme="majorHAnsi" w:eastAsia="Times New Roman" w:hAnsiTheme="majorHAnsi" w:cs="Times New Roman"/>
          <w:sz w:val="22"/>
          <w:szCs w:val="22"/>
          <w:lang w:val="en-GB" w:eastAsia="en-US"/>
        </w:rPr>
        <w:t>ssistance</w:t>
      </w:r>
      <w:r w:rsidR="000446F6" w:rsidRPr="000446F6">
        <w:rPr>
          <w:rFonts w:asciiTheme="majorHAnsi" w:eastAsia="Times New Roman" w:hAnsiTheme="majorHAnsi" w:cs="Times New Roman"/>
          <w:sz w:val="22"/>
          <w:szCs w:val="22"/>
          <w:lang w:val="en-GB" w:eastAsia="en-US"/>
        </w:rPr>
        <w:t xml:space="preserve"> project for the 2014-2020 programmes</w:t>
      </w:r>
      <w:r>
        <w:rPr>
          <w:rFonts w:asciiTheme="majorHAnsi" w:eastAsia="Times New Roman" w:hAnsiTheme="majorHAnsi" w:cs="Times New Roman"/>
          <w:sz w:val="22"/>
          <w:szCs w:val="22"/>
          <w:lang w:val="en-GB" w:eastAsia="en-US"/>
        </w:rPr>
        <w:t xml:space="preserve">, </w:t>
      </w:r>
      <w:r w:rsidR="006718A3">
        <w:rPr>
          <w:rFonts w:asciiTheme="majorHAnsi" w:eastAsia="Times New Roman" w:hAnsiTheme="majorHAnsi" w:cs="Times New Roman"/>
          <w:sz w:val="22"/>
          <w:szCs w:val="22"/>
          <w:lang w:val="en-GB" w:eastAsia="en-US"/>
        </w:rPr>
        <w:t xml:space="preserve">therefore </w:t>
      </w:r>
      <w:r w:rsidR="000446F6" w:rsidRPr="000446F6">
        <w:rPr>
          <w:rFonts w:asciiTheme="majorHAnsi" w:eastAsia="Times New Roman" w:hAnsiTheme="majorHAnsi" w:cs="Times New Roman"/>
          <w:sz w:val="22"/>
          <w:szCs w:val="22"/>
          <w:lang w:val="en-GB" w:eastAsia="en-US"/>
        </w:rPr>
        <w:t xml:space="preserve">it is anticipated that </w:t>
      </w:r>
      <w:r w:rsidR="000446F6">
        <w:rPr>
          <w:rFonts w:asciiTheme="majorHAnsi" w:eastAsia="Times New Roman" w:hAnsiTheme="majorHAnsi" w:cs="Times New Roman"/>
          <w:sz w:val="22"/>
          <w:szCs w:val="22"/>
          <w:lang w:val="en-GB" w:eastAsia="en-US"/>
        </w:rPr>
        <w:t xml:space="preserve">support will be provided </w:t>
      </w:r>
      <w:r>
        <w:rPr>
          <w:rFonts w:asciiTheme="majorHAnsi" w:eastAsia="Times New Roman" w:hAnsiTheme="majorHAnsi" w:cs="Times New Roman"/>
          <w:sz w:val="22"/>
          <w:szCs w:val="22"/>
          <w:lang w:val="en-GB" w:eastAsia="en-US"/>
        </w:rPr>
        <w:t xml:space="preserve">also </w:t>
      </w:r>
      <w:r w:rsidR="000446F6" w:rsidRPr="000446F6">
        <w:rPr>
          <w:rFonts w:asciiTheme="majorHAnsi" w:eastAsia="Times New Roman" w:hAnsiTheme="majorHAnsi" w:cs="Times New Roman"/>
          <w:sz w:val="22"/>
          <w:szCs w:val="22"/>
          <w:lang w:val="en-GB" w:eastAsia="en-US"/>
        </w:rPr>
        <w:t>by this project</w:t>
      </w:r>
      <w:r>
        <w:rPr>
          <w:rFonts w:asciiTheme="majorHAnsi" w:eastAsia="Times New Roman" w:hAnsiTheme="majorHAnsi" w:cs="Times New Roman"/>
          <w:sz w:val="22"/>
          <w:szCs w:val="22"/>
          <w:lang w:val="en-GB" w:eastAsia="en-US"/>
        </w:rPr>
        <w:t xml:space="preserve">, especially for communication and training activities. </w:t>
      </w:r>
    </w:p>
    <w:p w14:paraId="0CC907B6" w14:textId="77777777" w:rsidR="00A75CE5" w:rsidRPr="00C30CD2" w:rsidRDefault="00A75CE5" w:rsidP="00A75CE5">
      <w:pPr>
        <w:spacing w:after="120" w:line="240" w:lineRule="auto"/>
        <w:ind w:right="-58"/>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In accordance with art.35(1) of the Regulation (EU) No.897/2014, the TA budget shall support the preparation, management, monitoring, evaluation, information, communication, networking, complaint resolution, control and audit activities related to the implementation of the programme and activities to strengthen the administrative capacity for implementing the programme.</w:t>
      </w:r>
    </w:p>
    <w:p w14:paraId="1739900F" w14:textId="77777777" w:rsidR="00A75CE5" w:rsidRPr="00C30CD2" w:rsidRDefault="00A75CE5" w:rsidP="00A75CE5">
      <w:pPr>
        <w:spacing w:after="120" w:line="240" w:lineRule="auto"/>
        <w:ind w:right="-58"/>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Technical assistance shall be used for the needs of both programme structures and beneficiaries.</w:t>
      </w:r>
    </w:p>
    <w:p w14:paraId="1658591B" w14:textId="77777777" w:rsidR="00A75CE5" w:rsidRPr="00C30CD2" w:rsidRDefault="00A75CE5" w:rsidP="00A75CE5">
      <w:pPr>
        <w:spacing w:after="120" w:line="240" w:lineRule="auto"/>
        <w:ind w:right="-58"/>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The main indicative activities planned to be implemented from the technical assistance budget are described below:</w:t>
      </w:r>
    </w:p>
    <w:p w14:paraId="565F297D" w14:textId="77777777" w:rsidR="00A75CE5" w:rsidRPr="00C30CD2" w:rsidRDefault="00A75CE5" w:rsidP="00424EC1">
      <w:pPr>
        <w:numPr>
          <w:ilvl w:val="0"/>
          <w:numId w:val="75"/>
        </w:numPr>
        <w:spacing w:before="60" w:after="0" w:line="240" w:lineRule="auto"/>
        <w:ind w:left="357" w:right="-57" w:hanging="3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 xml:space="preserve">Support </w:t>
      </w:r>
      <w:r w:rsidR="0047766E" w:rsidRPr="00C30CD2">
        <w:rPr>
          <w:rFonts w:asciiTheme="majorHAnsi" w:eastAsia="Times New Roman" w:hAnsiTheme="majorHAnsi" w:cs="Times New Roman"/>
          <w:sz w:val="22"/>
          <w:szCs w:val="22"/>
          <w:lang w:val="en-GB" w:eastAsia="en-US"/>
        </w:rPr>
        <w:t xml:space="preserve">to </w:t>
      </w:r>
      <w:r w:rsidRPr="00C30CD2">
        <w:rPr>
          <w:rFonts w:asciiTheme="majorHAnsi" w:eastAsia="Times New Roman" w:hAnsiTheme="majorHAnsi" w:cs="Times New Roman"/>
          <w:sz w:val="22"/>
          <w:szCs w:val="22"/>
          <w:lang w:val="en-GB" w:eastAsia="en-US"/>
        </w:rPr>
        <w:t xml:space="preserve">the programme’s bodies (JMC, MA, NAs, </w:t>
      </w:r>
      <w:proofErr w:type="spellStart"/>
      <w:r w:rsidRPr="00C30CD2">
        <w:rPr>
          <w:rFonts w:asciiTheme="majorHAnsi" w:eastAsia="Times New Roman" w:hAnsiTheme="majorHAnsi" w:cs="Times New Roman"/>
          <w:sz w:val="22"/>
          <w:szCs w:val="22"/>
          <w:lang w:val="en-GB" w:eastAsia="en-US"/>
        </w:rPr>
        <w:t>AA&amp;GoA</w:t>
      </w:r>
      <w:proofErr w:type="spellEnd"/>
      <w:r w:rsidRPr="00C30CD2">
        <w:rPr>
          <w:rFonts w:asciiTheme="majorHAnsi" w:eastAsia="Times New Roman" w:hAnsiTheme="majorHAnsi" w:cs="Times New Roman"/>
          <w:sz w:val="22"/>
          <w:szCs w:val="22"/>
          <w:lang w:val="en-GB" w:eastAsia="en-US"/>
        </w:rPr>
        <w:t xml:space="preserve">, CCP and SC) for fulfilling their tasks related to the management, implementation, monitoring, evaluation, audit and control of the programme, </w:t>
      </w:r>
    </w:p>
    <w:p w14:paraId="1BC78198" w14:textId="77777777" w:rsidR="00A75CE5" w:rsidRPr="00C30CD2" w:rsidRDefault="00A75CE5" w:rsidP="00424EC1">
      <w:pPr>
        <w:numPr>
          <w:ilvl w:val="0"/>
          <w:numId w:val="75"/>
        </w:numPr>
        <w:spacing w:before="60" w:after="0" w:line="240" w:lineRule="auto"/>
        <w:ind w:left="357" w:right="-57" w:hanging="3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Establishment and functioning of the Joint Technical Secretariat;</w:t>
      </w:r>
    </w:p>
    <w:p w14:paraId="4FC36E3F" w14:textId="77777777" w:rsidR="00A75CE5" w:rsidRPr="00C30CD2" w:rsidRDefault="00A75CE5" w:rsidP="00424EC1">
      <w:pPr>
        <w:numPr>
          <w:ilvl w:val="0"/>
          <w:numId w:val="75"/>
        </w:numPr>
        <w:spacing w:before="60" w:after="0" w:line="240" w:lineRule="auto"/>
        <w:ind w:left="357" w:right="-57" w:hanging="3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Supporting partner search initiatives and the enhancement of the potential applicants’ capacity to submit relevant project</w:t>
      </w:r>
      <w:r w:rsidR="0047766E" w:rsidRPr="00C30CD2">
        <w:rPr>
          <w:rFonts w:asciiTheme="majorHAnsi" w:eastAsia="Times New Roman" w:hAnsiTheme="majorHAnsi" w:cs="Times New Roman"/>
          <w:sz w:val="22"/>
          <w:szCs w:val="22"/>
          <w:lang w:val="en-GB" w:eastAsia="en-US"/>
        </w:rPr>
        <w:t xml:space="preserve"> applications</w:t>
      </w:r>
      <w:r w:rsidRPr="00C30CD2">
        <w:rPr>
          <w:rFonts w:asciiTheme="majorHAnsi" w:eastAsia="Times New Roman" w:hAnsiTheme="majorHAnsi" w:cs="Times New Roman"/>
          <w:sz w:val="22"/>
          <w:szCs w:val="22"/>
          <w:lang w:val="en-GB" w:eastAsia="en-US"/>
        </w:rPr>
        <w:t>, contributing to the programme objectives and expected results;</w:t>
      </w:r>
    </w:p>
    <w:p w14:paraId="17695269" w14:textId="77777777" w:rsidR="00A75CE5" w:rsidRPr="00C30CD2" w:rsidRDefault="00A75CE5" w:rsidP="00424EC1">
      <w:pPr>
        <w:numPr>
          <w:ilvl w:val="0"/>
          <w:numId w:val="75"/>
        </w:numPr>
        <w:spacing w:before="60" w:after="0" w:line="240" w:lineRule="auto"/>
        <w:ind w:left="357" w:right="-57" w:hanging="3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Strengthening beneficiaries’ capacity for an efficient and effective management of the projects;</w:t>
      </w:r>
    </w:p>
    <w:p w14:paraId="3E8B52B9" w14:textId="77777777" w:rsidR="00A75CE5" w:rsidRPr="00C30CD2" w:rsidRDefault="00A75CE5" w:rsidP="00424EC1">
      <w:pPr>
        <w:numPr>
          <w:ilvl w:val="0"/>
          <w:numId w:val="75"/>
        </w:numPr>
        <w:spacing w:before="60" w:after="0" w:line="240" w:lineRule="auto"/>
        <w:ind w:left="357" w:right="-57" w:hanging="3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 xml:space="preserve">Supporting the activities related to information and promotion of the programme and capitalization of its results, as they are presented in the </w:t>
      </w:r>
      <w:r w:rsidRPr="00C30CD2">
        <w:rPr>
          <w:rFonts w:asciiTheme="majorHAnsi" w:eastAsia="Times New Roman" w:hAnsiTheme="majorHAnsi" w:cs="Times New Roman"/>
          <w:i/>
          <w:sz w:val="22"/>
          <w:szCs w:val="22"/>
          <w:lang w:val="en-GB" w:eastAsia="en-US"/>
        </w:rPr>
        <w:t>Communication Strategy</w:t>
      </w:r>
      <w:r w:rsidRPr="00C30CD2">
        <w:rPr>
          <w:rFonts w:asciiTheme="majorHAnsi" w:eastAsia="Times New Roman" w:hAnsiTheme="majorHAnsi" w:cs="Times New Roman"/>
          <w:sz w:val="22"/>
          <w:szCs w:val="22"/>
          <w:lang w:val="en-GB" w:eastAsia="en-US"/>
        </w:rPr>
        <w:t xml:space="preserve">. </w:t>
      </w:r>
    </w:p>
    <w:p w14:paraId="01F14F1D" w14:textId="77777777" w:rsidR="00A75CE5" w:rsidRPr="00C30CD2" w:rsidRDefault="00A75CE5" w:rsidP="00424EC1">
      <w:pPr>
        <w:tabs>
          <w:tab w:val="left" w:pos="540"/>
          <w:tab w:val="right" w:pos="7560"/>
        </w:tabs>
        <w:spacing w:before="120" w:after="0" w:line="240" w:lineRule="auto"/>
        <w:ind w:right="-57"/>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 xml:space="preserve">The TA activities will be implemented by the MA, JTS and AA and the related contracts shall be awarded according with the national public procurement legislation of </w:t>
      </w:r>
      <w:r w:rsidR="0047766E" w:rsidRPr="00C30CD2">
        <w:rPr>
          <w:rFonts w:asciiTheme="majorHAnsi" w:eastAsia="Times New Roman" w:hAnsiTheme="majorHAnsi" w:cs="Times New Roman"/>
          <w:sz w:val="22"/>
          <w:szCs w:val="22"/>
          <w:lang w:val="en-GB" w:eastAsia="en-US"/>
        </w:rPr>
        <w:t xml:space="preserve">Romania, </w:t>
      </w:r>
      <w:r w:rsidRPr="00C30CD2">
        <w:rPr>
          <w:rFonts w:asciiTheme="majorHAnsi" w:eastAsia="Times New Roman" w:hAnsiTheme="majorHAnsi" w:cs="Times New Roman"/>
          <w:sz w:val="22"/>
          <w:szCs w:val="22"/>
          <w:lang w:val="en-GB" w:eastAsia="en-US"/>
        </w:rPr>
        <w:t>the country hosting the MA, JTS and AA, which is in line with EU public procurement requirements.</w:t>
      </w:r>
    </w:p>
    <w:p w14:paraId="2174BF17" w14:textId="77777777" w:rsidR="00A75CE5" w:rsidRPr="00C30CD2" w:rsidRDefault="00A75CE5" w:rsidP="00A75CE5">
      <w:pPr>
        <w:spacing w:after="120" w:line="240" w:lineRule="auto"/>
        <w:ind w:right="-58"/>
        <w:jc w:val="both"/>
        <w:rPr>
          <w:rFonts w:asciiTheme="majorHAnsi" w:eastAsia="Times New Roman" w:hAnsiTheme="majorHAnsi" w:cs="Times New Roman"/>
          <w:color w:val="0070C0"/>
          <w:sz w:val="22"/>
          <w:szCs w:val="22"/>
          <w:lang w:val="en-GB" w:eastAsia="en-US"/>
        </w:rPr>
      </w:pPr>
      <w:r w:rsidRPr="00C30CD2">
        <w:rPr>
          <w:rFonts w:asciiTheme="majorHAnsi" w:eastAsia="Times New Roman" w:hAnsiTheme="majorHAnsi" w:cs="Times New Roman"/>
          <w:sz w:val="22"/>
          <w:szCs w:val="22"/>
          <w:lang w:val="en-GB" w:eastAsia="en-US"/>
        </w:rPr>
        <w:t xml:space="preserve">However, if during the programme implementation, the circumstances will require the implementation of TA activities by other programme bodies, the procurement procedures applicable shall be those described in art. </w:t>
      </w:r>
      <w:proofErr w:type="gramStart"/>
      <w:r w:rsidRPr="00C30CD2">
        <w:rPr>
          <w:rFonts w:asciiTheme="majorHAnsi" w:eastAsia="Times New Roman" w:hAnsiTheme="majorHAnsi" w:cs="Times New Roman"/>
          <w:sz w:val="22"/>
          <w:szCs w:val="22"/>
          <w:lang w:val="en-GB" w:eastAsia="en-US"/>
        </w:rPr>
        <w:t>37(1) of the Regulation (EU) No.897/2014.</w:t>
      </w:r>
      <w:proofErr w:type="gramEnd"/>
    </w:p>
    <w:p w14:paraId="16D387A3" w14:textId="77777777" w:rsidR="00A75CE5" w:rsidRPr="00C30CD2" w:rsidRDefault="00A75CE5" w:rsidP="00A75CE5">
      <w:pPr>
        <w:tabs>
          <w:tab w:val="left" w:pos="540"/>
          <w:tab w:val="right" w:pos="7560"/>
        </w:tabs>
        <w:spacing w:after="120" w:line="240" w:lineRule="auto"/>
        <w:ind w:right="-58"/>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 xml:space="preserve">Eligibility requirements set out in Article 48 of the Regulation (EU) No.897/2014 apply mutatis mutandis to technical assistance costs. </w:t>
      </w:r>
    </w:p>
    <w:p w14:paraId="4C073E1F" w14:textId="77777777" w:rsidR="00A75CE5" w:rsidRPr="00C30CD2" w:rsidRDefault="00A75CE5" w:rsidP="00A75CE5">
      <w:pPr>
        <w:tabs>
          <w:tab w:val="left" w:pos="540"/>
          <w:tab w:val="right" w:pos="7560"/>
        </w:tabs>
        <w:spacing w:after="120" w:line="240" w:lineRule="auto"/>
        <w:ind w:right="-54"/>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Costs referred to in Article 49 of the Regulation (EU) No.897/2014 shall not be considered eligible as technical assistance costs.</w:t>
      </w:r>
    </w:p>
    <w:p w14:paraId="4CE71728" w14:textId="5BC98D41" w:rsidR="00A75CE5" w:rsidRPr="00C30CD2" w:rsidRDefault="00A75CE5" w:rsidP="00A75CE5">
      <w:pPr>
        <w:tabs>
          <w:tab w:val="left" w:pos="540"/>
          <w:tab w:val="right" w:pos="7560"/>
        </w:tabs>
        <w:spacing w:after="120" w:line="240" w:lineRule="auto"/>
        <w:ind w:right="-54"/>
        <w:jc w:val="both"/>
        <w:rPr>
          <w:rFonts w:asciiTheme="majorHAnsi" w:eastAsia="Times New Roman" w:hAnsiTheme="majorHAnsi" w:cs="Times New Roman"/>
          <w:sz w:val="22"/>
          <w:szCs w:val="22"/>
          <w:lang w:val="en-GB" w:eastAsia="en-US"/>
        </w:rPr>
      </w:pPr>
      <w:r w:rsidRPr="00C30CD2">
        <w:rPr>
          <w:rFonts w:asciiTheme="majorHAnsi" w:eastAsia="Times New Roman" w:hAnsiTheme="majorHAnsi" w:cs="Times New Roman"/>
          <w:sz w:val="22"/>
          <w:szCs w:val="22"/>
          <w:lang w:val="en-GB" w:eastAsia="en-US"/>
        </w:rPr>
        <w:t>Costs for preparatory actions shall be eligible upon submission of the programme to the Commission, provided the programme is approved by the Commission</w:t>
      </w:r>
      <w:r w:rsidR="00BA4249">
        <w:rPr>
          <w:rFonts w:asciiTheme="majorHAnsi" w:eastAsia="Times New Roman" w:hAnsiTheme="majorHAnsi" w:cs="Times New Roman"/>
          <w:sz w:val="22"/>
          <w:szCs w:val="22"/>
          <w:lang w:val="en-GB" w:eastAsia="en-US"/>
        </w:rPr>
        <w:t>. Th</w:t>
      </w:r>
      <w:r w:rsidR="00303960">
        <w:rPr>
          <w:rFonts w:asciiTheme="majorHAnsi" w:eastAsia="Times New Roman" w:hAnsiTheme="majorHAnsi" w:cs="Times New Roman"/>
          <w:sz w:val="22"/>
          <w:szCs w:val="22"/>
          <w:lang w:val="en-GB" w:eastAsia="en-US"/>
        </w:rPr>
        <w:t>e</w:t>
      </w:r>
      <w:r w:rsidR="00BA4249">
        <w:rPr>
          <w:rFonts w:asciiTheme="majorHAnsi" w:eastAsia="Times New Roman" w:hAnsiTheme="majorHAnsi" w:cs="Times New Roman"/>
          <w:sz w:val="22"/>
          <w:szCs w:val="22"/>
          <w:lang w:val="en-GB" w:eastAsia="en-US"/>
        </w:rPr>
        <w:t xml:space="preserve"> preparatory actions envisaged to be covered</w:t>
      </w:r>
      <w:r w:rsidR="00DB5A09">
        <w:rPr>
          <w:rFonts w:asciiTheme="majorHAnsi" w:eastAsia="Times New Roman" w:hAnsiTheme="majorHAnsi" w:cs="Times New Roman"/>
          <w:sz w:val="22"/>
          <w:szCs w:val="22"/>
          <w:lang w:val="en-GB" w:eastAsia="en-US"/>
        </w:rPr>
        <w:t xml:space="preserve"> </w:t>
      </w:r>
      <w:r w:rsidR="00BA4249">
        <w:rPr>
          <w:rFonts w:asciiTheme="majorHAnsi" w:eastAsia="Times New Roman" w:hAnsiTheme="majorHAnsi" w:cs="Times New Roman"/>
          <w:sz w:val="22"/>
          <w:szCs w:val="22"/>
          <w:lang w:val="en-GB" w:eastAsia="en-US"/>
        </w:rPr>
        <w:t>are mainly those</w:t>
      </w:r>
      <w:r w:rsidR="00DB5A09">
        <w:rPr>
          <w:rFonts w:asciiTheme="majorHAnsi" w:eastAsia="Times New Roman" w:hAnsiTheme="majorHAnsi" w:cs="Times New Roman"/>
          <w:sz w:val="22"/>
          <w:szCs w:val="22"/>
          <w:lang w:val="en-GB" w:eastAsia="en-US"/>
        </w:rPr>
        <w:t xml:space="preserve"> </w:t>
      </w:r>
      <w:r w:rsidR="00BA4249">
        <w:rPr>
          <w:rFonts w:asciiTheme="majorHAnsi" w:eastAsia="Times New Roman" w:hAnsiTheme="majorHAnsi" w:cs="Times New Roman"/>
          <w:sz w:val="22"/>
          <w:szCs w:val="22"/>
          <w:lang w:val="en-GB" w:eastAsia="en-US"/>
        </w:rPr>
        <w:t>necessary</w:t>
      </w:r>
      <w:r w:rsidR="00DB5A09">
        <w:rPr>
          <w:rFonts w:asciiTheme="majorHAnsi" w:eastAsia="Times New Roman" w:hAnsiTheme="majorHAnsi" w:cs="Times New Roman"/>
          <w:sz w:val="22"/>
          <w:szCs w:val="22"/>
          <w:lang w:val="en-GB" w:eastAsia="en-US"/>
        </w:rPr>
        <w:t xml:space="preserve"> for the e</w:t>
      </w:r>
      <w:r w:rsidR="00DB5A09" w:rsidRPr="00DB5A09">
        <w:rPr>
          <w:rFonts w:asciiTheme="majorHAnsi" w:eastAsia="Times New Roman" w:hAnsiTheme="majorHAnsi" w:cs="Times New Roman"/>
          <w:sz w:val="22"/>
          <w:szCs w:val="22"/>
          <w:lang w:val="en-GB" w:eastAsia="en-US"/>
        </w:rPr>
        <w:t>stablishment of the Joint Technical Secretaria</w:t>
      </w:r>
      <w:r w:rsidR="00BA4249">
        <w:rPr>
          <w:rFonts w:asciiTheme="majorHAnsi" w:eastAsia="Times New Roman" w:hAnsiTheme="majorHAnsi" w:cs="Times New Roman"/>
          <w:sz w:val="22"/>
          <w:szCs w:val="22"/>
          <w:lang w:val="en-GB" w:eastAsia="en-US"/>
        </w:rPr>
        <w:t>t</w:t>
      </w:r>
      <w:r w:rsidR="00303960">
        <w:rPr>
          <w:rFonts w:asciiTheme="majorHAnsi" w:eastAsia="Times New Roman" w:hAnsiTheme="majorHAnsi" w:cs="Times New Roman"/>
          <w:sz w:val="22"/>
          <w:szCs w:val="22"/>
          <w:lang w:val="en-GB" w:eastAsia="en-US"/>
        </w:rPr>
        <w:t xml:space="preserve"> and</w:t>
      </w:r>
      <w:r w:rsidR="00BA4249">
        <w:rPr>
          <w:rFonts w:asciiTheme="majorHAnsi" w:eastAsia="Times New Roman" w:hAnsiTheme="majorHAnsi" w:cs="Times New Roman"/>
          <w:sz w:val="22"/>
          <w:szCs w:val="22"/>
          <w:lang w:val="en-GB" w:eastAsia="en-US"/>
        </w:rPr>
        <w:t xml:space="preserve"> th</w:t>
      </w:r>
      <w:r w:rsidR="008D65DF">
        <w:rPr>
          <w:rFonts w:asciiTheme="majorHAnsi" w:eastAsia="Times New Roman" w:hAnsiTheme="majorHAnsi" w:cs="Times New Roman"/>
          <w:sz w:val="22"/>
          <w:szCs w:val="22"/>
          <w:lang w:val="en-GB" w:eastAsia="en-US"/>
        </w:rPr>
        <w:t>e</w:t>
      </w:r>
      <w:r w:rsidR="00BA4249">
        <w:rPr>
          <w:rFonts w:asciiTheme="majorHAnsi" w:eastAsia="Times New Roman" w:hAnsiTheme="majorHAnsi" w:cs="Times New Roman"/>
          <w:sz w:val="22"/>
          <w:szCs w:val="22"/>
          <w:lang w:val="en-GB" w:eastAsia="en-US"/>
        </w:rPr>
        <w:t xml:space="preserve"> organization of the first JMC meeting</w:t>
      </w:r>
      <w:r w:rsidR="00303960">
        <w:rPr>
          <w:rFonts w:asciiTheme="majorHAnsi" w:eastAsia="Times New Roman" w:hAnsiTheme="majorHAnsi" w:cs="Times New Roman"/>
          <w:sz w:val="22"/>
          <w:szCs w:val="22"/>
          <w:lang w:val="en-GB" w:eastAsia="en-US"/>
        </w:rPr>
        <w:t>, nevertheless other costs may be covered upon the needs, in accordance with</w:t>
      </w:r>
      <w:r w:rsidR="00F53582">
        <w:rPr>
          <w:rFonts w:asciiTheme="majorHAnsi" w:eastAsia="Times New Roman" w:hAnsiTheme="majorHAnsi" w:cs="Times New Roman"/>
          <w:sz w:val="22"/>
          <w:szCs w:val="22"/>
          <w:lang w:val="en-GB" w:eastAsia="en-US"/>
        </w:rPr>
        <w:t xml:space="preserve"> </w:t>
      </w:r>
      <w:r w:rsidR="00F53582" w:rsidRPr="00F53582">
        <w:rPr>
          <w:rFonts w:asciiTheme="majorHAnsi" w:eastAsia="Times New Roman" w:hAnsiTheme="majorHAnsi" w:cs="Times New Roman"/>
          <w:sz w:val="22"/>
          <w:szCs w:val="22"/>
          <w:lang w:val="en-GB" w:eastAsia="en-US"/>
        </w:rPr>
        <w:t>articles 35 and 3</w:t>
      </w:r>
      <w:r w:rsidR="00C2030C">
        <w:rPr>
          <w:rFonts w:asciiTheme="majorHAnsi" w:eastAsia="Times New Roman" w:hAnsiTheme="majorHAnsi" w:cs="Times New Roman"/>
          <w:sz w:val="22"/>
          <w:szCs w:val="22"/>
          <w:lang w:val="en-GB" w:eastAsia="en-US"/>
        </w:rPr>
        <w:t>6</w:t>
      </w:r>
      <w:r w:rsidR="00F53582" w:rsidRPr="00F53582">
        <w:rPr>
          <w:rFonts w:asciiTheme="majorHAnsi" w:eastAsia="Times New Roman" w:hAnsiTheme="majorHAnsi" w:cs="Times New Roman"/>
          <w:sz w:val="22"/>
          <w:szCs w:val="22"/>
          <w:lang w:val="en-GB" w:eastAsia="en-US"/>
        </w:rPr>
        <w:t xml:space="preserve"> of the Regulation (EU) No.8</w:t>
      </w:r>
      <w:r w:rsidR="00F53582">
        <w:rPr>
          <w:rFonts w:asciiTheme="majorHAnsi" w:eastAsia="Times New Roman" w:hAnsiTheme="majorHAnsi" w:cs="Times New Roman"/>
          <w:sz w:val="22"/>
          <w:szCs w:val="22"/>
          <w:lang w:val="en-GB" w:eastAsia="en-US"/>
        </w:rPr>
        <w:t>97/</w:t>
      </w:r>
      <w:proofErr w:type="gramStart"/>
      <w:r w:rsidR="00F53582" w:rsidRPr="00F53582">
        <w:rPr>
          <w:rFonts w:asciiTheme="majorHAnsi" w:eastAsia="Times New Roman" w:hAnsiTheme="majorHAnsi" w:cs="Times New Roman"/>
          <w:sz w:val="22"/>
          <w:szCs w:val="22"/>
          <w:lang w:val="en-GB" w:eastAsia="en-US"/>
        </w:rPr>
        <w:t>2014 .</w:t>
      </w:r>
      <w:proofErr w:type="gramEnd"/>
      <w:r w:rsidRPr="00C30CD2">
        <w:rPr>
          <w:rFonts w:asciiTheme="majorHAnsi" w:eastAsia="Times New Roman" w:hAnsiTheme="majorHAnsi" w:cs="Times New Roman"/>
          <w:sz w:val="22"/>
          <w:szCs w:val="22"/>
          <w:lang w:val="en-GB" w:eastAsia="en-US"/>
        </w:rPr>
        <w:t xml:space="preserve"> </w:t>
      </w:r>
    </w:p>
    <w:p w14:paraId="587048F3" w14:textId="77777777" w:rsidR="00D818B3" w:rsidRDefault="008C3B54" w:rsidP="009479CB">
      <w:pPr>
        <w:spacing w:after="120" w:line="240" w:lineRule="auto"/>
        <w:jc w:val="both"/>
        <w:rPr>
          <w:rFonts w:cs="Times New Roman"/>
          <w:sz w:val="22"/>
          <w:szCs w:val="22"/>
          <w:lang w:val="en-GB" w:eastAsia="en-GB"/>
        </w:rPr>
      </w:pPr>
      <w:bookmarkStart w:id="116" w:name="_Toc402864391"/>
      <w:bookmarkStart w:id="117" w:name="_Toc273563318"/>
      <w:bookmarkStart w:id="118" w:name="_Toc273788700"/>
      <w:r w:rsidRPr="00682784">
        <w:rPr>
          <w:rFonts w:cs="Times New Roman"/>
          <w:sz w:val="22"/>
          <w:szCs w:val="22"/>
          <w:lang w:val="en-GB" w:eastAsia="en-GB"/>
        </w:rPr>
        <w:t>The overall indicative TA budget is inserted below.</w:t>
      </w:r>
    </w:p>
    <w:p w14:paraId="0B841E32" w14:textId="77777777" w:rsidR="00FF5431" w:rsidRDefault="00FF5431" w:rsidP="009479CB">
      <w:pPr>
        <w:spacing w:after="120" w:line="240" w:lineRule="auto"/>
        <w:jc w:val="both"/>
        <w:rPr>
          <w:rFonts w:cs="Times New Roman"/>
          <w:sz w:val="22"/>
          <w:szCs w:val="22"/>
          <w:lang w:val="en-GB" w:eastAsia="en-GB"/>
        </w:rPr>
      </w:pPr>
    </w:p>
    <w:p w14:paraId="6687092D" w14:textId="77777777" w:rsidR="00FF5431" w:rsidRDefault="00FF5431" w:rsidP="009479CB">
      <w:pPr>
        <w:spacing w:after="120" w:line="240" w:lineRule="auto"/>
        <w:jc w:val="both"/>
        <w:rPr>
          <w:rFonts w:cs="Times New Roman"/>
          <w:sz w:val="22"/>
          <w:szCs w:val="22"/>
          <w:lang w:val="en-GB" w:eastAsia="en-GB"/>
        </w:rPr>
      </w:pPr>
    </w:p>
    <w:p w14:paraId="6577F935" w14:textId="77777777" w:rsidR="00FF5431" w:rsidRDefault="00FF5431" w:rsidP="009479CB">
      <w:pPr>
        <w:spacing w:after="120" w:line="240" w:lineRule="auto"/>
        <w:jc w:val="both"/>
        <w:rPr>
          <w:rFonts w:cs="Times New Roman"/>
          <w:sz w:val="22"/>
          <w:szCs w:val="22"/>
          <w:lang w:val="en-GB" w:eastAsia="en-GB"/>
        </w:rPr>
      </w:pPr>
    </w:p>
    <w:p w14:paraId="46A05BBE" w14:textId="77777777" w:rsidR="00FF5431" w:rsidRDefault="00FF5431" w:rsidP="009479CB">
      <w:pPr>
        <w:spacing w:after="120" w:line="240" w:lineRule="auto"/>
        <w:jc w:val="both"/>
        <w:rPr>
          <w:rFonts w:cs="Times New Roman"/>
          <w:sz w:val="22"/>
          <w:szCs w:val="22"/>
          <w:lang w:val="en-GB" w:eastAsia="en-GB"/>
        </w:rPr>
      </w:pPr>
    </w:p>
    <w:p w14:paraId="10EC5AAC" w14:textId="77777777" w:rsidR="00FF5431" w:rsidRDefault="00FF5431" w:rsidP="009479CB">
      <w:pPr>
        <w:spacing w:after="120" w:line="240" w:lineRule="auto"/>
        <w:jc w:val="both"/>
        <w:rPr>
          <w:rFonts w:cs="Times New Roman"/>
          <w:sz w:val="22"/>
          <w:szCs w:val="22"/>
          <w:lang w:val="en-GB" w:eastAsia="en-GB"/>
        </w:rPr>
      </w:pPr>
    </w:p>
    <w:p w14:paraId="565F395F" w14:textId="77777777" w:rsidR="00FF5431" w:rsidRDefault="00FF5431" w:rsidP="009479CB">
      <w:pPr>
        <w:spacing w:after="120" w:line="240" w:lineRule="auto"/>
        <w:jc w:val="both"/>
        <w:rPr>
          <w:rFonts w:cs="Times New Roman"/>
          <w:sz w:val="22"/>
          <w:szCs w:val="22"/>
          <w:lang w:val="en-GB" w:eastAsia="en-GB"/>
        </w:rPr>
      </w:pPr>
    </w:p>
    <w:p w14:paraId="1E28D6E4" w14:textId="77777777" w:rsidR="00FF5431" w:rsidRDefault="00FF5431" w:rsidP="009479CB">
      <w:pPr>
        <w:spacing w:after="120" w:line="240" w:lineRule="auto"/>
        <w:jc w:val="both"/>
        <w:rPr>
          <w:rFonts w:cs="Times New Roman"/>
          <w:sz w:val="22"/>
          <w:szCs w:val="22"/>
          <w:lang w:val="en-GB" w:eastAsia="en-GB"/>
        </w:rPr>
      </w:pPr>
    </w:p>
    <w:p w14:paraId="1FC8B974" w14:textId="77777777" w:rsidR="00FF5431" w:rsidRDefault="00FF5431" w:rsidP="009479CB">
      <w:pPr>
        <w:spacing w:after="120" w:line="240" w:lineRule="auto"/>
        <w:jc w:val="both"/>
        <w:rPr>
          <w:rFonts w:cs="Times New Roman"/>
          <w:sz w:val="22"/>
          <w:szCs w:val="22"/>
          <w:lang w:val="en-GB" w:eastAsia="en-GB"/>
        </w:rPr>
      </w:pPr>
    </w:p>
    <w:p w14:paraId="727F5BB2" w14:textId="77777777" w:rsidR="00FF5431" w:rsidRDefault="00FF5431" w:rsidP="009479CB">
      <w:pPr>
        <w:spacing w:after="120" w:line="240" w:lineRule="auto"/>
        <w:jc w:val="both"/>
        <w:rPr>
          <w:rFonts w:cs="Times New Roman"/>
          <w:sz w:val="22"/>
          <w:szCs w:val="22"/>
          <w:lang w:val="en-GB" w:eastAsia="en-GB"/>
        </w:rPr>
      </w:pPr>
    </w:p>
    <w:p w14:paraId="1AEDC396" w14:textId="77777777" w:rsidR="00FF5431" w:rsidRDefault="00FF5431" w:rsidP="009479CB">
      <w:pPr>
        <w:spacing w:after="120" w:line="240" w:lineRule="auto"/>
        <w:jc w:val="both"/>
        <w:rPr>
          <w:rFonts w:cs="Times New Roman"/>
          <w:sz w:val="22"/>
          <w:szCs w:val="22"/>
          <w:lang w:val="en-GB" w:eastAsia="en-GB"/>
        </w:rPr>
      </w:pPr>
    </w:p>
    <w:p w14:paraId="2E751800" w14:textId="77777777" w:rsidR="00FF5431" w:rsidRDefault="00FF5431" w:rsidP="009479CB">
      <w:pPr>
        <w:spacing w:after="120" w:line="240" w:lineRule="auto"/>
        <w:jc w:val="both"/>
        <w:rPr>
          <w:rFonts w:cs="Times New Roman"/>
          <w:sz w:val="22"/>
          <w:szCs w:val="22"/>
          <w:lang w:val="en-GB" w:eastAsia="en-GB"/>
        </w:rPr>
      </w:pPr>
    </w:p>
    <w:p w14:paraId="66AB6FF0" w14:textId="77777777" w:rsidR="008D40A7" w:rsidRDefault="008D40A7" w:rsidP="008D40A7">
      <w:pPr>
        <w:spacing w:after="0"/>
        <w:rPr>
          <w:b/>
          <w:sz w:val="22"/>
          <w:szCs w:val="22"/>
        </w:rPr>
      </w:pPr>
      <w:r w:rsidRPr="00462BB1">
        <w:rPr>
          <w:b/>
          <w:sz w:val="22"/>
          <w:szCs w:val="22"/>
        </w:rPr>
        <w:t xml:space="preserve">2014-2020 Indicative </w:t>
      </w:r>
      <w:proofErr w:type="spellStart"/>
      <w:r w:rsidRPr="00462BB1">
        <w:rPr>
          <w:b/>
          <w:sz w:val="22"/>
          <w:szCs w:val="22"/>
        </w:rPr>
        <w:t>Technical</w:t>
      </w:r>
      <w:proofErr w:type="spellEnd"/>
      <w:r w:rsidRPr="00462BB1">
        <w:rPr>
          <w:b/>
          <w:sz w:val="22"/>
          <w:szCs w:val="22"/>
        </w:rPr>
        <w:t xml:space="preserve"> Assistance budget</w:t>
      </w:r>
    </w:p>
    <w:p w14:paraId="29B0ADAC" w14:textId="77777777" w:rsidR="00FF5431" w:rsidRDefault="00FF5431" w:rsidP="008D40A7">
      <w:pPr>
        <w:spacing w:after="0"/>
        <w:rPr>
          <w:b/>
          <w:sz w:val="22"/>
          <w:szCs w:val="22"/>
        </w:rPr>
      </w:pPr>
    </w:p>
    <w:tbl>
      <w:tblPr>
        <w:tblStyle w:val="LightShading-Accent41"/>
        <w:tblW w:w="9180" w:type="dxa"/>
        <w:tblLayout w:type="fixed"/>
        <w:tblLook w:val="04A0" w:firstRow="1" w:lastRow="0" w:firstColumn="1" w:lastColumn="0" w:noHBand="0" w:noVBand="1"/>
      </w:tblPr>
      <w:tblGrid>
        <w:gridCol w:w="5637"/>
        <w:gridCol w:w="850"/>
        <w:gridCol w:w="709"/>
        <w:gridCol w:w="850"/>
        <w:gridCol w:w="993"/>
        <w:gridCol w:w="141"/>
      </w:tblGrid>
      <w:tr w:rsidR="00FF5431" w:rsidRPr="00FF5431" w14:paraId="43830C48" w14:textId="77777777" w:rsidTr="00111BED">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487" w:type="dxa"/>
            <w:gridSpan w:val="2"/>
            <w:hideMark/>
          </w:tcPr>
          <w:p w14:paraId="4D4ABD76" w14:textId="77777777" w:rsidR="00FF5431" w:rsidRPr="00FF5431" w:rsidRDefault="00FF5431" w:rsidP="00FF5431">
            <w:pPr>
              <w:jc w:val="center"/>
              <w:rPr>
                <w:rFonts w:eastAsia="Times New Roman" w:cs="Arial"/>
                <w:color w:val="000000"/>
                <w:sz w:val="22"/>
                <w:szCs w:val="22"/>
                <w:lang w:val="en-GB" w:eastAsia="en-GB"/>
              </w:rPr>
            </w:pPr>
            <w:r w:rsidRPr="00FF5431">
              <w:rPr>
                <w:rFonts w:eastAsia="Times New Roman" w:cs="Arial"/>
                <w:color w:val="000000"/>
                <w:sz w:val="22"/>
                <w:szCs w:val="22"/>
                <w:lang w:val="en-GB" w:eastAsia="en-GB"/>
              </w:rPr>
              <w:t>Budget categories</w:t>
            </w:r>
          </w:p>
        </w:tc>
        <w:tc>
          <w:tcPr>
            <w:tcW w:w="1559" w:type="dxa"/>
            <w:gridSpan w:val="2"/>
            <w:hideMark/>
          </w:tcPr>
          <w:p w14:paraId="47532B56" w14:textId="77777777" w:rsidR="00FF5431" w:rsidRPr="00FF5431" w:rsidRDefault="00FF5431" w:rsidP="00111BED">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szCs w:val="22"/>
                <w:lang w:val="en-GB" w:eastAsia="en-GB"/>
              </w:rPr>
            </w:pPr>
            <w:r w:rsidRPr="00FF5431">
              <w:rPr>
                <w:rFonts w:eastAsia="Times New Roman" w:cs="Arial"/>
                <w:color w:val="000000"/>
                <w:sz w:val="22"/>
                <w:szCs w:val="22"/>
                <w:lang w:val="en-GB" w:eastAsia="en-GB"/>
              </w:rPr>
              <w:t>2015-2024 (€)</w:t>
            </w:r>
          </w:p>
        </w:tc>
        <w:tc>
          <w:tcPr>
            <w:tcW w:w="1134" w:type="dxa"/>
            <w:gridSpan w:val="2"/>
            <w:hideMark/>
          </w:tcPr>
          <w:p w14:paraId="5CB2696B" w14:textId="77777777" w:rsidR="00FF5431" w:rsidRPr="00FF5431" w:rsidRDefault="00FF5431" w:rsidP="00FF5431">
            <w:pPr>
              <w:jc w:val="righ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2"/>
                <w:szCs w:val="22"/>
                <w:lang w:val="en-GB" w:eastAsia="en-GB"/>
              </w:rPr>
            </w:pPr>
            <w:r w:rsidRPr="00FF5431">
              <w:rPr>
                <w:rFonts w:eastAsia="Times New Roman" w:cs="Arial"/>
                <w:color w:val="000000"/>
                <w:sz w:val="22"/>
                <w:szCs w:val="22"/>
                <w:lang w:val="en-GB" w:eastAsia="en-GB"/>
              </w:rPr>
              <w:t>%</w:t>
            </w:r>
          </w:p>
        </w:tc>
      </w:tr>
      <w:tr w:rsidR="00111BED" w:rsidRPr="009518DB" w14:paraId="6C7B25CA" w14:textId="77777777" w:rsidTr="00111BED">
        <w:trPr>
          <w:gridAfter w:val="1"/>
          <w:cnfStyle w:val="000000100000" w:firstRow="0" w:lastRow="0" w:firstColumn="0" w:lastColumn="0" w:oddVBand="0" w:evenVBand="0" w:oddHBand="1" w:evenHBand="0" w:firstRowFirstColumn="0" w:firstRowLastColumn="0" w:lastRowFirstColumn="0" w:lastRowLastColumn="0"/>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bottom w:val="nil"/>
            </w:tcBorders>
            <w:shd w:val="clear" w:color="auto" w:fill="auto"/>
            <w:noWrap/>
            <w:hideMark/>
          </w:tcPr>
          <w:p w14:paraId="157AFAE7" w14:textId="7ADDD158" w:rsidR="00FF5431" w:rsidRPr="00FF5431" w:rsidRDefault="00FF5431" w:rsidP="00FF5431">
            <w:pPr>
              <w:rPr>
                <w:rFonts w:eastAsia="Times New Roman" w:cs="Arial"/>
                <w:color w:val="000000"/>
                <w:sz w:val="22"/>
                <w:szCs w:val="22"/>
                <w:lang w:val="en-GB" w:eastAsia="en-GB"/>
              </w:rPr>
            </w:pPr>
            <w:r w:rsidRPr="009518DB">
              <w:rPr>
                <w:rFonts w:eastAsia="Times New Roman" w:cs="Arial"/>
                <w:color w:val="000000"/>
                <w:sz w:val="22"/>
                <w:szCs w:val="22"/>
                <w:lang w:val="en-GB" w:eastAsia="en-GB"/>
              </w:rPr>
              <w:t>TOTAL</w:t>
            </w:r>
          </w:p>
        </w:tc>
        <w:tc>
          <w:tcPr>
            <w:tcW w:w="1559" w:type="dxa"/>
            <w:gridSpan w:val="2"/>
            <w:tcBorders>
              <w:top w:val="nil"/>
              <w:bottom w:val="nil"/>
            </w:tcBorders>
            <w:shd w:val="clear" w:color="auto" w:fill="auto"/>
            <w:noWrap/>
            <w:hideMark/>
          </w:tcPr>
          <w:p w14:paraId="29F8341B"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szCs w:val="22"/>
                <w:lang w:val="en-GB" w:eastAsia="en-GB"/>
              </w:rPr>
            </w:pPr>
            <w:r w:rsidRPr="00FF5431">
              <w:rPr>
                <w:rFonts w:eastAsia="Times New Roman" w:cs="Arial"/>
                <w:b/>
                <w:bCs/>
                <w:color w:val="000000"/>
                <w:sz w:val="22"/>
                <w:szCs w:val="22"/>
                <w:lang w:val="en-GB" w:eastAsia="en-GB"/>
              </w:rPr>
              <w:t>4,903,860</w:t>
            </w:r>
          </w:p>
        </w:tc>
        <w:tc>
          <w:tcPr>
            <w:tcW w:w="1843" w:type="dxa"/>
            <w:gridSpan w:val="2"/>
            <w:tcBorders>
              <w:top w:val="nil"/>
              <w:bottom w:val="nil"/>
            </w:tcBorders>
            <w:shd w:val="clear" w:color="auto" w:fill="auto"/>
            <w:noWrap/>
            <w:hideMark/>
          </w:tcPr>
          <w:p w14:paraId="31F3AE86"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szCs w:val="22"/>
                <w:lang w:val="en-GB" w:eastAsia="en-GB"/>
              </w:rPr>
            </w:pPr>
            <w:r w:rsidRPr="00FF5431">
              <w:rPr>
                <w:rFonts w:eastAsia="Times New Roman" w:cs="Arial"/>
                <w:b/>
                <w:bCs/>
                <w:color w:val="000000"/>
                <w:sz w:val="22"/>
                <w:szCs w:val="22"/>
                <w:lang w:val="en-GB" w:eastAsia="en-GB"/>
              </w:rPr>
              <w:t>100%</w:t>
            </w:r>
          </w:p>
        </w:tc>
      </w:tr>
      <w:tr w:rsidR="00FF5431" w:rsidRPr="00FF5431" w14:paraId="66A35971" w14:textId="77777777" w:rsidTr="00111BED">
        <w:trPr>
          <w:gridAfter w:val="1"/>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left w:val="nil"/>
              <w:bottom w:val="nil"/>
              <w:right w:val="nil"/>
            </w:tcBorders>
            <w:noWrap/>
            <w:hideMark/>
          </w:tcPr>
          <w:p w14:paraId="4B65B1CA"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 xml:space="preserve">Staff costs </w:t>
            </w:r>
            <w:r w:rsidRPr="00FF5431">
              <w:rPr>
                <w:rFonts w:eastAsia="Times New Roman" w:cs="Arial"/>
                <w:b w:val="0"/>
                <w:color w:val="000000"/>
                <w:sz w:val="22"/>
                <w:szCs w:val="22"/>
                <w:lang w:val="en-GB" w:eastAsia="en-GB"/>
              </w:rPr>
              <w:t>(JTS staff costs)</w:t>
            </w:r>
          </w:p>
        </w:tc>
        <w:tc>
          <w:tcPr>
            <w:tcW w:w="1559" w:type="dxa"/>
            <w:gridSpan w:val="2"/>
            <w:tcBorders>
              <w:top w:val="nil"/>
              <w:left w:val="nil"/>
              <w:bottom w:val="nil"/>
              <w:right w:val="nil"/>
            </w:tcBorders>
            <w:noWrap/>
            <w:hideMark/>
          </w:tcPr>
          <w:p w14:paraId="17627285"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2,223,048</w:t>
            </w:r>
          </w:p>
        </w:tc>
        <w:tc>
          <w:tcPr>
            <w:tcW w:w="1843" w:type="dxa"/>
            <w:gridSpan w:val="2"/>
            <w:tcBorders>
              <w:top w:val="nil"/>
              <w:left w:val="nil"/>
              <w:bottom w:val="nil"/>
              <w:right w:val="nil"/>
            </w:tcBorders>
            <w:noWrap/>
            <w:hideMark/>
          </w:tcPr>
          <w:p w14:paraId="36D00D84"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45.3%</w:t>
            </w:r>
          </w:p>
        </w:tc>
      </w:tr>
      <w:tr w:rsidR="00FF5431" w:rsidRPr="00FF5431" w14:paraId="74C9F6C9" w14:textId="77777777" w:rsidTr="00111BED">
        <w:trPr>
          <w:gridAfter w:val="1"/>
          <w:cnfStyle w:val="000000100000" w:firstRow="0" w:lastRow="0" w:firstColumn="0" w:lastColumn="0" w:oddVBand="0" w:evenVBand="0" w:oddHBand="1" w:evenHBand="0" w:firstRowFirstColumn="0" w:firstRowLastColumn="0" w:lastRowFirstColumn="0" w:lastRowLastColumn="0"/>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bottom w:val="nil"/>
            </w:tcBorders>
            <w:noWrap/>
            <w:hideMark/>
          </w:tcPr>
          <w:p w14:paraId="23AB31BF"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Travel costs</w:t>
            </w:r>
          </w:p>
        </w:tc>
        <w:tc>
          <w:tcPr>
            <w:tcW w:w="1559" w:type="dxa"/>
            <w:gridSpan w:val="2"/>
            <w:tcBorders>
              <w:top w:val="nil"/>
              <w:bottom w:val="nil"/>
            </w:tcBorders>
            <w:noWrap/>
            <w:hideMark/>
          </w:tcPr>
          <w:p w14:paraId="79A0433A"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860,502</w:t>
            </w:r>
          </w:p>
        </w:tc>
        <w:tc>
          <w:tcPr>
            <w:tcW w:w="1843" w:type="dxa"/>
            <w:gridSpan w:val="2"/>
            <w:tcBorders>
              <w:top w:val="nil"/>
              <w:bottom w:val="nil"/>
            </w:tcBorders>
            <w:noWrap/>
            <w:hideMark/>
          </w:tcPr>
          <w:p w14:paraId="143FF5EB"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17.5%</w:t>
            </w:r>
          </w:p>
        </w:tc>
      </w:tr>
      <w:tr w:rsidR="00FF5431" w:rsidRPr="00FF5431" w14:paraId="3E6D14BC" w14:textId="77777777" w:rsidTr="00111BED">
        <w:trPr>
          <w:gridAfter w:val="1"/>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left w:val="nil"/>
              <w:bottom w:val="nil"/>
              <w:right w:val="nil"/>
            </w:tcBorders>
            <w:noWrap/>
            <w:hideMark/>
          </w:tcPr>
          <w:p w14:paraId="030D62A0"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Equipment &amp; supplies</w:t>
            </w:r>
          </w:p>
        </w:tc>
        <w:tc>
          <w:tcPr>
            <w:tcW w:w="1559" w:type="dxa"/>
            <w:gridSpan w:val="2"/>
            <w:tcBorders>
              <w:top w:val="nil"/>
              <w:left w:val="nil"/>
              <w:bottom w:val="nil"/>
              <w:right w:val="nil"/>
            </w:tcBorders>
            <w:noWrap/>
            <w:hideMark/>
          </w:tcPr>
          <w:p w14:paraId="338D534A"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166,850</w:t>
            </w:r>
          </w:p>
        </w:tc>
        <w:tc>
          <w:tcPr>
            <w:tcW w:w="1843" w:type="dxa"/>
            <w:gridSpan w:val="2"/>
            <w:tcBorders>
              <w:top w:val="nil"/>
              <w:left w:val="nil"/>
              <w:bottom w:val="nil"/>
              <w:right w:val="nil"/>
            </w:tcBorders>
            <w:noWrap/>
            <w:hideMark/>
          </w:tcPr>
          <w:p w14:paraId="4FC11C72"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3.4%</w:t>
            </w:r>
          </w:p>
        </w:tc>
      </w:tr>
      <w:tr w:rsidR="00FF5431" w:rsidRPr="00FF5431" w14:paraId="5D5584A9" w14:textId="77777777" w:rsidTr="00111BED">
        <w:trPr>
          <w:gridAfter w:val="1"/>
          <w:cnfStyle w:val="000000100000" w:firstRow="0" w:lastRow="0" w:firstColumn="0" w:lastColumn="0" w:oddVBand="0" w:evenVBand="0" w:oddHBand="1" w:evenHBand="0" w:firstRowFirstColumn="0" w:firstRowLastColumn="0" w:lastRowFirstColumn="0" w:lastRowLastColumn="0"/>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bottom w:val="nil"/>
            </w:tcBorders>
            <w:noWrap/>
            <w:hideMark/>
          </w:tcPr>
          <w:p w14:paraId="79C14989" w14:textId="734EA045"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 xml:space="preserve">Administrative costs </w:t>
            </w:r>
            <w:r w:rsidRPr="00FF5431">
              <w:rPr>
                <w:rFonts w:eastAsia="Times New Roman" w:cs="Arial"/>
                <w:b w:val="0"/>
                <w:color w:val="000000"/>
                <w:sz w:val="22"/>
                <w:szCs w:val="22"/>
                <w:lang w:val="en-GB" w:eastAsia="en-GB"/>
              </w:rPr>
              <w:t xml:space="preserve">(ex. JTS office </w:t>
            </w:r>
            <w:proofErr w:type="spellStart"/>
            <w:r w:rsidRPr="00FF5431">
              <w:rPr>
                <w:rFonts w:eastAsia="Times New Roman" w:cs="Arial"/>
                <w:b w:val="0"/>
                <w:color w:val="000000"/>
                <w:sz w:val="22"/>
                <w:szCs w:val="22"/>
                <w:lang w:val="en-GB" w:eastAsia="en-GB"/>
              </w:rPr>
              <w:t>rent</w:t>
            </w:r>
            <w:r w:rsidRPr="00111BED">
              <w:rPr>
                <w:rFonts w:eastAsia="Times New Roman" w:cs="Arial"/>
                <w:b w:val="0"/>
                <w:color w:val="000000"/>
                <w:sz w:val="22"/>
                <w:szCs w:val="22"/>
                <w:lang w:val="en-GB" w:eastAsia="en-GB"/>
              </w:rPr>
              <w:t>,utilities</w:t>
            </w:r>
            <w:proofErr w:type="spellEnd"/>
            <w:r w:rsidRPr="00111BED">
              <w:rPr>
                <w:rFonts w:eastAsia="Times New Roman" w:cs="Arial"/>
                <w:b w:val="0"/>
                <w:color w:val="000000"/>
                <w:sz w:val="22"/>
                <w:szCs w:val="22"/>
                <w:lang w:val="en-GB" w:eastAsia="en-GB"/>
              </w:rPr>
              <w:t xml:space="preserve">, </w:t>
            </w:r>
            <w:r w:rsidRPr="00FF5431">
              <w:rPr>
                <w:rFonts w:eastAsia="Times New Roman" w:cs="Arial"/>
                <w:b w:val="0"/>
                <w:color w:val="000000"/>
                <w:sz w:val="22"/>
                <w:szCs w:val="22"/>
                <w:lang w:val="en-GB" w:eastAsia="en-GB"/>
              </w:rPr>
              <w:t xml:space="preserve">phone costs, </w:t>
            </w:r>
            <w:r w:rsidR="00111BED" w:rsidRPr="00111BED">
              <w:rPr>
                <w:rFonts w:eastAsia="Times New Roman" w:cs="Arial"/>
                <w:b w:val="0"/>
                <w:color w:val="000000"/>
                <w:sz w:val="22"/>
                <w:szCs w:val="22"/>
                <w:lang w:val="en-GB" w:eastAsia="en-GB"/>
              </w:rPr>
              <w:t>equipment maintenance</w:t>
            </w:r>
            <w:r w:rsidRPr="00FF5431">
              <w:rPr>
                <w:rFonts w:eastAsia="Times New Roman" w:cs="Arial"/>
                <w:b w:val="0"/>
                <w:color w:val="000000"/>
                <w:sz w:val="22"/>
                <w:szCs w:val="22"/>
                <w:lang w:val="en-GB" w:eastAsia="en-GB"/>
              </w:rPr>
              <w:t>)</w:t>
            </w:r>
          </w:p>
        </w:tc>
        <w:tc>
          <w:tcPr>
            <w:tcW w:w="1559" w:type="dxa"/>
            <w:gridSpan w:val="2"/>
            <w:tcBorders>
              <w:top w:val="nil"/>
              <w:bottom w:val="nil"/>
            </w:tcBorders>
            <w:noWrap/>
            <w:hideMark/>
          </w:tcPr>
          <w:p w14:paraId="072EF36D"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296,500</w:t>
            </w:r>
          </w:p>
        </w:tc>
        <w:tc>
          <w:tcPr>
            <w:tcW w:w="1843" w:type="dxa"/>
            <w:gridSpan w:val="2"/>
            <w:tcBorders>
              <w:top w:val="nil"/>
              <w:bottom w:val="nil"/>
            </w:tcBorders>
            <w:noWrap/>
            <w:hideMark/>
          </w:tcPr>
          <w:p w14:paraId="2F3D4A3B"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6.0%</w:t>
            </w:r>
          </w:p>
        </w:tc>
      </w:tr>
      <w:tr w:rsidR="00FF5431" w:rsidRPr="00FF5431" w14:paraId="7717F3D8" w14:textId="77777777" w:rsidTr="00111BED">
        <w:trPr>
          <w:gridAfter w:val="1"/>
          <w:wAfter w:w="141" w:type="dxa"/>
          <w:trHeight w:val="313"/>
        </w:trPr>
        <w:tc>
          <w:tcPr>
            <w:cnfStyle w:val="001000000000" w:firstRow="0" w:lastRow="0" w:firstColumn="1" w:lastColumn="0" w:oddVBand="0" w:evenVBand="0" w:oddHBand="0" w:evenHBand="0" w:firstRowFirstColumn="0" w:firstRowLastColumn="0" w:lastRowFirstColumn="0" w:lastRowLastColumn="0"/>
            <w:tcW w:w="5637" w:type="dxa"/>
            <w:tcBorders>
              <w:top w:val="nil"/>
              <w:left w:val="nil"/>
              <w:bottom w:val="nil"/>
              <w:right w:val="nil"/>
            </w:tcBorders>
            <w:noWrap/>
            <w:hideMark/>
          </w:tcPr>
          <w:p w14:paraId="34CF2F52"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Subcontracted services</w:t>
            </w:r>
          </w:p>
          <w:p w14:paraId="0B573429" w14:textId="77777777" w:rsidR="00FF5431" w:rsidRPr="00FF5431" w:rsidRDefault="00FF5431" w:rsidP="00FF5431">
            <w:pPr>
              <w:numPr>
                <w:ilvl w:val="0"/>
                <w:numId w:val="85"/>
              </w:numPr>
              <w:contextualSpacing/>
              <w:rPr>
                <w:rFonts w:eastAsia="Times New Roman" w:cs="Arial"/>
                <w:b w:val="0"/>
                <w:color w:val="000000"/>
                <w:sz w:val="22"/>
                <w:szCs w:val="22"/>
                <w:lang w:val="en-GB" w:eastAsia="en-GB"/>
              </w:rPr>
            </w:pPr>
            <w:r w:rsidRPr="00FF5431">
              <w:rPr>
                <w:rFonts w:eastAsia="Times New Roman" w:cs="Arial"/>
                <w:b w:val="0"/>
                <w:color w:val="000000"/>
                <w:sz w:val="22"/>
                <w:szCs w:val="22"/>
                <w:lang w:val="en-GB" w:eastAsia="en-GB"/>
              </w:rPr>
              <w:t>Organisation of events (ex. JMC/SC/</w:t>
            </w:r>
            <w:proofErr w:type="spellStart"/>
            <w:r w:rsidRPr="00FF5431">
              <w:rPr>
                <w:rFonts w:eastAsia="Times New Roman" w:cs="Arial"/>
                <w:b w:val="0"/>
                <w:color w:val="000000"/>
                <w:sz w:val="22"/>
                <w:szCs w:val="22"/>
                <w:lang w:val="en-GB" w:eastAsia="en-GB"/>
              </w:rPr>
              <w:t>GoA</w:t>
            </w:r>
            <w:proofErr w:type="spellEnd"/>
            <w:r w:rsidRPr="00FF5431">
              <w:rPr>
                <w:rFonts w:eastAsia="Times New Roman" w:cs="Arial"/>
                <w:b w:val="0"/>
                <w:color w:val="000000"/>
                <w:sz w:val="22"/>
                <w:szCs w:val="22"/>
                <w:lang w:val="en-GB" w:eastAsia="en-GB"/>
              </w:rPr>
              <w:t xml:space="preserve"> meetings)</w:t>
            </w:r>
          </w:p>
          <w:p w14:paraId="2B78B46E" w14:textId="357548D6" w:rsidR="00FF5431" w:rsidRPr="00FF5431" w:rsidRDefault="00FF5431" w:rsidP="00FF5431">
            <w:pPr>
              <w:numPr>
                <w:ilvl w:val="0"/>
                <w:numId w:val="85"/>
              </w:numPr>
              <w:contextualSpacing/>
              <w:rPr>
                <w:rFonts w:eastAsia="Times New Roman" w:cs="Arial"/>
                <w:b w:val="0"/>
                <w:color w:val="000000"/>
                <w:sz w:val="22"/>
                <w:szCs w:val="22"/>
                <w:lang w:val="en-GB" w:eastAsia="en-GB"/>
              </w:rPr>
            </w:pPr>
            <w:r w:rsidRPr="00FF5431">
              <w:rPr>
                <w:rFonts w:eastAsia="Times New Roman" w:cs="Arial"/>
                <w:b w:val="0"/>
                <w:color w:val="000000"/>
                <w:sz w:val="22"/>
                <w:szCs w:val="22"/>
                <w:lang w:val="en-GB" w:eastAsia="en-GB"/>
              </w:rPr>
              <w:t>Communication activities (ex. training of applicants</w:t>
            </w:r>
            <w:r w:rsidR="00111BED" w:rsidRPr="00111BED">
              <w:rPr>
                <w:rFonts w:eastAsia="Times New Roman" w:cs="Arial"/>
                <w:b w:val="0"/>
                <w:color w:val="000000"/>
                <w:sz w:val="22"/>
                <w:szCs w:val="22"/>
                <w:lang w:val="en-GB" w:eastAsia="en-GB"/>
              </w:rPr>
              <w:t>/beneficiaries</w:t>
            </w:r>
            <w:r w:rsidRPr="00FF5431">
              <w:rPr>
                <w:rFonts w:eastAsia="Times New Roman" w:cs="Arial"/>
                <w:b w:val="0"/>
                <w:color w:val="000000"/>
                <w:sz w:val="22"/>
                <w:szCs w:val="22"/>
                <w:lang w:val="en-GB" w:eastAsia="en-GB"/>
              </w:rPr>
              <w:t>, launching/closing conference, promotional materials, etc.)</w:t>
            </w:r>
          </w:p>
          <w:p w14:paraId="50AEA7E4" w14:textId="1DADF3F9" w:rsidR="00FF5431" w:rsidRPr="00FF5431" w:rsidRDefault="00FF5431" w:rsidP="00111BED">
            <w:pPr>
              <w:numPr>
                <w:ilvl w:val="0"/>
                <w:numId w:val="85"/>
              </w:numPr>
              <w:contextualSpacing/>
              <w:rPr>
                <w:rFonts w:eastAsia="Times New Roman" w:cs="Arial"/>
                <w:color w:val="000000"/>
                <w:sz w:val="22"/>
                <w:szCs w:val="22"/>
                <w:lang w:val="en-GB" w:eastAsia="en-GB"/>
              </w:rPr>
            </w:pPr>
            <w:r w:rsidRPr="00FF5431">
              <w:rPr>
                <w:rFonts w:eastAsia="Times New Roman" w:cs="Arial"/>
                <w:b w:val="0"/>
                <w:color w:val="000000"/>
                <w:sz w:val="22"/>
                <w:szCs w:val="22"/>
                <w:lang w:val="en-GB" w:eastAsia="en-GB"/>
              </w:rPr>
              <w:t>Other ex</w:t>
            </w:r>
            <w:r w:rsidRPr="00111BED">
              <w:rPr>
                <w:rFonts w:eastAsia="Times New Roman" w:cs="Arial"/>
                <w:b w:val="0"/>
                <w:color w:val="000000"/>
                <w:sz w:val="22"/>
                <w:szCs w:val="22"/>
                <w:lang w:val="en-GB" w:eastAsia="en-GB"/>
              </w:rPr>
              <w:t>ternal services/expertise (ex. p</w:t>
            </w:r>
            <w:r w:rsidRPr="00FF5431">
              <w:rPr>
                <w:rFonts w:eastAsia="Times New Roman" w:cs="Arial"/>
                <w:b w:val="0"/>
                <w:color w:val="000000"/>
                <w:sz w:val="22"/>
                <w:szCs w:val="22"/>
                <w:lang w:val="en-GB" w:eastAsia="en-GB"/>
              </w:rPr>
              <w:t xml:space="preserve">rojects evaluation, </w:t>
            </w:r>
            <w:r w:rsidRPr="00111BED">
              <w:rPr>
                <w:rFonts w:eastAsia="Times New Roman" w:cs="Arial"/>
                <w:b w:val="0"/>
                <w:color w:val="000000"/>
                <w:sz w:val="22"/>
                <w:szCs w:val="22"/>
                <w:lang w:val="en-GB" w:eastAsia="en-GB"/>
              </w:rPr>
              <w:t xml:space="preserve">support for on the spot </w:t>
            </w:r>
            <w:r w:rsidRPr="00FF5431">
              <w:rPr>
                <w:rFonts w:eastAsia="Times New Roman" w:cs="Arial"/>
                <w:b w:val="0"/>
                <w:color w:val="000000"/>
                <w:sz w:val="22"/>
                <w:szCs w:val="22"/>
                <w:lang w:val="en-GB" w:eastAsia="en-GB"/>
              </w:rPr>
              <w:t xml:space="preserve">verification of expenditure, </w:t>
            </w:r>
            <w:r w:rsidR="00111BED" w:rsidRPr="00111BED">
              <w:rPr>
                <w:rFonts w:eastAsia="Times New Roman" w:cs="Arial"/>
                <w:b w:val="0"/>
                <w:color w:val="000000"/>
                <w:sz w:val="22"/>
                <w:szCs w:val="22"/>
                <w:lang w:val="en-GB" w:eastAsia="en-GB"/>
              </w:rPr>
              <w:t>website maintenance</w:t>
            </w:r>
            <w:r w:rsidRPr="00FF5431">
              <w:rPr>
                <w:rFonts w:eastAsia="Times New Roman" w:cs="Arial"/>
                <w:b w:val="0"/>
                <w:color w:val="000000"/>
                <w:sz w:val="22"/>
                <w:szCs w:val="22"/>
                <w:lang w:val="en-GB" w:eastAsia="en-GB"/>
              </w:rPr>
              <w:t>, etc.)</w:t>
            </w:r>
          </w:p>
        </w:tc>
        <w:tc>
          <w:tcPr>
            <w:tcW w:w="1559" w:type="dxa"/>
            <w:gridSpan w:val="2"/>
            <w:tcBorders>
              <w:top w:val="nil"/>
              <w:left w:val="nil"/>
              <w:bottom w:val="nil"/>
              <w:right w:val="nil"/>
            </w:tcBorders>
            <w:noWrap/>
            <w:hideMark/>
          </w:tcPr>
          <w:p w14:paraId="576BBE0D"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1,330,350</w:t>
            </w:r>
          </w:p>
          <w:p w14:paraId="5B66EBF6"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456,850</w:t>
            </w:r>
          </w:p>
          <w:p w14:paraId="16772425"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73B268DE"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237,000</w:t>
            </w:r>
          </w:p>
          <w:p w14:paraId="1E6E0D27"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7EFB586C"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0B7C1D7A"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33837690"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636,500</w:t>
            </w:r>
          </w:p>
        </w:tc>
        <w:tc>
          <w:tcPr>
            <w:tcW w:w="1843" w:type="dxa"/>
            <w:gridSpan w:val="2"/>
            <w:tcBorders>
              <w:top w:val="nil"/>
              <w:left w:val="nil"/>
              <w:bottom w:val="nil"/>
              <w:right w:val="nil"/>
            </w:tcBorders>
            <w:noWrap/>
            <w:hideMark/>
          </w:tcPr>
          <w:p w14:paraId="5568305A"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27.1%</w:t>
            </w:r>
          </w:p>
          <w:p w14:paraId="1913D5D3"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9,31%</w:t>
            </w:r>
          </w:p>
          <w:p w14:paraId="28FEAD10"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4D41F523"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4,83%</w:t>
            </w:r>
          </w:p>
          <w:p w14:paraId="76660DA3"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442622D2"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0612AED4"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p>
          <w:p w14:paraId="15C9BB02"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12,98%</w:t>
            </w:r>
          </w:p>
        </w:tc>
      </w:tr>
      <w:tr w:rsidR="00FF5431" w:rsidRPr="00FF5431" w14:paraId="77938CE5" w14:textId="77777777" w:rsidTr="00111BED">
        <w:trPr>
          <w:gridAfter w:val="1"/>
          <w:cnfStyle w:val="000000100000" w:firstRow="0" w:lastRow="0" w:firstColumn="0" w:lastColumn="0" w:oddVBand="0" w:evenVBand="0" w:oddHBand="1" w:evenHBand="0" w:firstRowFirstColumn="0" w:firstRowLastColumn="0" w:lastRowFirstColumn="0" w:lastRowLastColumn="0"/>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bottom w:val="nil"/>
            </w:tcBorders>
            <w:noWrap/>
            <w:hideMark/>
          </w:tcPr>
          <w:p w14:paraId="6CF2A78B"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 xml:space="preserve">Other costs </w:t>
            </w:r>
            <w:r w:rsidRPr="00FF5431">
              <w:rPr>
                <w:rFonts w:eastAsia="Times New Roman" w:cs="Arial"/>
                <w:b w:val="0"/>
                <w:color w:val="000000"/>
                <w:sz w:val="22"/>
                <w:szCs w:val="22"/>
                <w:lang w:val="en-GB" w:eastAsia="en-GB"/>
              </w:rPr>
              <w:t>(bank fees, etc.)</w:t>
            </w:r>
          </w:p>
        </w:tc>
        <w:tc>
          <w:tcPr>
            <w:tcW w:w="1559" w:type="dxa"/>
            <w:gridSpan w:val="2"/>
            <w:tcBorders>
              <w:top w:val="nil"/>
              <w:bottom w:val="nil"/>
            </w:tcBorders>
            <w:noWrap/>
            <w:hideMark/>
          </w:tcPr>
          <w:p w14:paraId="341265ED"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17,443</w:t>
            </w:r>
          </w:p>
        </w:tc>
        <w:tc>
          <w:tcPr>
            <w:tcW w:w="1843" w:type="dxa"/>
            <w:gridSpan w:val="2"/>
            <w:tcBorders>
              <w:top w:val="nil"/>
              <w:bottom w:val="nil"/>
            </w:tcBorders>
            <w:noWrap/>
            <w:hideMark/>
          </w:tcPr>
          <w:p w14:paraId="40DCF443" w14:textId="77777777" w:rsidR="00FF5431" w:rsidRPr="00FF5431" w:rsidRDefault="00FF5431" w:rsidP="00FF5431">
            <w:pPr>
              <w:jc w:val="right"/>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0.4%</w:t>
            </w:r>
          </w:p>
        </w:tc>
      </w:tr>
      <w:tr w:rsidR="00FF5431" w:rsidRPr="00FF5431" w14:paraId="182F4843" w14:textId="77777777" w:rsidTr="00111BED">
        <w:trPr>
          <w:gridAfter w:val="1"/>
          <w:wAfter w:w="141" w:type="dxa"/>
          <w:trHeight w:val="333"/>
        </w:trPr>
        <w:tc>
          <w:tcPr>
            <w:cnfStyle w:val="001000000000" w:firstRow="0" w:lastRow="0" w:firstColumn="1" w:lastColumn="0" w:oddVBand="0" w:evenVBand="0" w:oddHBand="0" w:evenHBand="0" w:firstRowFirstColumn="0" w:firstRowLastColumn="0" w:lastRowFirstColumn="0" w:lastRowLastColumn="0"/>
            <w:tcW w:w="5637" w:type="dxa"/>
            <w:tcBorders>
              <w:top w:val="nil"/>
              <w:left w:val="nil"/>
              <w:bottom w:val="nil"/>
              <w:right w:val="nil"/>
            </w:tcBorders>
            <w:noWrap/>
            <w:hideMark/>
          </w:tcPr>
          <w:p w14:paraId="7291363C" w14:textId="77777777" w:rsidR="00FF5431" w:rsidRPr="00FF5431" w:rsidRDefault="00FF5431" w:rsidP="00FF5431">
            <w:pPr>
              <w:rPr>
                <w:rFonts w:eastAsia="Times New Roman" w:cs="Arial"/>
                <w:color w:val="000000"/>
                <w:sz w:val="22"/>
                <w:szCs w:val="22"/>
                <w:lang w:val="en-GB" w:eastAsia="en-GB"/>
              </w:rPr>
            </w:pPr>
            <w:r w:rsidRPr="00FF5431">
              <w:rPr>
                <w:rFonts w:eastAsia="Times New Roman" w:cs="Arial"/>
                <w:color w:val="000000"/>
                <w:sz w:val="22"/>
                <w:szCs w:val="22"/>
                <w:lang w:val="en-GB" w:eastAsia="en-GB"/>
              </w:rPr>
              <w:t>Contingent Expenses</w:t>
            </w:r>
          </w:p>
        </w:tc>
        <w:tc>
          <w:tcPr>
            <w:tcW w:w="1559" w:type="dxa"/>
            <w:gridSpan w:val="2"/>
            <w:tcBorders>
              <w:top w:val="nil"/>
              <w:left w:val="nil"/>
              <w:bottom w:val="nil"/>
              <w:right w:val="nil"/>
            </w:tcBorders>
            <w:noWrap/>
            <w:hideMark/>
          </w:tcPr>
          <w:p w14:paraId="47DA7E2D"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9,168</w:t>
            </w:r>
          </w:p>
        </w:tc>
        <w:tc>
          <w:tcPr>
            <w:tcW w:w="1843" w:type="dxa"/>
            <w:gridSpan w:val="2"/>
            <w:tcBorders>
              <w:top w:val="nil"/>
              <w:left w:val="nil"/>
              <w:bottom w:val="nil"/>
              <w:right w:val="nil"/>
            </w:tcBorders>
            <w:noWrap/>
            <w:hideMark/>
          </w:tcPr>
          <w:p w14:paraId="24277138" w14:textId="77777777" w:rsidR="00FF5431" w:rsidRPr="00FF5431" w:rsidRDefault="00FF5431" w:rsidP="00FF5431">
            <w:pPr>
              <w:jc w:val="right"/>
              <w:cnfStyle w:val="000000000000" w:firstRow="0" w:lastRow="0" w:firstColumn="0" w:lastColumn="0" w:oddVBand="0" w:evenVBand="0" w:oddHBand="0" w:evenHBand="0" w:firstRowFirstColumn="0" w:firstRowLastColumn="0" w:lastRowFirstColumn="0" w:lastRowLastColumn="0"/>
              <w:rPr>
                <w:rFonts w:eastAsia="Times New Roman" w:cs="Arial"/>
                <w:bCs/>
                <w:color w:val="000000"/>
                <w:sz w:val="22"/>
                <w:szCs w:val="22"/>
                <w:lang w:val="en-GB" w:eastAsia="en-GB"/>
              </w:rPr>
            </w:pPr>
            <w:r w:rsidRPr="00FF5431">
              <w:rPr>
                <w:rFonts w:eastAsia="Times New Roman" w:cs="Arial"/>
                <w:bCs/>
                <w:color w:val="000000"/>
                <w:sz w:val="22"/>
                <w:szCs w:val="22"/>
                <w:lang w:val="en-GB" w:eastAsia="en-GB"/>
              </w:rPr>
              <w:t>0.2%</w:t>
            </w:r>
          </w:p>
        </w:tc>
      </w:tr>
      <w:tr w:rsidR="00FF5431" w:rsidRPr="00FF5431" w14:paraId="490FC9C1" w14:textId="77777777" w:rsidTr="00111BED">
        <w:trPr>
          <w:gridAfter w:val="1"/>
          <w:cnfStyle w:val="000000100000" w:firstRow="0" w:lastRow="0" w:firstColumn="0" w:lastColumn="0" w:oddVBand="0" w:evenVBand="0" w:oddHBand="1" w:evenHBand="0" w:firstRowFirstColumn="0" w:firstRowLastColumn="0" w:lastRowFirstColumn="0" w:lastRowLastColumn="0"/>
          <w:wAfter w:w="141" w:type="dxa"/>
          <w:trHeight w:val="227"/>
        </w:trPr>
        <w:tc>
          <w:tcPr>
            <w:cnfStyle w:val="001000000000" w:firstRow="0" w:lastRow="0" w:firstColumn="1" w:lastColumn="0" w:oddVBand="0" w:evenVBand="0" w:oddHBand="0" w:evenHBand="0" w:firstRowFirstColumn="0" w:firstRowLastColumn="0" w:lastRowFirstColumn="0" w:lastRowLastColumn="0"/>
            <w:tcW w:w="5637" w:type="dxa"/>
            <w:tcBorders>
              <w:top w:val="nil"/>
              <w:bottom w:val="nil"/>
            </w:tcBorders>
            <w:noWrap/>
            <w:hideMark/>
          </w:tcPr>
          <w:p w14:paraId="68F400CA" w14:textId="77777777" w:rsidR="00FF5431" w:rsidRPr="00FF5431" w:rsidRDefault="00FF5431" w:rsidP="00FF5431">
            <w:pPr>
              <w:rPr>
                <w:rFonts w:ascii="Calibri" w:eastAsia="Times New Roman" w:hAnsi="Calibri" w:cs="Times New Roman"/>
              </w:rPr>
            </w:pPr>
          </w:p>
        </w:tc>
        <w:tc>
          <w:tcPr>
            <w:tcW w:w="1559" w:type="dxa"/>
            <w:gridSpan w:val="2"/>
            <w:tcBorders>
              <w:top w:val="nil"/>
              <w:bottom w:val="nil"/>
            </w:tcBorders>
            <w:noWrap/>
            <w:hideMark/>
          </w:tcPr>
          <w:p w14:paraId="73CF260A" w14:textId="77777777" w:rsidR="00FF5431" w:rsidRPr="00FF5431" w:rsidRDefault="00FF5431" w:rsidP="00FF54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c>
          <w:tcPr>
            <w:tcW w:w="1843" w:type="dxa"/>
            <w:gridSpan w:val="2"/>
            <w:tcBorders>
              <w:top w:val="nil"/>
              <w:bottom w:val="nil"/>
            </w:tcBorders>
            <w:noWrap/>
            <w:hideMark/>
          </w:tcPr>
          <w:p w14:paraId="6CF3339C" w14:textId="77777777" w:rsidR="00FF5431" w:rsidRPr="00FF5431" w:rsidRDefault="00FF5431" w:rsidP="00FF543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p>
        </w:tc>
      </w:tr>
    </w:tbl>
    <w:p w14:paraId="7A0356C7" w14:textId="77777777" w:rsidR="00FF5431" w:rsidRDefault="00FF5431" w:rsidP="008D40A7">
      <w:pPr>
        <w:spacing w:after="0"/>
        <w:rPr>
          <w:b/>
          <w:sz w:val="22"/>
          <w:szCs w:val="22"/>
        </w:rPr>
      </w:pPr>
    </w:p>
    <w:p w14:paraId="6D251271" w14:textId="77777777" w:rsidR="00FF5431" w:rsidRPr="00947BDE" w:rsidRDefault="00FF5431" w:rsidP="008D40A7">
      <w:pPr>
        <w:spacing w:after="0"/>
        <w:rPr>
          <w:b/>
          <w:sz w:val="22"/>
          <w:szCs w:val="22"/>
        </w:rPr>
      </w:pPr>
    </w:p>
    <w:p w14:paraId="3BFE81C7" w14:textId="77777777" w:rsidR="00A97243" w:rsidRPr="00682784" w:rsidRDefault="00A97243" w:rsidP="00A97243">
      <w:pPr>
        <w:rPr>
          <w:lang w:val="en-GB"/>
        </w:rPr>
        <w:sectPr w:rsidR="00A97243" w:rsidRPr="00682784" w:rsidSect="00EE4D6C">
          <w:headerReference w:type="default" r:id="rId84"/>
          <w:footerReference w:type="default" r:id="rId85"/>
          <w:headerReference w:type="first" r:id="rId86"/>
          <w:footerReference w:type="first" r:id="rId87"/>
          <w:footnotePr>
            <w:numFmt w:val="lowerRoman"/>
            <w:numRestart w:val="eachPage"/>
          </w:footnotePr>
          <w:endnotePr>
            <w:numFmt w:val="decimal"/>
          </w:endnotePr>
          <w:pgSz w:w="12240" w:h="15840" w:code="1"/>
          <w:pgMar w:top="794" w:right="1183" w:bottom="794" w:left="760" w:header="794" w:footer="567" w:gutter="0"/>
          <w:cols w:space="720"/>
          <w:titlePg/>
          <w:docGrid w:linePitch="360"/>
        </w:sectPr>
      </w:pPr>
    </w:p>
    <w:p w14:paraId="2DC58457" w14:textId="77777777" w:rsidR="00BF280F" w:rsidRPr="00F62747" w:rsidRDefault="004816B7" w:rsidP="00AD7AC2">
      <w:pPr>
        <w:pStyle w:val="Heading3"/>
        <w:spacing w:before="240" w:line="264" w:lineRule="auto"/>
        <w:rPr>
          <w:b/>
          <w:sz w:val="28"/>
          <w:szCs w:val="28"/>
          <w:lang w:val="en-GB"/>
        </w:rPr>
      </w:pPr>
      <w:bookmarkStart w:id="119" w:name="_Toc423436311"/>
      <w:r>
        <w:rPr>
          <w:b/>
          <w:sz w:val="28"/>
          <w:szCs w:val="28"/>
          <w:lang w:val="en-GB"/>
        </w:rPr>
        <w:lastRenderedPageBreak/>
        <w:t xml:space="preserve">8.4 </w:t>
      </w:r>
      <w:r w:rsidR="00EE745F" w:rsidRPr="00F62747">
        <w:rPr>
          <w:b/>
          <w:sz w:val="28"/>
          <w:szCs w:val="28"/>
          <w:lang w:val="en-GB"/>
        </w:rPr>
        <w:t>Monitoring and Evaluati</w:t>
      </w:r>
      <w:bookmarkEnd w:id="116"/>
      <w:r w:rsidR="00F27957" w:rsidRPr="00F62747">
        <w:rPr>
          <w:b/>
          <w:sz w:val="28"/>
          <w:szCs w:val="28"/>
          <w:lang w:val="en-GB"/>
        </w:rPr>
        <w:t>on</w:t>
      </w:r>
      <w:bookmarkEnd w:id="119"/>
    </w:p>
    <w:p w14:paraId="0D72B74E" w14:textId="77777777" w:rsidR="000B2D46" w:rsidRPr="000B2D46" w:rsidRDefault="000B2D46" w:rsidP="000B2D46">
      <w:pPr>
        <w:spacing w:before="240" w:after="120"/>
        <w:rPr>
          <w:rFonts w:ascii="Calisto MT" w:hAnsi="Calisto MT"/>
          <w:b/>
          <w:lang w:val="en-GB"/>
        </w:rPr>
      </w:pPr>
      <w:bookmarkStart w:id="120" w:name="_Toc402864392"/>
      <w:r w:rsidRPr="000B2D46">
        <w:rPr>
          <w:rFonts w:ascii="Calisto MT" w:hAnsi="Calisto MT"/>
          <w:b/>
          <w:lang w:val="en-GB"/>
        </w:rPr>
        <w:t xml:space="preserve">Description of the Monitoring and Evaluation System </w:t>
      </w:r>
    </w:p>
    <w:p w14:paraId="04EED992"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 xml:space="preserve">The monitoring and evaluation (M&amp;E) activities will play an important role in the programme implementation cycle. The objective is to put in place a proper risk management by project partners, programme bodies and the EC. In addition, the M&amp;E system will enable learning to take place during project and programme implementation as well as safeguarding accountability. In order to meet these objectives, the following activities will be carried out: monitoring at project level, monitoring at programme level and evaluation. </w:t>
      </w:r>
      <w:r w:rsidR="00483C9A">
        <w:rPr>
          <w:rFonts w:ascii="Calisto MT" w:hAnsi="Calisto MT"/>
          <w:sz w:val="22"/>
          <w:szCs w:val="22"/>
          <w:lang w:val="en-GB"/>
        </w:rPr>
        <w:t>See full details in Annex 3.</w:t>
      </w:r>
    </w:p>
    <w:p w14:paraId="5A1D6C49" w14:textId="77777777" w:rsidR="000B2D46" w:rsidRPr="000B2D46" w:rsidRDefault="000B2D46" w:rsidP="000B2D46">
      <w:pPr>
        <w:spacing w:before="120" w:after="0" w:line="252" w:lineRule="auto"/>
        <w:jc w:val="both"/>
        <w:rPr>
          <w:rFonts w:ascii="Calisto MT" w:hAnsi="Calisto MT"/>
          <w:sz w:val="22"/>
          <w:szCs w:val="22"/>
          <w:lang w:val="en-GB"/>
        </w:rPr>
      </w:pPr>
      <w:r w:rsidRPr="00A633E0">
        <w:rPr>
          <w:rFonts w:ascii="Calisto MT" w:hAnsi="Calisto MT"/>
          <w:b/>
          <w:sz w:val="22"/>
          <w:szCs w:val="22"/>
          <w:lang w:val="en-GB"/>
        </w:rPr>
        <w:t>Monitoring activities at project level</w:t>
      </w:r>
      <w:r w:rsidRPr="000B2D46">
        <w:rPr>
          <w:rFonts w:ascii="Calisto MT" w:hAnsi="Calisto MT"/>
          <w:sz w:val="22"/>
          <w:szCs w:val="22"/>
          <w:lang w:val="en-GB"/>
        </w:rPr>
        <w:t xml:space="preserve"> shall be carried out both internally (by the project partners) and externally (by the programme bodies). The aim of the project-level monitoring activities shall be to track progress in project implementation, to take remedial action where necessary as soon as possible, as well as to update action plans. Day-to-day monitoring activities by the MA and JTS will consist o</w:t>
      </w:r>
      <w:r w:rsidR="00676615">
        <w:rPr>
          <w:rFonts w:ascii="Calisto MT" w:hAnsi="Calisto MT"/>
          <w:sz w:val="22"/>
          <w:szCs w:val="22"/>
          <w:lang w:val="en-GB"/>
        </w:rPr>
        <w:t>f a review of progress reports,</w:t>
      </w:r>
      <w:r w:rsidRPr="000B2D46">
        <w:rPr>
          <w:rFonts w:ascii="Calisto MT" w:hAnsi="Calisto MT"/>
          <w:sz w:val="22"/>
          <w:szCs w:val="22"/>
          <w:lang w:val="en-GB"/>
        </w:rPr>
        <w:t xml:space="preserve"> regular contact with the lead </w:t>
      </w:r>
      <w:r w:rsidR="00CD7596">
        <w:rPr>
          <w:rFonts w:ascii="Calisto MT" w:hAnsi="Calisto MT"/>
          <w:sz w:val="22"/>
          <w:szCs w:val="22"/>
          <w:lang w:val="en-GB"/>
        </w:rPr>
        <w:t>beneficiaries</w:t>
      </w:r>
      <w:r w:rsidR="00CD7596" w:rsidRPr="000B2D46">
        <w:rPr>
          <w:rFonts w:ascii="Calisto MT" w:hAnsi="Calisto MT"/>
          <w:sz w:val="22"/>
          <w:szCs w:val="22"/>
          <w:lang w:val="en-GB"/>
        </w:rPr>
        <w:t xml:space="preserve"> </w:t>
      </w:r>
      <w:r w:rsidRPr="000B2D46">
        <w:rPr>
          <w:rFonts w:ascii="Calisto MT" w:hAnsi="Calisto MT"/>
          <w:sz w:val="22"/>
          <w:szCs w:val="22"/>
          <w:lang w:val="en-GB"/>
        </w:rPr>
        <w:t xml:space="preserve">by e-mail and telephone, and where possible attending key project events. Also, specific on-the-spot visits may be carried out to the lead </w:t>
      </w:r>
      <w:r w:rsidR="00CD7596">
        <w:rPr>
          <w:rFonts w:ascii="Calisto MT" w:hAnsi="Calisto MT"/>
          <w:sz w:val="22"/>
          <w:szCs w:val="22"/>
          <w:lang w:val="en-GB"/>
        </w:rPr>
        <w:t>beneficiaries</w:t>
      </w:r>
      <w:r w:rsidR="00CD7596" w:rsidRPr="000B2D46">
        <w:rPr>
          <w:rFonts w:ascii="Calisto MT" w:hAnsi="Calisto MT"/>
          <w:sz w:val="22"/>
          <w:szCs w:val="22"/>
          <w:lang w:val="en-GB"/>
        </w:rPr>
        <w:t xml:space="preserve"> </w:t>
      </w:r>
      <w:r w:rsidR="008521F6">
        <w:rPr>
          <w:rFonts w:ascii="Calisto MT" w:hAnsi="Calisto MT"/>
          <w:sz w:val="22"/>
          <w:szCs w:val="22"/>
          <w:lang w:val="en-GB"/>
        </w:rPr>
        <w:t xml:space="preserve">or to </w:t>
      </w:r>
      <w:r w:rsidR="00853C93">
        <w:rPr>
          <w:rFonts w:ascii="Calisto MT" w:hAnsi="Calisto MT"/>
          <w:sz w:val="22"/>
          <w:szCs w:val="22"/>
          <w:lang w:val="en-GB"/>
        </w:rPr>
        <w:t>beneficiaries’</w:t>
      </w:r>
      <w:r w:rsidR="008521F6">
        <w:rPr>
          <w:rFonts w:ascii="Calisto MT" w:hAnsi="Calisto MT"/>
          <w:sz w:val="22"/>
          <w:szCs w:val="22"/>
          <w:lang w:val="en-GB"/>
        </w:rPr>
        <w:t xml:space="preserve"> </w:t>
      </w:r>
      <w:r w:rsidRPr="000B2D46">
        <w:rPr>
          <w:rFonts w:ascii="Calisto MT" w:hAnsi="Calisto MT"/>
          <w:sz w:val="22"/>
          <w:szCs w:val="22"/>
          <w:lang w:val="en-GB"/>
        </w:rPr>
        <w:t>premises by MA or JTS staff.</w:t>
      </w:r>
      <w:r w:rsidR="00676615">
        <w:rPr>
          <w:rFonts w:ascii="Calisto MT" w:hAnsi="Calisto MT"/>
          <w:sz w:val="22"/>
          <w:szCs w:val="22"/>
          <w:lang w:val="en-GB"/>
        </w:rPr>
        <w:t xml:space="preserve"> </w:t>
      </w:r>
      <w:r w:rsidR="009264B8">
        <w:rPr>
          <w:rFonts w:ascii="Calisto MT" w:hAnsi="Calisto MT"/>
          <w:sz w:val="22"/>
          <w:szCs w:val="22"/>
          <w:lang w:val="en-GB"/>
        </w:rPr>
        <w:t>The MA or JTS staff will visit each project at least once</w:t>
      </w:r>
      <w:r w:rsidR="00676615">
        <w:rPr>
          <w:rFonts w:ascii="Calisto MT" w:hAnsi="Calisto MT"/>
          <w:sz w:val="22"/>
          <w:szCs w:val="22"/>
          <w:lang w:val="en-GB"/>
        </w:rPr>
        <w:t xml:space="preserve"> during its implementation.</w:t>
      </w:r>
      <w:r w:rsidRPr="000B2D46">
        <w:rPr>
          <w:rFonts w:ascii="Calisto MT" w:hAnsi="Calisto MT"/>
          <w:sz w:val="22"/>
          <w:szCs w:val="22"/>
          <w:lang w:val="en-GB"/>
        </w:rPr>
        <w:t xml:space="preserve"> </w:t>
      </w:r>
    </w:p>
    <w:p w14:paraId="35D019D7"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 xml:space="preserve">Project beneficiaries (lead partners) will be responsible for project-level monitoring. In case of substantial risks, the lead </w:t>
      </w:r>
      <w:r w:rsidR="00CD7596">
        <w:rPr>
          <w:rFonts w:ascii="Calisto MT" w:hAnsi="Calisto MT"/>
          <w:sz w:val="22"/>
          <w:szCs w:val="22"/>
          <w:lang w:val="en-GB"/>
        </w:rPr>
        <w:t>beneficiary</w:t>
      </w:r>
      <w:r w:rsidR="00CD7596" w:rsidRPr="000B2D46">
        <w:rPr>
          <w:rFonts w:ascii="Calisto MT" w:hAnsi="Calisto MT"/>
          <w:sz w:val="22"/>
          <w:szCs w:val="22"/>
          <w:lang w:val="en-GB"/>
        </w:rPr>
        <w:t xml:space="preserve"> </w:t>
      </w:r>
      <w:r w:rsidRPr="000B2D46">
        <w:rPr>
          <w:rFonts w:ascii="Calisto MT" w:hAnsi="Calisto MT"/>
          <w:sz w:val="22"/>
          <w:szCs w:val="22"/>
          <w:lang w:val="en-GB"/>
        </w:rPr>
        <w:t>should inform the MA immediately. In all other cases, it will report to the MA every four months in the form of progress reports. In addition, it will be compulsory for project applications to include the measurement of at least one of the programme output indicators, alongside project-specific output indicators.</w:t>
      </w:r>
    </w:p>
    <w:p w14:paraId="0B7C2779"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 xml:space="preserve">The programme will also carry out an internal Result-Oriented Monitoring (ROM) plan, in the framework of which it will review the performance of projects funded with a focus on the likelihood that results will be achieved and the need for remedial action. ROM reports will also make recommendations to lead </w:t>
      </w:r>
      <w:r w:rsidR="00D96626">
        <w:rPr>
          <w:rFonts w:ascii="Calisto MT" w:hAnsi="Calisto MT"/>
          <w:sz w:val="22"/>
          <w:szCs w:val="22"/>
          <w:lang w:val="en-GB"/>
        </w:rPr>
        <w:t>beneficiaries</w:t>
      </w:r>
      <w:r w:rsidRPr="000B2D46">
        <w:rPr>
          <w:rFonts w:ascii="Calisto MT" w:hAnsi="Calisto MT"/>
          <w:sz w:val="22"/>
          <w:szCs w:val="22"/>
          <w:lang w:val="en-GB"/>
        </w:rPr>
        <w:t xml:space="preserve"> and </w:t>
      </w:r>
      <w:r w:rsidR="00D96626">
        <w:rPr>
          <w:rFonts w:ascii="Calisto MT" w:hAnsi="Calisto MT"/>
          <w:sz w:val="22"/>
          <w:szCs w:val="22"/>
          <w:lang w:val="en-GB"/>
        </w:rPr>
        <w:t>beneficiaries</w:t>
      </w:r>
      <w:r w:rsidRPr="000B2D46">
        <w:rPr>
          <w:rFonts w:ascii="Calisto MT" w:hAnsi="Calisto MT"/>
          <w:sz w:val="22"/>
          <w:szCs w:val="22"/>
          <w:lang w:val="en-GB"/>
        </w:rPr>
        <w:t xml:space="preserve"> in order to improve project implementation. </w:t>
      </w:r>
    </w:p>
    <w:p w14:paraId="350302AE" w14:textId="77777777" w:rsidR="000B2D46" w:rsidRPr="000B2D46" w:rsidRDefault="006F5B9D" w:rsidP="000B2D46">
      <w:pPr>
        <w:spacing w:before="120" w:after="0" w:line="252" w:lineRule="auto"/>
        <w:jc w:val="both"/>
        <w:rPr>
          <w:rFonts w:ascii="Calisto MT" w:hAnsi="Calisto MT"/>
          <w:sz w:val="22"/>
          <w:szCs w:val="22"/>
          <w:lang w:val="en-GB"/>
        </w:rPr>
      </w:pPr>
      <w:r>
        <w:rPr>
          <w:rFonts w:ascii="Calisto MT" w:hAnsi="Calisto MT"/>
          <w:b/>
          <w:sz w:val="22"/>
          <w:szCs w:val="22"/>
          <w:lang w:val="en-GB"/>
        </w:rPr>
        <w:t xml:space="preserve">As regards monitoring </w:t>
      </w:r>
      <w:r w:rsidR="000B2D46" w:rsidRPr="006F5B9D">
        <w:rPr>
          <w:rFonts w:ascii="Calisto MT" w:hAnsi="Calisto MT"/>
          <w:b/>
          <w:sz w:val="22"/>
          <w:szCs w:val="22"/>
          <w:lang w:val="en-GB"/>
        </w:rPr>
        <w:t>at programme level</w:t>
      </w:r>
      <w:r w:rsidRPr="00930A28">
        <w:rPr>
          <w:rFonts w:ascii="Calisto MT" w:hAnsi="Calisto MT"/>
          <w:sz w:val="22"/>
          <w:szCs w:val="22"/>
          <w:lang w:val="en-GB"/>
        </w:rPr>
        <w:t>,</w:t>
      </w:r>
      <w:r w:rsidR="000B2D46" w:rsidRPr="000B2D46">
        <w:rPr>
          <w:rFonts w:ascii="Calisto MT" w:hAnsi="Calisto MT"/>
          <w:sz w:val="22"/>
          <w:szCs w:val="22"/>
          <w:lang w:val="en-GB"/>
        </w:rPr>
        <w:t xml:space="preserve"> </w:t>
      </w:r>
      <w:r>
        <w:rPr>
          <w:rFonts w:ascii="Calisto MT" w:hAnsi="Calisto MT"/>
          <w:sz w:val="22"/>
          <w:szCs w:val="22"/>
          <w:lang w:val="en-GB"/>
        </w:rPr>
        <w:t xml:space="preserve">day-to-day activities </w:t>
      </w:r>
      <w:r w:rsidR="000B2D46" w:rsidRPr="000B2D46">
        <w:rPr>
          <w:rFonts w:ascii="Calisto MT" w:hAnsi="Calisto MT"/>
          <w:sz w:val="22"/>
          <w:szCs w:val="22"/>
          <w:lang w:val="en-GB"/>
        </w:rPr>
        <w:t>will focus primarily on progress in implementation of the programme in terms of financial and output indicators, as well as</w:t>
      </w:r>
      <w:r w:rsidR="00F21F2A">
        <w:rPr>
          <w:rFonts w:ascii="Calisto MT" w:hAnsi="Calisto MT"/>
          <w:sz w:val="22"/>
          <w:szCs w:val="22"/>
          <w:lang w:val="en-GB"/>
        </w:rPr>
        <w:t xml:space="preserve"> </w:t>
      </w:r>
      <w:r w:rsidR="00051D4D">
        <w:rPr>
          <w:rFonts w:ascii="Calisto MT" w:hAnsi="Calisto MT"/>
          <w:sz w:val="22"/>
          <w:szCs w:val="22"/>
          <w:lang w:val="en-GB"/>
        </w:rPr>
        <w:t>in terms of</w:t>
      </w:r>
      <w:r w:rsidR="000B2D46" w:rsidRPr="000B2D46">
        <w:rPr>
          <w:rFonts w:ascii="Calisto MT" w:hAnsi="Calisto MT"/>
          <w:sz w:val="22"/>
          <w:szCs w:val="22"/>
          <w:lang w:val="en-GB"/>
        </w:rPr>
        <w:t xml:space="preserve"> risks and assumptions. The basis for data collection will be mainly project reports. Aggregation will be carried out in the framework of the Management and Information System (MIS), where data on progress in terms of launching calls, applications received, the assessment of their quality, contracts signed and project-level on-the-spot visits and audits is also available. </w:t>
      </w:r>
    </w:p>
    <w:p w14:paraId="4F8AB01E"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In addition, there will be a need for additional data collection in order to measure programme level result indicators. This will include surveys among reference groups, consisting of a sample of organisations from among the target groups for each priority in the programme strategy, possibly also including expert organisations in certain areas. These</w:t>
      </w:r>
      <w:r w:rsidR="00867BC8">
        <w:rPr>
          <w:rFonts w:ascii="Calisto MT" w:hAnsi="Calisto MT"/>
          <w:sz w:val="22"/>
          <w:szCs w:val="22"/>
          <w:lang w:val="en-GB"/>
        </w:rPr>
        <w:t xml:space="preserve"> reference g</w:t>
      </w:r>
      <w:r w:rsidRPr="000B2D46">
        <w:rPr>
          <w:rFonts w:ascii="Calisto MT" w:hAnsi="Calisto MT"/>
          <w:sz w:val="22"/>
          <w:szCs w:val="22"/>
          <w:lang w:val="en-GB"/>
        </w:rPr>
        <w:t>roups will be asked for their assessment of the situation in relation to the objective of the corresponding priority, the average of which will constitute the value of the result indicator</w:t>
      </w:r>
      <w:r w:rsidR="004D05B5">
        <w:rPr>
          <w:rFonts w:ascii="Calisto MT" w:hAnsi="Calisto MT"/>
          <w:sz w:val="22"/>
          <w:szCs w:val="22"/>
          <w:lang w:val="en-GB"/>
        </w:rPr>
        <w:t xml:space="preserve"> (see full methodology for measuring the result indicators</w:t>
      </w:r>
      <w:r w:rsidR="00867BC8">
        <w:rPr>
          <w:rFonts w:ascii="Calisto MT" w:hAnsi="Calisto MT"/>
          <w:sz w:val="22"/>
          <w:szCs w:val="22"/>
          <w:lang w:val="en-GB"/>
        </w:rPr>
        <w:t xml:space="preserve"> in </w:t>
      </w:r>
      <w:r w:rsidR="00A12B75">
        <w:rPr>
          <w:rFonts w:ascii="Calisto MT" w:hAnsi="Calisto MT"/>
          <w:sz w:val="22"/>
          <w:szCs w:val="22"/>
          <w:lang w:val="en-GB"/>
        </w:rPr>
        <w:t>A</w:t>
      </w:r>
      <w:r w:rsidR="00867BC8">
        <w:rPr>
          <w:rFonts w:ascii="Calisto MT" w:hAnsi="Calisto MT"/>
          <w:sz w:val="22"/>
          <w:szCs w:val="22"/>
          <w:lang w:val="en-GB"/>
        </w:rPr>
        <w:t>nnex</w:t>
      </w:r>
      <w:r w:rsidR="00EF14D9">
        <w:rPr>
          <w:rFonts w:ascii="Calisto MT" w:hAnsi="Calisto MT"/>
          <w:sz w:val="22"/>
          <w:szCs w:val="22"/>
          <w:lang w:val="en-GB"/>
        </w:rPr>
        <w:t xml:space="preserve"> 3</w:t>
      </w:r>
      <w:r w:rsidR="00867BC8">
        <w:rPr>
          <w:rFonts w:ascii="Calisto MT" w:hAnsi="Calisto MT"/>
          <w:sz w:val="22"/>
          <w:szCs w:val="22"/>
          <w:lang w:val="en-GB"/>
        </w:rPr>
        <w:t>)</w:t>
      </w:r>
      <w:r w:rsidRPr="000B2D46">
        <w:rPr>
          <w:rFonts w:ascii="Calisto MT" w:hAnsi="Calisto MT"/>
          <w:sz w:val="22"/>
          <w:szCs w:val="22"/>
          <w:lang w:val="en-GB"/>
        </w:rPr>
        <w:t xml:space="preserve">. </w:t>
      </w:r>
    </w:p>
    <w:p w14:paraId="16933FC0"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The MA shall submit an annual report approved by the JMC to the EC by 15 February each year. That annual report shall include one technical and one financial part covering the preceding accounting year. The programme will also provide input to the KEEP database on, amongst others, common output indicators,</w:t>
      </w:r>
      <w:r w:rsidR="00184996">
        <w:rPr>
          <w:rFonts w:ascii="Calisto MT" w:hAnsi="Calisto MT"/>
          <w:sz w:val="22"/>
          <w:szCs w:val="22"/>
          <w:lang w:val="en-GB"/>
        </w:rPr>
        <w:t xml:space="preserve"> </w:t>
      </w:r>
      <w:r w:rsidR="00761FC8">
        <w:rPr>
          <w:rFonts w:ascii="Calisto MT" w:hAnsi="Calisto MT"/>
          <w:sz w:val="22"/>
          <w:szCs w:val="22"/>
          <w:lang w:val="en-GB"/>
        </w:rPr>
        <w:t>projects contracted</w:t>
      </w:r>
      <w:r w:rsidRPr="000B2D46">
        <w:rPr>
          <w:rFonts w:ascii="Calisto MT" w:hAnsi="Calisto MT"/>
          <w:sz w:val="22"/>
          <w:szCs w:val="22"/>
          <w:lang w:val="en-GB"/>
        </w:rPr>
        <w:t xml:space="preserve">, status of beneficiaries and budget allocations per (type of) partner. </w:t>
      </w:r>
    </w:p>
    <w:p w14:paraId="2A015BDA" w14:textId="77777777" w:rsidR="000B2D46" w:rsidRPr="000B2D46" w:rsidRDefault="00CA0D81" w:rsidP="000B2D46">
      <w:pPr>
        <w:spacing w:before="120" w:after="0" w:line="252" w:lineRule="auto"/>
        <w:jc w:val="both"/>
        <w:rPr>
          <w:rFonts w:ascii="Calisto MT" w:hAnsi="Calisto MT"/>
          <w:sz w:val="22"/>
          <w:szCs w:val="22"/>
          <w:lang w:val="en-GB"/>
        </w:rPr>
      </w:pPr>
      <w:r w:rsidRPr="00CA0D81">
        <w:rPr>
          <w:rFonts w:ascii="Calisto MT" w:hAnsi="Calisto MT"/>
          <w:b/>
          <w:sz w:val="22"/>
          <w:szCs w:val="22"/>
          <w:lang w:val="en-GB"/>
        </w:rPr>
        <w:t>In terms of evaluation</w:t>
      </w:r>
      <w:r>
        <w:rPr>
          <w:rFonts w:ascii="Calisto MT" w:hAnsi="Calisto MT"/>
          <w:sz w:val="22"/>
          <w:szCs w:val="22"/>
          <w:lang w:val="en-GB"/>
        </w:rPr>
        <w:t>, by the end of 2017</w:t>
      </w:r>
      <w:r w:rsidR="000B2D46" w:rsidRPr="000B2D46">
        <w:rPr>
          <w:rFonts w:ascii="Calisto MT" w:hAnsi="Calisto MT"/>
          <w:sz w:val="22"/>
          <w:szCs w:val="22"/>
          <w:lang w:val="en-GB"/>
        </w:rPr>
        <w:t xml:space="preserve"> the EC will commission a mid-term evaluation at instrument-level, which will generate conclusions and </w:t>
      </w:r>
      <w:r w:rsidRPr="000B2D46">
        <w:rPr>
          <w:rFonts w:ascii="Calisto MT" w:hAnsi="Calisto MT"/>
          <w:sz w:val="22"/>
          <w:szCs w:val="22"/>
          <w:lang w:val="en-GB"/>
        </w:rPr>
        <w:t>recommendations that</w:t>
      </w:r>
      <w:r w:rsidR="000B2D46" w:rsidRPr="000B2D46">
        <w:rPr>
          <w:rFonts w:ascii="Calisto MT" w:hAnsi="Calisto MT"/>
          <w:sz w:val="22"/>
          <w:szCs w:val="22"/>
          <w:lang w:val="en-GB"/>
        </w:rPr>
        <w:t xml:space="preserve"> are relevant for the programme as well. The MA will inform the JMC about the mid-term evaluation findings to the extent they are relevant for the programme. In addition, the programme may commission a programme-specific evaluation (which is likely to take place in </w:t>
      </w:r>
      <w:r w:rsidR="000B2D46" w:rsidRPr="000B2D46">
        <w:rPr>
          <w:rFonts w:ascii="Calisto MT" w:hAnsi="Calisto MT"/>
          <w:sz w:val="22"/>
          <w:szCs w:val="22"/>
          <w:lang w:val="en-GB"/>
        </w:rPr>
        <w:lastRenderedPageBreak/>
        <w:t>2020), building on the EU-level</w:t>
      </w:r>
      <w:r w:rsidR="00D0192B">
        <w:rPr>
          <w:rFonts w:ascii="Calisto MT" w:hAnsi="Calisto MT"/>
          <w:sz w:val="22"/>
          <w:szCs w:val="22"/>
          <w:lang w:val="en-GB"/>
        </w:rPr>
        <w:t xml:space="preserve"> mid-term evaluation and used</w:t>
      </w:r>
      <w:r w:rsidR="000B2D46" w:rsidRPr="000B2D46">
        <w:rPr>
          <w:rFonts w:ascii="Calisto MT" w:hAnsi="Calisto MT"/>
          <w:sz w:val="22"/>
          <w:szCs w:val="22"/>
          <w:lang w:val="en-GB"/>
        </w:rPr>
        <w:t xml:space="preserve"> as a basis for future programming</w:t>
      </w:r>
      <w:r w:rsidR="006A4ACA">
        <w:rPr>
          <w:rFonts w:ascii="Calisto MT" w:hAnsi="Calisto MT"/>
          <w:sz w:val="22"/>
          <w:szCs w:val="22"/>
          <w:lang w:val="en-GB"/>
        </w:rPr>
        <w:t xml:space="preserve">, or possibly </w:t>
      </w:r>
      <w:r w:rsidR="00D0192B">
        <w:rPr>
          <w:rFonts w:ascii="Calisto MT" w:hAnsi="Calisto MT"/>
          <w:sz w:val="22"/>
          <w:szCs w:val="22"/>
          <w:lang w:val="en-GB"/>
        </w:rPr>
        <w:t xml:space="preserve">serving </w:t>
      </w:r>
      <w:r w:rsidR="00152CB1">
        <w:rPr>
          <w:rFonts w:ascii="Calisto MT" w:hAnsi="Calisto MT"/>
          <w:sz w:val="22"/>
          <w:szCs w:val="22"/>
          <w:lang w:val="en-GB"/>
        </w:rPr>
        <w:t>as a basis for reallocation of funds and/or revision of indicators</w:t>
      </w:r>
      <w:r w:rsidR="003E4103">
        <w:rPr>
          <w:rFonts w:ascii="Calisto MT" w:hAnsi="Calisto MT"/>
          <w:sz w:val="22"/>
          <w:szCs w:val="22"/>
          <w:lang w:val="en-GB"/>
        </w:rPr>
        <w:t xml:space="preserve"> target values</w:t>
      </w:r>
      <w:r w:rsidR="000B2D46" w:rsidRPr="000B2D46">
        <w:rPr>
          <w:rFonts w:ascii="Calisto MT" w:hAnsi="Calisto MT"/>
          <w:sz w:val="22"/>
          <w:szCs w:val="22"/>
          <w:lang w:val="en-GB"/>
        </w:rPr>
        <w:t xml:space="preserve">. </w:t>
      </w:r>
    </w:p>
    <w:p w14:paraId="112D8F64" w14:textId="77777777" w:rsidR="000B2D46" w:rsidRPr="000B2D46" w:rsidRDefault="000B2D46" w:rsidP="000B2D46">
      <w:pPr>
        <w:spacing w:before="240" w:after="120"/>
        <w:rPr>
          <w:rFonts w:ascii="Calisto MT" w:hAnsi="Calisto MT"/>
          <w:b/>
          <w:lang w:val="en-GB"/>
        </w:rPr>
      </w:pPr>
      <w:r w:rsidRPr="000B2D46">
        <w:rPr>
          <w:rFonts w:ascii="Calisto MT" w:hAnsi="Calisto MT"/>
          <w:b/>
          <w:lang w:val="en-GB"/>
        </w:rPr>
        <w:t>Indicative Monitoring and Evaluation Plan</w:t>
      </w:r>
    </w:p>
    <w:p w14:paraId="1BE2B6F6" w14:textId="77777777" w:rsidR="000B2D46" w:rsidRPr="000B2D46" w:rsidRDefault="000B2D46" w:rsidP="000B2D46">
      <w:pPr>
        <w:spacing w:before="120" w:after="0" w:line="252" w:lineRule="auto"/>
        <w:jc w:val="both"/>
        <w:rPr>
          <w:rFonts w:ascii="Calisto MT" w:hAnsi="Calisto MT"/>
          <w:sz w:val="22"/>
          <w:szCs w:val="22"/>
          <w:lang w:val="en-GB"/>
        </w:rPr>
      </w:pPr>
      <w:r w:rsidRPr="000B2D46">
        <w:rPr>
          <w:rFonts w:ascii="Calisto MT" w:hAnsi="Calisto MT"/>
          <w:sz w:val="22"/>
          <w:szCs w:val="22"/>
          <w:lang w:val="en-GB"/>
        </w:rPr>
        <w:t>The M&amp;E plan</w:t>
      </w:r>
      <w:r w:rsidR="008E4F0C">
        <w:rPr>
          <w:rFonts w:ascii="Calisto MT" w:hAnsi="Calisto MT"/>
          <w:sz w:val="22"/>
          <w:szCs w:val="22"/>
          <w:lang w:val="en-GB"/>
        </w:rPr>
        <w:t xml:space="preserve"> (attached in A</w:t>
      </w:r>
      <w:r w:rsidR="00C20ACD">
        <w:rPr>
          <w:rFonts w:ascii="Calisto MT" w:hAnsi="Calisto MT"/>
          <w:sz w:val="22"/>
          <w:szCs w:val="22"/>
          <w:lang w:val="en-GB"/>
        </w:rPr>
        <w:t>nnex 3)</w:t>
      </w:r>
      <w:r w:rsidRPr="000B2D46">
        <w:rPr>
          <w:rFonts w:ascii="Calisto MT" w:hAnsi="Calisto MT"/>
          <w:sz w:val="22"/>
          <w:szCs w:val="22"/>
          <w:lang w:val="en-GB"/>
        </w:rPr>
        <w:t xml:space="preserve"> is used to systematically plan the collection of data to assess and demonstrate progress made in achieving expected results. It highlights mechanisms or modalities for monitoring the achievement of outputs and contribution towards achievement of expected results. The M&amp;E plan incorporates the programme indicators, baselines targets a</w:t>
      </w:r>
      <w:r w:rsidR="00304F33">
        <w:rPr>
          <w:rFonts w:ascii="Calisto MT" w:hAnsi="Calisto MT"/>
          <w:sz w:val="22"/>
          <w:szCs w:val="22"/>
          <w:lang w:val="en-GB"/>
        </w:rPr>
        <w:t>nd their means of verification.</w:t>
      </w:r>
      <w:r w:rsidR="003E4103">
        <w:rPr>
          <w:rFonts w:ascii="Calisto MT" w:hAnsi="Calisto MT"/>
          <w:sz w:val="22"/>
          <w:szCs w:val="22"/>
          <w:lang w:val="en-GB"/>
        </w:rPr>
        <w:t xml:space="preserve"> It</w:t>
      </w:r>
      <w:r w:rsidRPr="000B2D46">
        <w:rPr>
          <w:rFonts w:ascii="Calisto MT" w:hAnsi="Calisto MT"/>
          <w:sz w:val="22"/>
          <w:szCs w:val="22"/>
          <w:lang w:val="en-GB"/>
        </w:rPr>
        <w:t xml:space="preserve"> contains detailed definitions for the programme indicators, rationale for their selection, sources of information and verification, baselines and targets, methods and tools to collect data, where necessary calculation formulas for result indicators, and milestones to measure and report on progress in terms of output indicators. The plan also presents the frequency of data collection. An indicative list of evaluations to be undertaken, together with their subject and rationale is also included.</w:t>
      </w:r>
      <w:r w:rsidR="00C20ACD">
        <w:rPr>
          <w:rFonts w:ascii="Calisto MT" w:hAnsi="Calisto MT"/>
          <w:sz w:val="22"/>
          <w:szCs w:val="22"/>
          <w:lang w:val="en-GB"/>
        </w:rPr>
        <w:t xml:space="preserve"> </w:t>
      </w:r>
    </w:p>
    <w:p w14:paraId="6391C7B8" w14:textId="77777777" w:rsidR="008B456F" w:rsidRPr="00F62747" w:rsidRDefault="004816B7" w:rsidP="00CA743D">
      <w:pPr>
        <w:pStyle w:val="Heading3"/>
        <w:spacing w:before="360" w:after="240" w:line="264" w:lineRule="auto"/>
        <w:rPr>
          <w:b/>
          <w:sz w:val="28"/>
          <w:szCs w:val="28"/>
          <w:lang w:val="en-GB"/>
        </w:rPr>
      </w:pPr>
      <w:bookmarkStart w:id="121" w:name="_Toc423436312"/>
      <w:r>
        <w:rPr>
          <w:b/>
          <w:sz w:val="28"/>
          <w:szCs w:val="28"/>
          <w:lang w:val="en-GB"/>
        </w:rPr>
        <w:t xml:space="preserve">8.5 </w:t>
      </w:r>
      <w:r w:rsidR="00EE745F" w:rsidRPr="00F62747">
        <w:rPr>
          <w:b/>
          <w:sz w:val="28"/>
          <w:szCs w:val="28"/>
          <w:lang w:val="en-GB"/>
        </w:rPr>
        <w:t>Communication</w:t>
      </w:r>
      <w:bookmarkStart w:id="122" w:name="_Toc402864393"/>
      <w:bookmarkEnd w:id="120"/>
      <w:bookmarkEnd w:id="121"/>
    </w:p>
    <w:p w14:paraId="6AA7BB34" w14:textId="77777777" w:rsidR="008B456F" w:rsidRPr="00BA5A49" w:rsidRDefault="008B456F" w:rsidP="00733BE9">
      <w:pPr>
        <w:spacing w:after="0" w:line="252" w:lineRule="auto"/>
        <w:jc w:val="both"/>
        <w:rPr>
          <w:rFonts w:ascii="Calisto MT" w:hAnsi="Calisto MT"/>
          <w:sz w:val="22"/>
          <w:szCs w:val="22"/>
          <w:lang w:val="en-GB"/>
        </w:rPr>
      </w:pPr>
      <w:r w:rsidRPr="00BA5A49">
        <w:rPr>
          <w:rFonts w:ascii="Calisto MT" w:hAnsi="Calisto MT"/>
          <w:sz w:val="22"/>
          <w:szCs w:val="22"/>
          <w:lang w:val="en-GB"/>
        </w:rPr>
        <w:t>Communication is a key component in the successful implementation of the Black Sea Basin ENI CBC</w:t>
      </w:r>
      <w:r>
        <w:rPr>
          <w:rFonts w:ascii="Calisto MT" w:hAnsi="Calisto MT"/>
          <w:sz w:val="22"/>
          <w:szCs w:val="22"/>
          <w:lang w:val="en-GB"/>
        </w:rPr>
        <w:t xml:space="preserve"> </w:t>
      </w:r>
      <w:r w:rsidRPr="00BA5A49">
        <w:rPr>
          <w:rFonts w:ascii="Calisto MT" w:hAnsi="Calisto MT"/>
          <w:sz w:val="22"/>
          <w:szCs w:val="22"/>
          <w:lang w:val="en-GB"/>
        </w:rPr>
        <w:t>programme 2014-2020. It is important for ensuring those involved, including other interested parties and the wider public, are kept informed of the support being provided by the EU and the results and impacts of this support. It is important also for keeping both external and internal actors informed and for liaison with EU and other bodies supporting initiatives in the BSB area. It is also an important component in capitalisation of results.</w:t>
      </w:r>
    </w:p>
    <w:p w14:paraId="3FC5A02B" w14:textId="77777777" w:rsidR="008644EB" w:rsidRDefault="008B456F" w:rsidP="008B456F">
      <w:pPr>
        <w:spacing w:before="120" w:after="0" w:line="252" w:lineRule="auto"/>
        <w:jc w:val="both"/>
        <w:rPr>
          <w:rFonts w:ascii="Calisto MT" w:hAnsi="Calisto MT"/>
          <w:sz w:val="22"/>
          <w:szCs w:val="22"/>
          <w:lang w:val="en-GB"/>
        </w:rPr>
      </w:pPr>
      <w:r w:rsidRPr="00BA5A49">
        <w:rPr>
          <w:rFonts w:ascii="Calisto MT" w:hAnsi="Calisto MT"/>
          <w:sz w:val="22"/>
          <w:szCs w:val="22"/>
          <w:lang w:val="en-GB"/>
        </w:rPr>
        <w:t xml:space="preserve">The ENI </w:t>
      </w:r>
      <w:r w:rsidR="00350C81">
        <w:rPr>
          <w:rFonts w:ascii="Calisto MT" w:hAnsi="Calisto MT"/>
          <w:sz w:val="22"/>
          <w:szCs w:val="22"/>
          <w:lang w:val="en-GB"/>
        </w:rPr>
        <w:t>CBC Implementing Regulation</w:t>
      </w:r>
      <w:r w:rsidRPr="00BA5A49">
        <w:rPr>
          <w:rFonts w:ascii="Calisto MT" w:hAnsi="Calisto MT"/>
          <w:sz w:val="22"/>
          <w:szCs w:val="22"/>
          <w:lang w:val="en-GB"/>
        </w:rPr>
        <w:t xml:space="preserve"> stipulate</w:t>
      </w:r>
      <w:r>
        <w:rPr>
          <w:rFonts w:ascii="Calisto MT" w:hAnsi="Calisto MT"/>
          <w:sz w:val="22"/>
          <w:szCs w:val="22"/>
          <w:lang w:val="en-GB"/>
        </w:rPr>
        <w:t>s</w:t>
      </w:r>
      <w:r w:rsidRPr="00BA5A49">
        <w:rPr>
          <w:rFonts w:ascii="Calisto MT" w:hAnsi="Calisto MT"/>
          <w:sz w:val="22"/>
          <w:szCs w:val="22"/>
          <w:lang w:val="en-GB"/>
        </w:rPr>
        <w:t xml:space="preserve"> that information on the communication strategy for the whole programme period, and an indicative information and communication plan for the first year should be included in the </w:t>
      </w:r>
      <w:r w:rsidR="00350C81">
        <w:rPr>
          <w:rFonts w:ascii="Calisto MT" w:hAnsi="Calisto MT"/>
          <w:sz w:val="22"/>
          <w:szCs w:val="22"/>
          <w:lang w:val="en-GB"/>
        </w:rPr>
        <w:t>programme</w:t>
      </w:r>
      <w:r w:rsidRPr="00BA5A49">
        <w:rPr>
          <w:rFonts w:ascii="Calisto MT" w:hAnsi="Calisto MT"/>
          <w:sz w:val="22"/>
          <w:szCs w:val="22"/>
          <w:lang w:val="en-GB"/>
        </w:rPr>
        <w:t xml:space="preserve">. </w:t>
      </w:r>
    </w:p>
    <w:p w14:paraId="1B9E6924" w14:textId="77777777" w:rsidR="008644EB" w:rsidRDefault="008644EB" w:rsidP="008644EB">
      <w:pPr>
        <w:spacing w:before="120" w:after="0" w:line="252" w:lineRule="auto"/>
        <w:jc w:val="both"/>
        <w:rPr>
          <w:rFonts w:ascii="Calisto MT" w:hAnsi="Calisto MT"/>
          <w:sz w:val="22"/>
          <w:szCs w:val="22"/>
          <w:lang w:val="en-GB"/>
        </w:rPr>
      </w:pPr>
      <w:r>
        <w:rPr>
          <w:rFonts w:ascii="Calisto MT" w:hAnsi="Calisto MT"/>
          <w:sz w:val="22"/>
          <w:szCs w:val="22"/>
          <w:lang w:val="en-GB"/>
        </w:rPr>
        <w:t>The strategy address</w:t>
      </w:r>
      <w:r w:rsidR="00615F91">
        <w:rPr>
          <w:rFonts w:ascii="Calisto MT" w:hAnsi="Calisto MT"/>
          <w:sz w:val="22"/>
          <w:szCs w:val="22"/>
          <w:lang w:val="en-GB"/>
        </w:rPr>
        <w:t>es</w:t>
      </w:r>
      <w:r>
        <w:rPr>
          <w:rFonts w:ascii="Calisto MT" w:hAnsi="Calisto MT"/>
          <w:sz w:val="22"/>
          <w:szCs w:val="22"/>
          <w:lang w:val="en-GB"/>
        </w:rPr>
        <w:t xml:space="preserve"> </w:t>
      </w:r>
      <w:r w:rsidRPr="00280AD9">
        <w:rPr>
          <w:rFonts w:ascii="Calisto MT" w:hAnsi="Calisto MT"/>
          <w:sz w:val="22"/>
          <w:szCs w:val="22"/>
          <w:lang w:val="en-GB"/>
        </w:rPr>
        <w:t xml:space="preserve">information and communication needs </w:t>
      </w:r>
      <w:r>
        <w:rPr>
          <w:rFonts w:ascii="Calisto MT" w:hAnsi="Calisto MT"/>
          <w:sz w:val="22"/>
          <w:szCs w:val="22"/>
          <w:lang w:val="en-GB"/>
        </w:rPr>
        <w:t xml:space="preserve">for internal </w:t>
      </w:r>
      <w:r w:rsidRPr="00280AD9">
        <w:rPr>
          <w:rFonts w:ascii="Calisto MT" w:hAnsi="Calisto MT"/>
          <w:sz w:val="22"/>
          <w:szCs w:val="22"/>
          <w:lang w:val="en-GB"/>
        </w:rPr>
        <w:t xml:space="preserve">actors involved in programme implementation </w:t>
      </w:r>
      <w:r>
        <w:rPr>
          <w:rFonts w:ascii="Calisto MT" w:hAnsi="Calisto MT"/>
          <w:sz w:val="22"/>
          <w:szCs w:val="22"/>
          <w:lang w:val="en-GB"/>
        </w:rPr>
        <w:t xml:space="preserve">as well as for external actors </w:t>
      </w:r>
      <w:r w:rsidRPr="00280AD9">
        <w:rPr>
          <w:rFonts w:ascii="Calisto MT" w:hAnsi="Calisto MT"/>
          <w:sz w:val="22"/>
          <w:szCs w:val="22"/>
          <w:lang w:val="en-GB"/>
        </w:rPr>
        <w:t xml:space="preserve">benefiting from programme implementation. </w:t>
      </w:r>
    </w:p>
    <w:p w14:paraId="2734438D" w14:textId="77777777" w:rsidR="008644EB" w:rsidRPr="00280AD9" w:rsidRDefault="008644EB" w:rsidP="008644EB">
      <w:pPr>
        <w:spacing w:before="120" w:after="0" w:line="252" w:lineRule="auto"/>
        <w:jc w:val="both"/>
        <w:rPr>
          <w:rFonts w:ascii="Calisto MT" w:hAnsi="Calisto MT"/>
          <w:sz w:val="22"/>
          <w:szCs w:val="22"/>
          <w:lang w:val="en-GB"/>
        </w:rPr>
      </w:pPr>
      <w:r w:rsidRPr="00280AD9">
        <w:rPr>
          <w:rFonts w:ascii="Calisto MT" w:hAnsi="Calisto MT"/>
          <w:sz w:val="22"/>
          <w:szCs w:val="22"/>
          <w:lang w:val="en-GB"/>
        </w:rPr>
        <w:t>The overall objective of the BSB Communication Strategy is to facilitate the achievement of the programme objectives through effective communication to improve participation, assist successful implementation, ensure transparency and increase awareness of the programme, EU and national support.</w:t>
      </w:r>
    </w:p>
    <w:p w14:paraId="1B1037EA" w14:textId="77777777" w:rsidR="00D42573" w:rsidRDefault="008B456F" w:rsidP="008B456F">
      <w:pPr>
        <w:spacing w:before="120" w:after="0" w:line="252" w:lineRule="auto"/>
        <w:jc w:val="both"/>
        <w:rPr>
          <w:rFonts w:ascii="Calisto MT" w:hAnsi="Calisto MT"/>
          <w:sz w:val="22"/>
          <w:szCs w:val="22"/>
          <w:lang w:val="en-GB"/>
        </w:rPr>
      </w:pPr>
      <w:r w:rsidRPr="00BA5A49">
        <w:rPr>
          <w:rFonts w:ascii="Calisto MT" w:hAnsi="Calisto MT"/>
          <w:sz w:val="22"/>
          <w:szCs w:val="22"/>
          <w:lang w:val="en-GB"/>
        </w:rPr>
        <w:t xml:space="preserve">The guiding principles, the responsible bodies, the visibility rules for information and communication are specified in other components of the legal framework governing the development and implementation of the ENI </w:t>
      </w:r>
      <w:proofErr w:type="gramStart"/>
      <w:r w:rsidRPr="00BA5A49">
        <w:rPr>
          <w:rFonts w:ascii="Calisto MT" w:hAnsi="Calisto MT"/>
          <w:sz w:val="22"/>
          <w:szCs w:val="22"/>
          <w:lang w:val="en-GB"/>
        </w:rPr>
        <w:t>CBC</w:t>
      </w:r>
      <w:r w:rsidR="000020E6">
        <w:rPr>
          <w:rFonts w:ascii="Calisto MT" w:hAnsi="Calisto MT"/>
          <w:sz w:val="22"/>
          <w:szCs w:val="22"/>
          <w:lang w:val="en-GB"/>
        </w:rPr>
        <w:t>,</w:t>
      </w:r>
      <w:proofErr w:type="gramEnd"/>
      <w:r w:rsidRPr="00BA5A49">
        <w:rPr>
          <w:rFonts w:ascii="Calisto MT" w:hAnsi="Calisto MT"/>
          <w:sz w:val="22"/>
          <w:szCs w:val="22"/>
          <w:lang w:val="en-GB"/>
        </w:rPr>
        <w:t xml:space="preserve"> in particular that communication is targeted, adequate and non-discriminatory</w:t>
      </w:r>
      <w:r>
        <w:rPr>
          <w:rFonts w:ascii="Calisto MT" w:hAnsi="Calisto MT"/>
          <w:sz w:val="22"/>
          <w:szCs w:val="22"/>
          <w:lang w:val="en-GB"/>
        </w:rPr>
        <w:t>.</w:t>
      </w:r>
      <w:r w:rsidRPr="00BA5A49">
        <w:rPr>
          <w:rFonts w:ascii="Calisto MT" w:hAnsi="Calisto MT"/>
          <w:sz w:val="22"/>
          <w:szCs w:val="22"/>
          <w:lang w:val="en-GB"/>
        </w:rPr>
        <w:t xml:space="preserve"> These requirements and principles have been taken into acc</w:t>
      </w:r>
      <w:r>
        <w:rPr>
          <w:rFonts w:ascii="Calisto MT" w:hAnsi="Calisto MT"/>
          <w:sz w:val="22"/>
          <w:szCs w:val="22"/>
          <w:lang w:val="en-GB"/>
        </w:rPr>
        <w:t xml:space="preserve">ount in the preparation of the communication </w:t>
      </w:r>
      <w:r w:rsidRPr="00BA5A49">
        <w:rPr>
          <w:rFonts w:ascii="Calisto MT" w:hAnsi="Calisto MT"/>
          <w:sz w:val="22"/>
          <w:szCs w:val="22"/>
          <w:lang w:val="en-GB"/>
        </w:rPr>
        <w:t xml:space="preserve">strategy. </w:t>
      </w:r>
    </w:p>
    <w:p w14:paraId="583DCE9E" w14:textId="77777777" w:rsidR="00A902A5" w:rsidRPr="007B13E0" w:rsidRDefault="00F022F7" w:rsidP="006A62FE">
      <w:pPr>
        <w:spacing w:before="120" w:after="0" w:line="252" w:lineRule="auto"/>
        <w:jc w:val="both"/>
        <w:rPr>
          <w:rFonts w:ascii="Calisto MT" w:hAnsi="Calisto MT"/>
          <w:sz w:val="22"/>
          <w:szCs w:val="22"/>
          <w:lang w:val="en-GB"/>
        </w:rPr>
      </w:pPr>
      <w:bookmarkStart w:id="123" w:name="_Toc412197517"/>
      <w:r>
        <w:rPr>
          <w:rFonts w:ascii="Calisto MT" w:hAnsi="Calisto MT"/>
          <w:sz w:val="22"/>
          <w:szCs w:val="22"/>
          <w:lang w:val="en-GB"/>
        </w:rPr>
        <w:t xml:space="preserve">See </w:t>
      </w:r>
      <w:r w:rsidR="003433E3">
        <w:rPr>
          <w:rFonts w:ascii="Calisto MT" w:hAnsi="Calisto MT"/>
          <w:sz w:val="22"/>
          <w:szCs w:val="22"/>
          <w:lang w:val="en-GB"/>
        </w:rPr>
        <w:t>Anne</w:t>
      </w:r>
      <w:r>
        <w:rPr>
          <w:rFonts w:ascii="Calisto MT" w:hAnsi="Calisto MT"/>
          <w:sz w:val="22"/>
          <w:szCs w:val="22"/>
          <w:lang w:val="en-GB"/>
        </w:rPr>
        <w:t xml:space="preserve">x 4 for the </w:t>
      </w:r>
      <w:r w:rsidR="008D702C">
        <w:rPr>
          <w:rFonts w:ascii="Calisto MT" w:hAnsi="Calisto MT"/>
          <w:sz w:val="22"/>
          <w:szCs w:val="22"/>
          <w:lang w:val="en-GB"/>
        </w:rPr>
        <w:t>c</w:t>
      </w:r>
      <w:r w:rsidR="008D702C" w:rsidRPr="008D702C">
        <w:rPr>
          <w:rFonts w:ascii="Calisto MT" w:hAnsi="Calisto MT"/>
          <w:sz w:val="22"/>
          <w:szCs w:val="22"/>
          <w:lang w:val="en-GB"/>
        </w:rPr>
        <w:t xml:space="preserve">ommunication </w:t>
      </w:r>
      <w:r w:rsidR="008D702C">
        <w:rPr>
          <w:rFonts w:ascii="Calisto MT" w:hAnsi="Calisto MT"/>
          <w:sz w:val="22"/>
          <w:szCs w:val="22"/>
          <w:lang w:val="en-GB"/>
        </w:rPr>
        <w:t>s</w:t>
      </w:r>
      <w:r w:rsidR="008D702C" w:rsidRPr="006A62FE">
        <w:rPr>
          <w:rFonts w:ascii="Calisto MT" w:hAnsi="Calisto MT"/>
          <w:sz w:val="22"/>
          <w:szCs w:val="22"/>
          <w:lang w:val="en-GB"/>
        </w:rPr>
        <w:t>trategy</w:t>
      </w:r>
      <w:r w:rsidR="008D702C" w:rsidRPr="006A62FE" w:rsidDel="008644EB">
        <w:rPr>
          <w:rFonts w:ascii="Calisto MT" w:hAnsi="Calisto MT"/>
          <w:sz w:val="22"/>
          <w:szCs w:val="22"/>
          <w:lang w:val="en-GB"/>
        </w:rPr>
        <w:t xml:space="preserve"> </w:t>
      </w:r>
      <w:r w:rsidR="008D702C">
        <w:rPr>
          <w:rFonts w:ascii="Calisto MT" w:hAnsi="Calisto MT"/>
          <w:sz w:val="22"/>
          <w:szCs w:val="22"/>
          <w:lang w:val="en-GB"/>
        </w:rPr>
        <w:t xml:space="preserve">and </w:t>
      </w:r>
      <w:bookmarkEnd w:id="123"/>
      <w:r>
        <w:rPr>
          <w:rFonts w:ascii="Calisto MT" w:hAnsi="Calisto MT"/>
          <w:sz w:val="22"/>
          <w:szCs w:val="22"/>
          <w:lang w:val="en-GB"/>
        </w:rPr>
        <w:t xml:space="preserve">the </w:t>
      </w:r>
      <w:r w:rsidR="00A902A5" w:rsidRPr="006A62FE">
        <w:rPr>
          <w:rFonts w:ascii="Calisto MT" w:hAnsi="Calisto MT"/>
          <w:sz w:val="22"/>
          <w:szCs w:val="22"/>
          <w:lang w:val="en-GB"/>
        </w:rPr>
        <w:t xml:space="preserve">Annual Information and Communication Plan </w:t>
      </w:r>
      <w:r>
        <w:rPr>
          <w:rFonts w:ascii="Calisto MT" w:hAnsi="Calisto MT"/>
          <w:sz w:val="22"/>
          <w:szCs w:val="22"/>
          <w:lang w:val="en-GB"/>
        </w:rPr>
        <w:t xml:space="preserve">for </w:t>
      </w:r>
      <w:r w:rsidR="00A902A5" w:rsidRPr="006A62FE">
        <w:rPr>
          <w:rFonts w:ascii="Calisto MT" w:hAnsi="Calisto MT"/>
          <w:sz w:val="22"/>
          <w:szCs w:val="22"/>
          <w:lang w:val="en-GB"/>
        </w:rPr>
        <w:t>2016</w:t>
      </w:r>
      <w:r>
        <w:rPr>
          <w:rFonts w:ascii="Calisto MT" w:hAnsi="Calisto MT"/>
          <w:sz w:val="22"/>
          <w:szCs w:val="22"/>
          <w:lang w:val="en-GB"/>
        </w:rPr>
        <w:t>.</w:t>
      </w:r>
    </w:p>
    <w:p w14:paraId="562C6F98" w14:textId="77777777" w:rsidR="00087D04" w:rsidRPr="00E017DD" w:rsidRDefault="004816B7" w:rsidP="00087D04">
      <w:pPr>
        <w:pStyle w:val="Heading3"/>
        <w:spacing w:before="200" w:line="264" w:lineRule="auto"/>
        <w:rPr>
          <w:b/>
          <w:sz w:val="28"/>
          <w:szCs w:val="28"/>
          <w:lang w:val="en-GB"/>
        </w:rPr>
      </w:pPr>
      <w:bookmarkStart w:id="124" w:name="_Toc423436313"/>
      <w:r>
        <w:rPr>
          <w:b/>
          <w:sz w:val="28"/>
          <w:szCs w:val="28"/>
          <w:lang w:val="en-GB"/>
        </w:rPr>
        <w:t xml:space="preserve">8.6 </w:t>
      </w:r>
      <w:r w:rsidR="00EE745F" w:rsidRPr="00F62747">
        <w:rPr>
          <w:b/>
          <w:sz w:val="28"/>
          <w:szCs w:val="28"/>
          <w:lang w:val="en-GB"/>
        </w:rPr>
        <w:t>Strategic Environmental Assessment</w:t>
      </w:r>
      <w:bookmarkStart w:id="125" w:name="_Toc402864394"/>
      <w:bookmarkEnd w:id="122"/>
      <w:bookmarkEnd w:id="124"/>
    </w:p>
    <w:p w14:paraId="01C1FF27" w14:textId="77777777" w:rsidR="00E017DD" w:rsidRPr="00EA2776" w:rsidRDefault="00BB7F6F" w:rsidP="00E017DD">
      <w:pPr>
        <w:spacing w:before="120" w:after="0" w:line="252" w:lineRule="auto"/>
        <w:jc w:val="both"/>
        <w:rPr>
          <w:rFonts w:ascii="Calisto MT" w:hAnsi="Calisto MT"/>
          <w:sz w:val="22"/>
          <w:szCs w:val="22"/>
          <w:lang w:val="en-GB"/>
        </w:rPr>
      </w:pPr>
      <w:r w:rsidRPr="00EA2776">
        <w:rPr>
          <w:rFonts w:ascii="Calisto MT" w:hAnsi="Calisto MT"/>
          <w:sz w:val="22"/>
          <w:szCs w:val="22"/>
          <w:lang w:val="en-GB"/>
        </w:rPr>
        <w:t>According to ENI CBC implementing regulation</w:t>
      </w:r>
      <w:r w:rsidRPr="00EA2776">
        <w:rPr>
          <w:rStyle w:val="FootnoteReference"/>
          <w:rFonts w:ascii="Calisto MT" w:hAnsi="Calisto MT"/>
          <w:sz w:val="22"/>
          <w:szCs w:val="22"/>
          <w:lang w:val="en-GB"/>
        </w:rPr>
        <w:footnoteReference w:id="94"/>
      </w:r>
      <w:r w:rsidRPr="00EA2776">
        <w:rPr>
          <w:rFonts w:ascii="Calisto MT" w:hAnsi="Calisto MT"/>
          <w:sz w:val="22"/>
          <w:szCs w:val="22"/>
          <w:lang w:val="en-GB"/>
        </w:rPr>
        <w:t>, BSB joint operational programme</w:t>
      </w:r>
      <w:r w:rsidR="00E017DD" w:rsidRPr="00EA2776">
        <w:rPr>
          <w:rFonts w:ascii="Calisto MT" w:hAnsi="Calisto MT"/>
          <w:sz w:val="22"/>
          <w:szCs w:val="22"/>
          <w:lang w:val="en-GB"/>
        </w:rPr>
        <w:t xml:space="preserve"> should include “information on fulfilment of regulatory requirements laid down in Directive 2001/42/EC of the European Parliament and of the Council”, i.e. the directive on the assessment of the effects of plans and programmes on the environment, the so called Strategic Environmental Assessment (SEA) Directive.</w:t>
      </w:r>
    </w:p>
    <w:p w14:paraId="0A6621FC" w14:textId="77777777" w:rsidR="00E017DD" w:rsidRPr="00EA2776" w:rsidRDefault="00E017DD" w:rsidP="00E017DD">
      <w:pPr>
        <w:spacing w:before="120" w:after="0" w:line="252" w:lineRule="auto"/>
        <w:jc w:val="both"/>
        <w:rPr>
          <w:rFonts w:ascii="Calisto MT" w:hAnsi="Calisto MT"/>
          <w:sz w:val="22"/>
          <w:szCs w:val="22"/>
          <w:lang w:val="en-GB"/>
        </w:rPr>
      </w:pPr>
      <w:r w:rsidRPr="00EA2776">
        <w:rPr>
          <w:rFonts w:ascii="Calisto MT" w:hAnsi="Calisto MT"/>
          <w:sz w:val="22"/>
          <w:szCs w:val="22"/>
          <w:lang w:val="en-GB"/>
        </w:rPr>
        <w:t>The purp</w:t>
      </w:r>
      <w:r w:rsidR="00A221DC">
        <w:rPr>
          <w:rFonts w:ascii="Calisto MT" w:hAnsi="Calisto MT"/>
          <w:sz w:val="22"/>
          <w:szCs w:val="22"/>
          <w:lang w:val="en-GB"/>
        </w:rPr>
        <w:t xml:space="preserve">ose of the SEA Directive is to </w:t>
      </w:r>
      <w:r w:rsidRPr="00EA2776">
        <w:rPr>
          <w:rFonts w:ascii="Calisto MT" w:hAnsi="Calisto MT"/>
          <w:sz w:val="22"/>
          <w:szCs w:val="22"/>
          <w:lang w:val="en-GB"/>
        </w:rPr>
        <w:t xml:space="preserve">provide for a higher level of protection of the environment and to contribute to the integration of environmental considerations into the preparation and adoption of plans and </w:t>
      </w:r>
      <w:r w:rsidRPr="00EA2776">
        <w:rPr>
          <w:rFonts w:ascii="Calisto MT" w:hAnsi="Calisto MT"/>
          <w:sz w:val="22"/>
          <w:szCs w:val="22"/>
          <w:lang w:val="en-GB"/>
        </w:rPr>
        <w:lastRenderedPageBreak/>
        <w:t xml:space="preserve">programmes with a view to promoting </w:t>
      </w:r>
      <w:r w:rsidR="00A221DC">
        <w:rPr>
          <w:rFonts w:ascii="Calisto MT" w:hAnsi="Calisto MT"/>
          <w:sz w:val="22"/>
          <w:szCs w:val="22"/>
          <w:lang w:val="en-GB"/>
        </w:rPr>
        <w:t>sustainable development</w:t>
      </w:r>
      <w:r w:rsidRPr="00EA2776">
        <w:rPr>
          <w:rFonts w:ascii="Calisto MT" w:hAnsi="Calisto MT"/>
          <w:sz w:val="22"/>
          <w:szCs w:val="22"/>
          <w:lang w:val="en-GB"/>
        </w:rPr>
        <w:t>. Ac</w:t>
      </w:r>
      <w:r w:rsidR="00A221DC">
        <w:rPr>
          <w:rFonts w:ascii="Calisto MT" w:hAnsi="Calisto MT"/>
          <w:sz w:val="22"/>
          <w:szCs w:val="22"/>
          <w:lang w:val="en-GB"/>
        </w:rPr>
        <w:t>cording to the directive</w:t>
      </w:r>
      <w:r w:rsidRPr="00EA2776">
        <w:rPr>
          <w:rFonts w:ascii="Calisto MT" w:hAnsi="Calisto MT"/>
          <w:sz w:val="22"/>
          <w:szCs w:val="22"/>
          <w:lang w:val="en-GB"/>
        </w:rPr>
        <w:t xml:space="preserve">, a full environmental assessment should be carried out for a particular programme </w:t>
      </w:r>
      <w:r w:rsidR="00960A0D">
        <w:rPr>
          <w:rFonts w:ascii="Calisto MT" w:hAnsi="Calisto MT"/>
          <w:sz w:val="22"/>
          <w:szCs w:val="22"/>
          <w:lang w:val="en-GB"/>
        </w:rPr>
        <w:t>as follows</w:t>
      </w:r>
      <w:r w:rsidRPr="00EA2776">
        <w:rPr>
          <w:rFonts w:ascii="Calisto MT" w:hAnsi="Calisto MT"/>
          <w:sz w:val="22"/>
          <w:szCs w:val="22"/>
          <w:lang w:val="en-GB"/>
        </w:rPr>
        <w:t xml:space="preserve">: </w:t>
      </w:r>
    </w:p>
    <w:p w14:paraId="0B32777A" w14:textId="77777777" w:rsidR="00E017DD" w:rsidRPr="00EA2776" w:rsidRDefault="00E017DD" w:rsidP="002E0D54">
      <w:pPr>
        <w:pStyle w:val="ListParagraph"/>
        <w:numPr>
          <w:ilvl w:val="0"/>
          <w:numId w:val="59"/>
        </w:numPr>
        <w:spacing w:before="120" w:after="0" w:line="252" w:lineRule="auto"/>
        <w:jc w:val="both"/>
        <w:rPr>
          <w:rFonts w:ascii="Calisto MT" w:hAnsi="Calisto MT"/>
          <w:sz w:val="22"/>
          <w:szCs w:val="22"/>
          <w:lang w:val="en-GB"/>
        </w:rPr>
      </w:pPr>
      <w:r w:rsidRPr="00EA2776">
        <w:rPr>
          <w:rFonts w:ascii="Calisto MT" w:hAnsi="Calisto MT"/>
          <w:sz w:val="22"/>
          <w:szCs w:val="22"/>
          <w:lang w:val="en-GB"/>
        </w:rPr>
        <w:t xml:space="preserve">It is required automatically </w:t>
      </w:r>
      <w:r w:rsidR="00960A0D">
        <w:rPr>
          <w:rFonts w:ascii="Calisto MT" w:hAnsi="Calisto MT"/>
          <w:sz w:val="22"/>
          <w:szCs w:val="22"/>
          <w:lang w:val="en-GB"/>
        </w:rPr>
        <w:t>when</w:t>
      </w:r>
      <w:r w:rsidR="00960A0D" w:rsidRPr="00EA2776">
        <w:rPr>
          <w:rFonts w:ascii="Calisto MT" w:hAnsi="Calisto MT"/>
          <w:sz w:val="22"/>
          <w:szCs w:val="22"/>
          <w:lang w:val="en-GB"/>
        </w:rPr>
        <w:t xml:space="preserve"> </w:t>
      </w:r>
      <w:r w:rsidRPr="00EA2776">
        <w:rPr>
          <w:rFonts w:ascii="Calisto MT" w:hAnsi="Calisto MT"/>
          <w:sz w:val="22"/>
          <w:szCs w:val="22"/>
          <w:lang w:val="en-GB"/>
        </w:rPr>
        <w:t>the relevant programme set</w:t>
      </w:r>
      <w:r w:rsidR="00A221DC">
        <w:rPr>
          <w:rFonts w:ascii="Calisto MT" w:hAnsi="Calisto MT"/>
          <w:sz w:val="22"/>
          <w:szCs w:val="22"/>
          <w:lang w:val="en-GB"/>
        </w:rPr>
        <w:t>s</w:t>
      </w:r>
      <w:r w:rsidRPr="00EA2776">
        <w:rPr>
          <w:rFonts w:ascii="Calisto MT" w:hAnsi="Calisto MT"/>
          <w:sz w:val="22"/>
          <w:szCs w:val="22"/>
          <w:lang w:val="en-GB"/>
        </w:rPr>
        <w:t xml:space="preserve"> the framework for consent for projects with work components listed in </w:t>
      </w:r>
      <w:r w:rsidR="003433E3" w:rsidRPr="00EA2776">
        <w:rPr>
          <w:rFonts w:ascii="Calisto MT" w:hAnsi="Calisto MT"/>
          <w:sz w:val="22"/>
          <w:szCs w:val="22"/>
          <w:lang w:val="en-GB"/>
        </w:rPr>
        <w:t>Anne</w:t>
      </w:r>
      <w:r w:rsidRPr="00EA2776">
        <w:rPr>
          <w:rFonts w:ascii="Calisto MT" w:hAnsi="Calisto MT"/>
          <w:sz w:val="22"/>
          <w:szCs w:val="22"/>
          <w:lang w:val="en-GB"/>
        </w:rPr>
        <w:t xml:space="preserve">x </w:t>
      </w:r>
      <w:r w:rsidR="003433E3">
        <w:rPr>
          <w:rFonts w:ascii="Calisto MT" w:hAnsi="Calisto MT"/>
          <w:sz w:val="22"/>
          <w:szCs w:val="22"/>
          <w:lang w:val="en-GB"/>
        </w:rPr>
        <w:t>I</w:t>
      </w:r>
      <w:r w:rsidRPr="00EA2776">
        <w:rPr>
          <w:rFonts w:ascii="Calisto MT" w:hAnsi="Calisto MT"/>
          <w:sz w:val="22"/>
          <w:szCs w:val="22"/>
          <w:lang w:val="en-GB"/>
        </w:rPr>
        <w:t xml:space="preserve"> or </w:t>
      </w:r>
      <w:r w:rsidR="003433E3">
        <w:rPr>
          <w:rFonts w:ascii="Calisto MT" w:hAnsi="Calisto MT"/>
          <w:sz w:val="22"/>
          <w:szCs w:val="22"/>
          <w:lang w:val="en-GB"/>
        </w:rPr>
        <w:t>II</w:t>
      </w:r>
      <w:r w:rsidRPr="00EA2776">
        <w:rPr>
          <w:rFonts w:ascii="Calisto MT" w:hAnsi="Calisto MT"/>
          <w:sz w:val="22"/>
          <w:szCs w:val="22"/>
          <w:lang w:val="en-GB"/>
        </w:rPr>
        <w:t xml:space="preserve"> of the EIA Directive (87/337/EEC), or which in view of the likely effect on sites, have been determined to require an assessment pursuant to art. 6/7 of the Habitat Directive (92/43/EEC).</w:t>
      </w:r>
    </w:p>
    <w:p w14:paraId="2A1E2CE6" w14:textId="77777777" w:rsidR="00E017DD" w:rsidRPr="00EA2776" w:rsidRDefault="00E017DD" w:rsidP="00777EF6">
      <w:pPr>
        <w:spacing w:after="0" w:line="252" w:lineRule="auto"/>
        <w:jc w:val="both"/>
        <w:rPr>
          <w:rFonts w:ascii="Calisto MT" w:hAnsi="Calisto MT"/>
          <w:sz w:val="22"/>
          <w:szCs w:val="22"/>
          <w:lang w:val="en-GB"/>
        </w:rPr>
      </w:pPr>
      <w:r w:rsidRPr="00EA2776">
        <w:rPr>
          <w:rFonts w:ascii="Calisto MT" w:hAnsi="Calisto MT"/>
          <w:sz w:val="22"/>
          <w:szCs w:val="22"/>
          <w:lang w:val="en-GB"/>
        </w:rPr>
        <w:t>OR</w:t>
      </w:r>
    </w:p>
    <w:p w14:paraId="62AD36DE" w14:textId="77777777" w:rsidR="00E017DD" w:rsidRPr="00EA2776" w:rsidRDefault="00E017DD" w:rsidP="002E0D54">
      <w:pPr>
        <w:pStyle w:val="ListParagraph"/>
        <w:numPr>
          <w:ilvl w:val="0"/>
          <w:numId w:val="59"/>
        </w:numPr>
        <w:spacing w:before="120" w:after="0" w:line="252" w:lineRule="auto"/>
        <w:jc w:val="both"/>
        <w:rPr>
          <w:rFonts w:ascii="Calisto MT" w:hAnsi="Calisto MT"/>
          <w:sz w:val="22"/>
          <w:szCs w:val="22"/>
          <w:lang w:val="en-GB"/>
        </w:rPr>
      </w:pPr>
      <w:r w:rsidRPr="00EA2776">
        <w:rPr>
          <w:rFonts w:ascii="Calisto MT" w:hAnsi="Calisto MT"/>
          <w:sz w:val="22"/>
          <w:szCs w:val="22"/>
          <w:lang w:val="en-GB"/>
        </w:rPr>
        <w:t>The need for a full environmental assessment is determined following a ‘screening’ process to determine whether the programme sets the f</w:t>
      </w:r>
      <w:r w:rsidR="00D520C0">
        <w:rPr>
          <w:rFonts w:ascii="Calisto MT" w:hAnsi="Calisto MT"/>
          <w:sz w:val="22"/>
          <w:szCs w:val="22"/>
          <w:lang w:val="en-GB"/>
        </w:rPr>
        <w:t xml:space="preserve">ramework for future </w:t>
      </w:r>
      <w:r w:rsidRPr="00EA2776">
        <w:rPr>
          <w:rFonts w:ascii="Calisto MT" w:hAnsi="Calisto MT"/>
          <w:sz w:val="22"/>
          <w:szCs w:val="22"/>
          <w:lang w:val="en-GB"/>
        </w:rPr>
        <w:t xml:space="preserve">consent of projects likely to have a significant effect on the environment. </w:t>
      </w:r>
    </w:p>
    <w:p w14:paraId="2A1EC841" w14:textId="77777777" w:rsidR="00E017DD" w:rsidRPr="00EA2776" w:rsidRDefault="00E017DD" w:rsidP="00E017DD">
      <w:pPr>
        <w:spacing w:before="120" w:after="0" w:line="252" w:lineRule="auto"/>
        <w:jc w:val="both"/>
        <w:rPr>
          <w:rFonts w:ascii="Calisto MT" w:hAnsi="Calisto MT"/>
          <w:sz w:val="22"/>
          <w:szCs w:val="22"/>
          <w:lang w:val="en-GB"/>
        </w:rPr>
      </w:pPr>
      <w:r w:rsidRPr="00EA2776">
        <w:rPr>
          <w:rFonts w:ascii="Calisto MT" w:hAnsi="Calisto MT"/>
          <w:sz w:val="22"/>
          <w:szCs w:val="22"/>
          <w:lang w:val="en-GB"/>
        </w:rPr>
        <w:t>As the SEA Directive does not specifically address cross-border cooperation</w:t>
      </w:r>
      <w:r w:rsidR="00B52CAE">
        <w:rPr>
          <w:rFonts w:ascii="Calisto MT" w:hAnsi="Calisto MT"/>
          <w:sz w:val="22"/>
          <w:szCs w:val="22"/>
          <w:lang w:val="en-GB"/>
        </w:rPr>
        <w:t xml:space="preserve"> programmes with Partner</w:t>
      </w:r>
      <w:r w:rsidRPr="00EA2776">
        <w:rPr>
          <w:rFonts w:ascii="Calisto MT" w:hAnsi="Calisto MT"/>
          <w:sz w:val="22"/>
          <w:szCs w:val="22"/>
          <w:lang w:val="en-GB"/>
        </w:rPr>
        <w:t xml:space="preserve"> Countries</w:t>
      </w:r>
      <w:r w:rsidR="00527E8B">
        <w:rPr>
          <w:rFonts w:ascii="Calisto MT" w:hAnsi="Calisto MT"/>
          <w:sz w:val="22"/>
          <w:szCs w:val="22"/>
          <w:lang w:val="en-GB"/>
        </w:rPr>
        <w:t>,</w:t>
      </w:r>
      <w:r w:rsidRPr="00EA2776">
        <w:rPr>
          <w:rFonts w:ascii="Calisto MT" w:hAnsi="Calisto MT"/>
          <w:sz w:val="22"/>
          <w:szCs w:val="22"/>
          <w:lang w:val="en-GB"/>
        </w:rPr>
        <w:t xml:space="preserve"> the EC issued a </w:t>
      </w:r>
      <w:r w:rsidRPr="00EA2776">
        <w:rPr>
          <w:rFonts w:ascii="Calisto MT" w:hAnsi="Calisto MT"/>
          <w:i/>
          <w:sz w:val="22"/>
          <w:szCs w:val="22"/>
          <w:lang w:val="en-GB"/>
        </w:rPr>
        <w:t>Guidance Note on Strategic Environmental Assessment (SEA) in the context of ENI CBC</w:t>
      </w:r>
      <w:r w:rsidRPr="00EA2776">
        <w:rPr>
          <w:rFonts w:ascii="Calisto MT" w:hAnsi="Calisto MT"/>
          <w:sz w:val="22"/>
          <w:szCs w:val="22"/>
          <w:lang w:val="en-GB"/>
        </w:rPr>
        <w:t xml:space="preserve"> (June 2014). According to the guidance</w:t>
      </w:r>
      <w:r w:rsidR="00960A0D">
        <w:rPr>
          <w:rFonts w:ascii="Calisto MT" w:hAnsi="Calisto MT"/>
          <w:sz w:val="22"/>
          <w:szCs w:val="22"/>
          <w:lang w:val="en-GB"/>
        </w:rPr>
        <w:t>,</w:t>
      </w:r>
      <w:r w:rsidRPr="00EA2776">
        <w:rPr>
          <w:rFonts w:ascii="Calisto MT" w:hAnsi="Calisto MT"/>
          <w:sz w:val="22"/>
          <w:szCs w:val="22"/>
          <w:lang w:val="en-GB"/>
        </w:rPr>
        <w:t xml:space="preserve"> it is the responsi</w:t>
      </w:r>
      <w:r w:rsidR="00B52CAE">
        <w:rPr>
          <w:rFonts w:ascii="Calisto MT" w:hAnsi="Calisto MT"/>
          <w:sz w:val="22"/>
          <w:szCs w:val="22"/>
          <w:lang w:val="en-GB"/>
        </w:rPr>
        <w:t xml:space="preserve">bility of the Member State </w:t>
      </w:r>
      <w:r w:rsidRPr="00EA2776">
        <w:rPr>
          <w:rFonts w:ascii="Calisto MT" w:hAnsi="Calisto MT"/>
          <w:sz w:val="22"/>
          <w:szCs w:val="22"/>
          <w:lang w:val="en-GB"/>
        </w:rPr>
        <w:t xml:space="preserve">hosting the Managing Authority (MA) for the programme to determine, according to its national legislation, how to conduct the SEA process. </w:t>
      </w:r>
    </w:p>
    <w:p w14:paraId="79F524C6" w14:textId="77777777" w:rsidR="00E017DD" w:rsidRPr="00EA2776" w:rsidRDefault="00E017DD" w:rsidP="00E017DD">
      <w:pPr>
        <w:spacing w:before="240" w:after="120"/>
        <w:rPr>
          <w:rFonts w:ascii="Calisto MT" w:hAnsi="Calisto MT"/>
          <w:b/>
          <w:lang w:val="en-GB"/>
        </w:rPr>
      </w:pPr>
      <w:r w:rsidRPr="00EA2776">
        <w:rPr>
          <w:rFonts w:ascii="Calisto MT" w:hAnsi="Calisto MT"/>
          <w:b/>
          <w:lang w:val="en-GB"/>
        </w:rPr>
        <w:t>SEA process</w:t>
      </w:r>
    </w:p>
    <w:p w14:paraId="4C90C4DA" w14:textId="77777777" w:rsidR="00E017DD" w:rsidRPr="00EA2776" w:rsidRDefault="00E017DD" w:rsidP="00E017DD">
      <w:pPr>
        <w:spacing w:before="120" w:after="0" w:line="252" w:lineRule="auto"/>
        <w:jc w:val="both"/>
        <w:rPr>
          <w:rFonts w:ascii="Calisto MT" w:hAnsi="Calisto MT"/>
          <w:sz w:val="22"/>
          <w:szCs w:val="22"/>
          <w:lang w:val="en-GB"/>
        </w:rPr>
      </w:pPr>
      <w:r w:rsidRPr="00EA2776">
        <w:rPr>
          <w:rFonts w:ascii="Calisto MT" w:hAnsi="Calisto MT"/>
          <w:sz w:val="22"/>
          <w:szCs w:val="22"/>
          <w:lang w:val="en-GB"/>
        </w:rPr>
        <w:t>According to current practice in Romania, the procedure for the asse</w:t>
      </w:r>
      <w:r w:rsidR="006B5FD0">
        <w:rPr>
          <w:rFonts w:ascii="Calisto MT" w:hAnsi="Calisto MT"/>
          <w:sz w:val="22"/>
          <w:szCs w:val="22"/>
          <w:lang w:val="en-GB"/>
        </w:rPr>
        <w:t>ssment of such programmes is ad</w:t>
      </w:r>
      <w:r w:rsidR="005D2F7A">
        <w:rPr>
          <w:rFonts w:ascii="Calisto MT" w:hAnsi="Calisto MT"/>
          <w:sz w:val="22"/>
          <w:szCs w:val="22"/>
          <w:lang w:val="en-GB"/>
        </w:rPr>
        <w:t>a</w:t>
      </w:r>
      <w:r w:rsidRPr="00EA2776">
        <w:rPr>
          <w:rFonts w:ascii="Calisto MT" w:hAnsi="Calisto MT"/>
          <w:sz w:val="22"/>
          <w:szCs w:val="22"/>
          <w:lang w:val="en-GB"/>
        </w:rPr>
        <w:t>pted by the Ministry of Environment, Water and Forests (</w:t>
      </w:r>
      <w:proofErr w:type="spellStart"/>
      <w:r w:rsidRPr="00EA2776">
        <w:rPr>
          <w:rFonts w:ascii="Calisto MT" w:hAnsi="Calisto MT"/>
          <w:sz w:val="22"/>
          <w:szCs w:val="22"/>
          <w:lang w:val="en-GB"/>
        </w:rPr>
        <w:t>MoE</w:t>
      </w:r>
      <w:proofErr w:type="spellEnd"/>
      <w:r w:rsidRPr="00EA2776">
        <w:rPr>
          <w:rFonts w:ascii="Calisto MT" w:hAnsi="Calisto MT"/>
          <w:sz w:val="22"/>
          <w:szCs w:val="22"/>
          <w:lang w:val="en-GB"/>
        </w:rPr>
        <w:t>), on a case by case basis, according to the SEA Directive and the Romanian Government Decision on the environmental assessment of plans and programmes</w:t>
      </w:r>
      <w:r w:rsidR="00B52CAE">
        <w:rPr>
          <w:rStyle w:val="FootnoteReference"/>
          <w:rFonts w:ascii="Calisto MT" w:hAnsi="Calisto MT"/>
          <w:sz w:val="22"/>
          <w:szCs w:val="22"/>
          <w:lang w:val="en-GB"/>
        </w:rPr>
        <w:footnoteReference w:id="95"/>
      </w:r>
      <w:r w:rsidR="00B52CAE">
        <w:rPr>
          <w:rFonts w:ascii="Calisto MT" w:hAnsi="Calisto MT"/>
          <w:sz w:val="22"/>
          <w:szCs w:val="22"/>
          <w:lang w:val="en-GB"/>
        </w:rPr>
        <w:t>.</w:t>
      </w:r>
    </w:p>
    <w:p w14:paraId="68DCC206" w14:textId="77777777" w:rsidR="00E017DD" w:rsidRPr="00AB2546" w:rsidRDefault="005D2F7A" w:rsidP="00E017DD">
      <w:pPr>
        <w:spacing w:before="120" w:after="0" w:line="252" w:lineRule="auto"/>
        <w:jc w:val="both"/>
        <w:rPr>
          <w:rFonts w:ascii="Calisto MT" w:hAnsi="Calisto MT"/>
          <w:sz w:val="22"/>
          <w:szCs w:val="22"/>
          <w:lang w:val="en-GB"/>
        </w:rPr>
      </w:pPr>
      <w:r>
        <w:rPr>
          <w:rFonts w:ascii="Calisto MT" w:hAnsi="Calisto MT"/>
          <w:sz w:val="22"/>
          <w:szCs w:val="22"/>
          <w:lang w:val="en-GB"/>
        </w:rPr>
        <w:t>In the case of the BSB</w:t>
      </w:r>
      <w:r w:rsidR="00E017DD" w:rsidRPr="00EA2776">
        <w:rPr>
          <w:rFonts w:ascii="Calisto MT" w:hAnsi="Calisto MT"/>
          <w:sz w:val="22"/>
          <w:szCs w:val="22"/>
          <w:lang w:val="en-GB"/>
        </w:rPr>
        <w:t xml:space="preserve"> programme, the </w:t>
      </w:r>
      <w:proofErr w:type="spellStart"/>
      <w:r w:rsidR="00E017DD" w:rsidRPr="00EA2776">
        <w:rPr>
          <w:rFonts w:ascii="Calisto MT" w:hAnsi="Calisto MT"/>
          <w:sz w:val="22"/>
          <w:szCs w:val="22"/>
          <w:lang w:val="en-GB"/>
        </w:rPr>
        <w:t>MoE</w:t>
      </w:r>
      <w:proofErr w:type="spellEnd"/>
      <w:r w:rsidR="00E017DD" w:rsidRPr="00EA2776">
        <w:rPr>
          <w:rFonts w:ascii="Calisto MT" w:hAnsi="Calisto MT"/>
          <w:sz w:val="22"/>
          <w:szCs w:val="22"/>
          <w:lang w:val="en-GB"/>
        </w:rPr>
        <w:t xml:space="preserve"> and the MA decided to conduct a screening process on whether the programme activities are likely to have significant environmental effects in the eligible regions in Romania </w:t>
      </w:r>
      <w:r w:rsidR="00960A0D">
        <w:rPr>
          <w:rFonts w:ascii="Calisto MT" w:hAnsi="Calisto MT"/>
          <w:sz w:val="22"/>
          <w:szCs w:val="22"/>
          <w:lang w:val="en-GB"/>
        </w:rPr>
        <w:t xml:space="preserve">on one hand </w:t>
      </w:r>
      <w:r w:rsidR="00E017DD" w:rsidRPr="00EA2776">
        <w:rPr>
          <w:rFonts w:ascii="Calisto MT" w:hAnsi="Calisto MT"/>
          <w:sz w:val="22"/>
          <w:szCs w:val="22"/>
          <w:lang w:val="en-GB"/>
        </w:rPr>
        <w:t>and to consult the environmental authorities in the participating countries</w:t>
      </w:r>
      <w:r w:rsidR="00960A0D">
        <w:rPr>
          <w:rFonts w:ascii="Calisto MT" w:hAnsi="Calisto MT"/>
          <w:sz w:val="22"/>
          <w:szCs w:val="22"/>
          <w:lang w:val="en-GB"/>
        </w:rPr>
        <w:t xml:space="preserve"> on the other hand</w:t>
      </w:r>
      <w:r w:rsidR="00E017DD" w:rsidRPr="00EA2776">
        <w:rPr>
          <w:rFonts w:ascii="Calisto MT" w:hAnsi="Calisto MT"/>
          <w:sz w:val="22"/>
          <w:szCs w:val="22"/>
          <w:lang w:val="en-GB"/>
        </w:rPr>
        <w:t>. The EU project ENI CBC Support to the</w:t>
      </w:r>
      <w:r w:rsidR="00E017DD">
        <w:rPr>
          <w:rFonts w:ascii="Calisto MT" w:hAnsi="Calisto MT"/>
          <w:sz w:val="22"/>
          <w:szCs w:val="22"/>
          <w:lang w:val="en-GB"/>
        </w:rPr>
        <w:t xml:space="preserve"> Preparation of Programmes (SPP) assisted the MA and </w:t>
      </w:r>
      <w:proofErr w:type="spellStart"/>
      <w:r w:rsidR="00E017DD">
        <w:rPr>
          <w:rFonts w:ascii="Calisto MT" w:hAnsi="Calisto MT"/>
          <w:sz w:val="22"/>
          <w:szCs w:val="22"/>
          <w:lang w:val="en-GB"/>
        </w:rPr>
        <w:t>MoE</w:t>
      </w:r>
      <w:proofErr w:type="spellEnd"/>
      <w:r w:rsidR="00E017DD">
        <w:rPr>
          <w:rFonts w:ascii="Calisto MT" w:hAnsi="Calisto MT"/>
          <w:sz w:val="22"/>
          <w:szCs w:val="22"/>
          <w:lang w:val="en-GB"/>
        </w:rPr>
        <w:t xml:space="preserve"> to fulfil the requirement of the SEA directive.</w:t>
      </w:r>
      <w:r w:rsidR="00E017DD" w:rsidRPr="00AB2546">
        <w:rPr>
          <w:rFonts w:ascii="Calisto MT" w:hAnsi="Calisto MT"/>
          <w:sz w:val="22"/>
          <w:szCs w:val="22"/>
          <w:lang w:val="en-GB"/>
        </w:rPr>
        <w:t xml:space="preserve"> </w:t>
      </w:r>
      <w:r w:rsidR="00E017DD">
        <w:rPr>
          <w:rFonts w:ascii="Calisto MT" w:hAnsi="Calisto MT"/>
          <w:sz w:val="22"/>
          <w:szCs w:val="22"/>
          <w:lang w:val="en-GB"/>
        </w:rPr>
        <w:t>The</w:t>
      </w:r>
      <w:r w:rsidR="00603BA9">
        <w:rPr>
          <w:rFonts w:ascii="Calisto MT" w:hAnsi="Calisto MT"/>
          <w:sz w:val="22"/>
          <w:szCs w:val="22"/>
          <w:lang w:val="en-GB"/>
        </w:rPr>
        <w:t xml:space="preserve"> </w:t>
      </w:r>
      <w:r w:rsidR="001272F2">
        <w:rPr>
          <w:rFonts w:ascii="Calisto MT" w:hAnsi="Calisto MT"/>
          <w:sz w:val="22"/>
          <w:szCs w:val="22"/>
          <w:lang w:val="en-GB"/>
        </w:rPr>
        <w:t xml:space="preserve">process </w:t>
      </w:r>
      <w:r w:rsidR="00E017DD">
        <w:rPr>
          <w:rFonts w:ascii="Calisto MT" w:hAnsi="Calisto MT"/>
          <w:sz w:val="22"/>
          <w:szCs w:val="22"/>
          <w:lang w:val="en-GB"/>
        </w:rPr>
        <w:t>i</w:t>
      </w:r>
      <w:r w:rsidR="001272F2">
        <w:rPr>
          <w:rFonts w:ascii="Calisto MT" w:hAnsi="Calisto MT"/>
          <w:sz w:val="22"/>
          <w:szCs w:val="22"/>
          <w:lang w:val="en-GB"/>
        </w:rPr>
        <w:t>ncluded</w:t>
      </w:r>
      <w:r w:rsidR="00E017DD">
        <w:rPr>
          <w:rFonts w:ascii="Calisto MT" w:hAnsi="Calisto MT"/>
          <w:sz w:val="22"/>
          <w:szCs w:val="22"/>
          <w:lang w:val="en-GB"/>
        </w:rPr>
        <w:t>:</w:t>
      </w:r>
    </w:p>
    <w:p w14:paraId="780C506B" w14:textId="6D32EFF8" w:rsidR="00E017DD" w:rsidRPr="00EA2776" w:rsidRDefault="00E017DD" w:rsidP="002E0D54">
      <w:pPr>
        <w:pStyle w:val="ListParagraph"/>
        <w:numPr>
          <w:ilvl w:val="0"/>
          <w:numId w:val="60"/>
        </w:numPr>
        <w:spacing w:before="120" w:after="0" w:line="252" w:lineRule="auto"/>
        <w:jc w:val="both"/>
        <w:rPr>
          <w:sz w:val="22"/>
          <w:szCs w:val="22"/>
          <w:lang w:val="en-GB"/>
        </w:rPr>
      </w:pPr>
      <w:r w:rsidRPr="003667D4">
        <w:rPr>
          <w:sz w:val="22"/>
          <w:szCs w:val="22"/>
          <w:lang w:val="en-GB"/>
        </w:rPr>
        <w:t>July-November 2014: Representatives of the relevant en</w:t>
      </w:r>
      <w:r w:rsidR="005D7C5B" w:rsidRPr="003667D4">
        <w:rPr>
          <w:sz w:val="22"/>
          <w:szCs w:val="22"/>
          <w:lang w:val="en-GB"/>
        </w:rPr>
        <w:t xml:space="preserve">vironmental authorities in </w:t>
      </w:r>
      <w:r w:rsidR="00867BA6">
        <w:rPr>
          <w:sz w:val="22"/>
          <w:szCs w:val="22"/>
          <w:lang w:val="en-GB"/>
        </w:rPr>
        <w:t>the other</w:t>
      </w:r>
      <w:r w:rsidR="00867BA6" w:rsidRPr="003667D4">
        <w:rPr>
          <w:sz w:val="22"/>
          <w:szCs w:val="22"/>
          <w:lang w:val="en-GB"/>
        </w:rPr>
        <w:t xml:space="preserve"> </w:t>
      </w:r>
      <w:r w:rsidR="005D7C5B" w:rsidRPr="003667D4">
        <w:rPr>
          <w:sz w:val="22"/>
          <w:szCs w:val="22"/>
          <w:lang w:val="en-GB"/>
        </w:rPr>
        <w:t>participating countr</w:t>
      </w:r>
      <w:r w:rsidR="00DB6483">
        <w:rPr>
          <w:sz w:val="22"/>
          <w:szCs w:val="22"/>
          <w:lang w:val="en-GB"/>
        </w:rPr>
        <w:t>ies</w:t>
      </w:r>
      <w:r w:rsidR="00B76D20">
        <w:rPr>
          <w:sz w:val="22"/>
          <w:szCs w:val="22"/>
          <w:lang w:val="en-GB"/>
        </w:rPr>
        <w:t xml:space="preserve"> </w:t>
      </w:r>
      <w:r w:rsidRPr="00EA2776">
        <w:rPr>
          <w:sz w:val="22"/>
          <w:szCs w:val="22"/>
          <w:lang w:val="en-GB"/>
        </w:rPr>
        <w:t xml:space="preserve">were nominated by the National Authorities. The relevant authorities are: </w:t>
      </w:r>
    </w:p>
    <w:tbl>
      <w:tblPr>
        <w:tblStyle w:val="MediumShading1-Accent1"/>
        <w:tblW w:w="0" w:type="auto"/>
        <w:tblInd w:w="817" w:type="dxa"/>
        <w:tblLook w:val="04A0" w:firstRow="1" w:lastRow="0" w:firstColumn="1" w:lastColumn="0" w:noHBand="0" w:noVBand="1"/>
      </w:tblPr>
      <w:tblGrid>
        <w:gridCol w:w="1362"/>
        <w:gridCol w:w="8334"/>
      </w:tblGrid>
      <w:tr w:rsidR="00E017DD" w:rsidRPr="00EA2776" w14:paraId="2401D233" w14:textId="77777777" w:rsidTr="00761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0B761CD3" w14:textId="77777777" w:rsidR="00E017DD" w:rsidRPr="00EA2776" w:rsidRDefault="00E017DD" w:rsidP="00BE3FA7">
            <w:pPr>
              <w:spacing w:before="20" w:after="20"/>
              <w:jc w:val="both"/>
              <w:rPr>
                <w:sz w:val="22"/>
                <w:szCs w:val="22"/>
                <w:lang w:val="en-GB"/>
              </w:rPr>
            </w:pPr>
            <w:r w:rsidRPr="00EA2776">
              <w:rPr>
                <w:sz w:val="22"/>
                <w:szCs w:val="22"/>
                <w:lang w:val="en-GB"/>
              </w:rPr>
              <w:t>Country</w:t>
            </w:r>
          </w:p>
        </w:tc>
        <w:tc>
          <w:tcPr>
            <w:tcW w:w="8334" w:type="dxa"/>
          </w:tcPr>
          <w:p w14:paraId="4D3C792F" w14:textId="77777777" w:rsidR="00E017DD" w:rsidRPr="00EA2776" w:rsidRDefault="00E017DD" w:rsidP="00BE3FA7">
            <w:pPr>
              <w:spacing w:before="20" w:after="20"/>
              <w:jc w:val="both"/>
              <w:cnfStyle w:val="100000000000" w:firstRow="1" w:lastRow="0" w:firstColumn="0" w:lastColumn="0" w:oddVBand="0" w:evenVBand="0" w:oddHBand="0" w:evenHBand="0" w:firstRowFirstColumn="0" w:firstRowLastColumn="0" w:lastRowFirstColumn="0" w:lastRowLastColumn="0"/>
              <w:rPr>
                <w:sz w:val="22"/>
                <w:szCs w:val="22"/>
                <w:lang w:val="en-GB"/>
              </w:rPr>
            </w:pPr>
            <w:r w:rsidRPr="00EA2776">
              <w:rPr>
                <w:sz w:val="22"/>
                <w:szCs w:val="22"/>
                <w:lang w:val="en-GB"/>
              </w:rPr>
              <w:t>Nominated Environmental Authority</w:t>
            </w:r>
          </w:p>
        </w:tc>
      </w:tr>
      <w:tr w:rsidR="00E017DD" w:rsidRPr="00EA2776" w14:paraId="3C9F0870" w14:textId="77777777" w:rsidTr="00761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74E9A4FF" w14:textId="77777777" w:rsidR="00E017DD" w:rsidRPr="00EA2776" w:rsidRDefault="00E017DD" w:rsidP="00BE3FA7">
            <w:pPr>
              <w:spacing w:before="20" w:after="20"/>
              <w:jc w:val="both"/>
              <w:rPr>
                <w:sz w:val="22"/>
                <w:szCs w:val="22"/>
              </w:rPr>
            </w:pPr>
            <w:r w:rsidRPr="00EA2776">
              <w:rPr>
                <w:sz w:val="22"/>
                <w:szCs w:val="22"/>
                <w:lang w:val="en-GB"/>
              </w:rPr>
              <w:t>Armenia</w:t>
            </w:r>
          </w:p>
        </w:tc>
        <w:tc>
          <w:tcPr>
            <w:tcW w:w="8334" w:type="dxa"/>
          </w:tcPr>
          <w:p w14:paraId="426BCCDD" w14:textId="77777777" w:rsidR="00E017DD" w:rsidRPr="00EA2776" w:rsidRDefault="00E017DD" w:rsidP="00BE3FA7">
            <w:pPr>
              <w:spacing w:before="20" w:after="20"/>
              <w:jc w:val="both"/>
              <w:cnfStyle w:val="000000100000" w:firstRow="0" w:lastRow="0" w:firstColumn="0" w:lastColumn="0" w:oddVBand="0" w:evenVBand="0" w:oddHBand="1" w:evenHBand="0" w:firstRowFirstColumn="0" w:firstRowLastColumn="0" w:lastRowFirstColumn="0" w:lastRowLastColumn="0"/>
              <w:rPr>
                <w:sz w:val="22"/>
                <w:szCs w:val="22"/>
              </w:rPr>
            </w:pPr>
            <w:r w:rsidRPr="00EA2776">
              <w:rPr>
                <w:sz w:val="22"/>
                <w:szCs w:val="22"/>
                <w:lang w:val="en-GB"/>
              </w:rPr>
              <w:t xml:space="preserve">Ministry of Nature Protection </w:t>
            </w:r>
          </w:p>
        </w:tc>
      </w:tr>
      <w:tr w:rsidR="00E017DD" w:rsidRPr="00BF52E5" w14:paraId="4BB0E746" w14:textId="77777777" w:rsidTr="00761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29495F43" w14:textId="77777777" w:rsidR="00E017DD" w:rsidRPr="00EA2776" w:rsidRDefault="00E017DD" w:rsidP="00BE3FA7">
            <w:pPr>
              <w:spacing w:before="20" w:after="20"/>
              <w:jc w:val="both"/>
              <w:rPr>
                <w:sz w:val="22"/>
                <w:szCs w:val="22"/>
              </w:rPr>
            </w:pPr>
            <w:r w:rsidRPr="00EA2776">
              <w:rPr>
                <w:sz w:val="22"/>
                <w:szCs w:val="22"/>
                <w:lang w:val="en-GB"/>
              </w:rPr>
              <w:t>Bulgaria</w:t>
            </w:r>
          </w:p>
        </w:tc>
        <w:tc>
          <w:tcPr>
            <w:tcW w:w="8334" w:type="dxa"/>
          </w:tcPr>
          <w:p w14:paraId="7ED85139" w14:textId="77777777" w:rsidR="00E017DD" w:rsidRPr="00EA2776" w:rsidRDefault="00E017DD" w:rsidP="00BE3FA7">
            <w:pPr>
              <w:spacing w:before="20" w:after="20"/>
              <w:jc w:val="both"/>
              <w:cnfStyle w:val="000000010000" w:firstRow="0" w:lastRow="0" w:firstColumn="0" w:lastColumn="0" w:oddVBand="0" w:evenVBand="0" w:oddHBand="0" w:evenHBand="1" w:firstRowFirstColumn="0" w:firstRowLastColumn="0" w:lastRowFirstColumn="0" w:lastRowLastColumn="0"/>
              <w:rPr>
                <w:sz w:val="22"/>
                <w:szCs w:val="22"/>
                <w:lang w:val="en-GB"/>
              </w:rPr>
            </w:pPr>
            <w:r w:rsidRPr="00EA2776">
              <w:rPr>
                <w:sz w:val="22"/>
                <w:szCs w:val="22"/>
                <w:lang w:val="en-GB"/>
              </w:rPr>
              <w:t>Ministry of Environment and Water</w:t>
            </w:r>
          </w:p>
        </w:tc>
      </w:tr>
      <w:tr w:rsidR="00E017DD" w:rsidRPr="00BF52E5" w14:paraId="6573F807" w14:textId="77777777" w:rsidTr="00761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5CA5541A" w14:textId="77777777" w:rsidR="00E017DD" w:rsidRPr="00EA2776" w:rsidRDefault="00E017DD" w:rsidP="00BE3FA7">
            <w:pPr>
              <w:spacing w:before="20" w:after="20"/>
              <w:jc w:val="both"/>
              <w:rPr>
                <w:sz w:val="22"/>
                <w:szCs w:val="22"/>
              </w:rPr>
            </w:pPr>
            <w:r w:rsidRPr="00EA2776">
              <w:rPr>
                <w:sz w:val="22"/>
                <w:szCs w:val="22"/>
                <w:lang w:val="en-GB"/>
              </w:rPr>
              <w:t>Georgia</w:t>
            </w:r>
          </w:p>
        </w:tc>
        <w:tc>
          <w:tcPr>
            <w:tcW w:w="8334" w:type="dxa"/>
          </w:tcPr>
          <w:p w14:paraId="4D9843F5" w14:textId="77777777" w:rsidR="00E017DD" w:rsidRPr="00EA2776" w:rsidRDefault="00E017DD" w:rsidP="00BE3FA7">
            <w:pPr>
              <w:spacing w:before="20" w:after="20"/>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EA2776">
              <w:rPr>
                <w:sz w:val="22"/>
                <w:szCs w:val="22"/>
                <w:lang w:val="en-GB"/>
              </w:rPr>
              <w:t xml:space="preserve">Ministry of Environment and Natural Resources  </w:t>
            </w:r>
          </w:p>
        </w:tc>
      </w:tr>
      <w:tr w:rsidR="00E017DD" w:rsidRPr="00BF52E5" w14:paraId="5DFD2E9D" w14:textId="77777777" w:rsidTr="00761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2CFEFF35" w14:textId="77777777" w:rsidR="00E017DD" w:rsidRPr="00EA2776" w:rsidRDefault="00E017DD" w:rsidP="00BE3FA7">
            <w:pPr>
              <w:spacing w:before="20" w:after="20"/>
              <w:jc w:val="both"/>
              <w:rPr>
                <w:sz w:val="22"/>
                <w:szCs w:val="22"/>
              </w:rPr>
            </w:pPr>
            <w:r w:rsidRPr="00EA2776">
              <w:rPr>
                <w:sz w:val="22"/>
                <w:szCs w:val="22"/>
                <w:lang w:val="en-GB"/>
              </w:rPr>
              <w:t>Greece</w:t>
            </w:r>
          </w:p>
        </w:tc>
        <w:tc>
          <w:tcPr>
            <w:tcW w:w="8334" w:type="dxa"/>
          </w:tcPr>
          <w:p w14:paraId="4D9165DA" w14:textId="77777777" w:rsidR="00E017DD" w:rsidRPr="00EA2776" w:rsidRDefault="00E017DD" w:rsidP="00BE3FA7">
            <w:pPr>
              <w:spacing w:before="20" w:after="20"/>
              <w:jc w:val="both"/>
              <w:cnfStyle w:val="000000010000" w:firstRow="0" w:lastRow="0" w:firstColumn="0" w:lastColumn="0" w:oddVBand="0" w:evenVBand="0" w:oddHBand="0" w:evenHBand="1" w:firstRowFirstColumn="0" w:firstRowLastColumn="0" w:lastRowFirstColumn="0" w:lastRowLastColumn="0"/>
              <w:rPr>
                <w:sz w:val="22"/>
                <w:szCs w:val="22"/>
                <w:lang w:val="en-GB"/>
              </w:rPr>
            </w:pPr>
            <w:r w:rsidRPr="00EA2776">
              <w:rPr>
                <w:sz w:val="22"/>
                <w:szCs w:val="22"/>
                <w:lang w:val="en-GB"/>
              </w:rPr>
              <w:t>Ministry of Environment, Energy &amp; Climate Change</w:t>
            </w:r>
          </w:p>
        </w:tc>
      </w:tr>
      <w:tr w:rsidR="00E017DD" w:rsidRPr="00EA2776" w14:paraId="2D3E4DB4" w14:textId="77777777" w:rsidTr="00761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54F235BE" w14:textId="058BAE51" w:rsidR="00E017DD" w:rsidRPr="00EA2776" w:rsidRDefault="00761E10" w:rsidP="00BE3FA7">
            <w:pPr>
              <w:spacing w:before="20" w:after="20"/>
              <w:jc w:val="both"/>
              <w:rPr>
                <w:sz w:val="22"/>
                <w:szCs w:val="22"/>
              </w:rPr>
            </w:pPr>
            <w:r>
              <w:rPr>
                <w:sz w:val="22"/>
                <w:szCs w:val="22"/>
                <w:lang w:val="en-GB"/>
              </w:rPr>
              <w:t xml:space="preserve">R. </w:t>
            </w:r>
            <w:r w:rsidR="00E017DD" w:rsidRPr="00EA2776">
              <w:rPr>
                <w:sz w:val="22"/>
                <w:szCs w:val="22"/>
                <w:lang w:val="en-GB"/>
              </w:rPr>
              <w:t>Moldova</w:t>
            </w:r>
          </w:p>
        </w:tc>
        <w:tc>
          <w:tcPr>
            <w:tcW w:w="8334" w:type="dxa"/>
          </w:tcPr>
          <w:p w14:paraId="6B04ABC3" w14:textId="77777777" w:rsidR="00E017DD" w:rsidRPr="00EA2776" w:rsidRDefault="00E017DD" w:rsidP="00BE3FA7">
            <w:pPr>
              <w:spacing w:before="20" w:after="20"/>
              <w:jc w:val="both"/>
              <w:cnfStyle w:val="000000100000" w:firstRow="0" w:lastRow="0" w:firstColumn="0" w:lastColumn="0" w:oddVBand="0" w:evenVBand="0" w:oddHBand="1" w:evenHBand="0" w:firstRowFirstColumn="0" w:firstRowLastColumn="0" w:lastRowFirstColumn="0" w:lastRowLastColumn="0"/>
              <w:rPr>
                <w:sz w:val="22"/>
                <w:szCs w:val="22"/>
              </w:rPr>
            </w:pPr>
            <w:r w:rsidRPr="00EA2776">
              <w:rPr>
                <w:sz w:val="22"/>
                <w:szCs w:val="22"/>
                <w:lang w:val="en-GB"/>
              </w:rPr>
              <w:t xml:space="preserve">Ministry of Environment </w:t>
            </w:r>
          </w:p>
        </w:tc>
      </w:tr>
      <w:tr w:rsidR="00E017DD" w:rsidRPr="00BF52E5" w14:paraId="2961B9BA" w14:textId="77777777" w:rsidTr="00761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4A37C197" w14:textId="77777777" w:rsidR="00E017DD" w:rsidRPr="00EA2776" w:rsidRDefault="00E017DD" w:rsidP="00BE3FA7">
            <w:pPr>
              <w:spacing w:before="20" w:after="20"/>
              <w:jc w:val="both"/>
              <w:rPr>
                <w:sz w:val="22"/>
                <w:szCs w:val="22"/>
              </w:rPr>
            </w:pPr>
            <w:r w:rsidRPr="00EA2776">
              <w:rPr>
                <w:sz w:val="22"/>
                <w:szCs w:val="22"/>
                <w:lang w:val="en-GB"/>
              </w:rPr>
              <w:t>Turkey</w:t>
            </w:r>
          </w:p>
        </w:tc>
        <w:tc>
          <w:tcPr>
            <w:tcW w:w="8334" w:type="dxa"/>
          </w:tcPr>
          <w:p w14:paraId="580A9778" w14:textId="77777777" w:rsidR="00E017DD" w:rsidRPr="00EA2776" w:rsidRDefault="00E017DD" w:rsidP="00BE3FA7">
            <w:pPr>
              <w:spacing w:before="20" w:after="20"/>
              <w:jc w:val="both"/>
              <w:cnfStyle w:val="000000010000" w:firstRow="0" w:lastRow="0" w:firstColumn="0" w:lastColumn="0" w:oddVBand="0" w:evenVBand="0" w:oddHBand="0" w:evenHBand="1" w:firstRowFirstColumn="0" w:firstRowLastColumn="0" w:lastRowFirstColumn="0" w:lastRowLastColumn="0"/>
              <w:rPr>
                <w:sz w:val="22"/>
                <w:szCs w:val="22"/>
                <w:lang w:val="en-GB"/>
              </w:rPr>
            </w:pPr>
            <w:r w:rsidRPr="00EA2776">
              <w:rPr>
                <w:sz w:val="22"/>
                <w:szCs w:val="22"/>
                <w:lang w:val="en-GB"/>
              </w:rPr>
              <w:t>Ministry of Environment and Urbanisation</w:t>
            </w:r>
          </w:p>
        </w:tc>
      </w:tr>
      <w:tr w:rsidR="00E017DD" w:rsidRPr="00BF52E5" w14:paraId="2F603EEA" w14:textId="77777777" w:rsidTr="00761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251ED3F6" w14:textId="77777777" w:rsidR="00E017DD" w:rsidRPr="00EA2776" w:rsidRDefault="00E017DD" w:rsidP="00BE3FA7">
            <w:pPr>
              <w:spacing w:before="20" w:after="20"/>
              <w:jc w:val="both"/>
              <w:rPr>
                <w:sz w:val="22"/>
                <w:szCs w:val="22"/>
              </w:rPr>
            </w:pPr>
            <w:r w:rsidRPr="00EA2776">
              <w:rPr>
                <w:sz w:val="22"/>
                <w:szCs w:val="22"/>
                <w:lang w:val="en-GB"/>
              </w:rPr>
              <w:t>Ukraine</w:t>
            </w:r>
          </w:p>
        </w:tc>
        <w:tc>
          <w:tcPr>
            <w:tcW w:w="8334" w:type="dxa"/>
          </w:tcPr>
          <w:p w14:paraId="2AB65178" w14:textId="562CF92D" w:rsidR="00E017DD" w:rsidRPr="00077772" w:rsidRDefault="00E017DD" w:rsidP="00BE3FA7">
            <w:pPr>
              <w:spacing w:before="20" w:after="20" w:line="276" w:lineRule="auto"/>
              <w:jc w:val="both"/>
              <w:cnfStyle w:val="000000100000" w:firstRow="0" w:lastRow="0" w:firstColumn="0" w:lastColumn="0" w:oddVBand="0" w:evenVBand="0" w:oddHBand="1" w:evenHBand="0" w:firstRowFirstColumn="0" w:firstRowLastColumn="0" w:lastRowFirstColumn="0" w:lastRowLastColumn="0"/>
              <w:rPr>
                <w:sz w:val="22"/>
                <w:szCs w:val="22"/>
                <w:lang w:val="en-GB"/>
              </w:rPr>
            </w:pPr>
            <w:r w:rsidRPr="00EA2776">
              <w:rPr>
                <w:sz w:val="22"/>
                <w:szCs w:val="22"/>
                <w:lang w:val="en-GB"/>
              </w:rPr>
              <w:t xml:space="preserve">Ministry of </w:t>
            </w:r>
            <w:r w:rsidR="00C65563" w:rsidRPr="00EA2776">
              <w:rPr>
                <w:sz w:val="22"/>
                <w:szCs w:val="22"/>
                <w:lang w:val="en-GB"/>
              </w:rPr>
              <w:t xml:space="preserve">Ecology and Natural </w:t>
            </w:r>
            <w:proofErr w:type="spellStart"/>
            <w:r w:rsidR="00C65563" w:rsidRPr="00EA2776">
              <w:rPr>
                <w:sz w:val="22"/>
                <w:szCs w:val="22"/>
                <w:lang w:val="en-GB"/>
              </w:rPr>
              <w:t>Re</w:t>
            </w:r>
            <w:r w:rsidR="006876A9">
              <w:rPr>
                <w:sz w:val="22"/>
                <w:szCs w:val="22"/>
                <w:lang w:val="en-GB"/>
              </w:rPr>
              <w:t>s</w:t>
            </w:r>
            <w:r w:rsidR="00C65563" w:rsidRPr="00EA2776">
              <w:rPr>
                <w:sz w:val="22"/>
                <w:szCs w:val="22"/>
                <w:lang w:val="en-GB"/>
              </w:rPr>
              <w:t>ourses</w:t>
            </w:r>
            <w:proofErr w:type="spellEnd"/>
          </w:p>
        </w:tc>
      </w:tr>
    </w:tbl>
    <w:p w14:paraId="1A5A5414"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3667D4">
        <w:rPr>
          <w:sz w:val="22"/>
          <w:szCs w:val="22"/>
          <w:lang w:val="en-GB"/>
        </w:rPr>
        <w:t>October 2014:</w:t>
      </w:r>
      <w:r w:rsidRPr="00EA2776">
        <w:rPr>
          <w:sz w:val="22"/>
          <w:szCs w:val="22"/>
          <w:lang w:val="en-GB"/>
        </w:rPr>
        <w:t xml:space="preserve"> The conduct of a screening process of the proposed programme strategy Thematic Objectives, priorities, indicative activities and expected results</w:t>
      </w:r>
      <w:r w:rsidRPr="00EA2776">
        <w:rPr>
          <w:rStyle w:val="FootnoteReference"/>
          <w:sz w:val="22"/>
          <w:szCs w:val="22"/>
          <w:lang w:val="en-GB"/>
        </w:rPr>
        <w:footnoteReference w:id="96"/>
      </w:r>
      <w:r w:rsidRPr="00EA2776">
        <w:rPr>
          <w:sz w:val="22"/>
          <w:szCs w:val="22"/>
          <w:lang w:val="en-GB"/>
        </w:rPr>
        <w:t xml:space="preserve"> by the SPP </w:t>
      </w:r>
      <w:r w:rsidR="003433E3">
        <w:rPr>
          <w:sz w:val="22"/>
          <w:szCs w:val="22"/>
          <w:lang w:val="en-GB"/>
        </w:rPr>
        <w:t>SEA expert (according to Annex II</w:t>
      </w:r>
      <w:r w:rsidRPr="00EA2776">
        <w:rPr>
          <w:sz w:val="22"/>
          <w:szCs w:val="22"/>
          <w:lang w:val="en-GB"/>
        </w:rPr>
        <w:t xml:space="preserve"> of the SEA Directive) to determine whether futur</w:t>
      </w:r>
      <w:r w:rsidR="005D7C5B">
        <w:rPr>
          <w:sz w:val="22"/>
          <w:szCs w:val="22"/>
          <w:lang w:val="en-GB"/>
        </w:rPr>
        <w:t xml:space="preserve">e projects are likely to have </w:t>
      </w:r>
      <w:r w:rsidRPr="00EA2776">
        <w:rPr>
          <w:sz w:val="22"/>
          <w:szCs w:val="22"/>
          <w:lang w:val="en-GB"/>
        </w:rPr>
        <w:t xml:space="preserve">significant environmental effects. </w:t>
      </w:r>
    </w:p>
    <w:p w14:paraId="1658382B" w14:textId="18947A93" w:rsidR="00E017DD" w:rsidRPr="00EA2776" w:rsidRDefault="00E017DD" w:rsidP="002E0D54">
      <w:pPr>
        <w:pStyle w:val="ListParagraph"/>
        <w:numPr>
          <w:ilvl w:val="0"/>
          <w:numId w:val="60"/>
        </w:numPr>
        <w:spacing w:before="120" w:after="0" w:line="252" w:lineRule="auto"/>
        <w:jc w:val="both"/>
        <w:rPr>
          <w:sz w:val="22"/>
          <w:szCs w:val="22"/>
          <w:lang w:val="en-GB"/>
        </w:rPr>
      </w:pPr>
      <w:r w:rsidRPr="003667D4">
        <w:rPr>
          <w:sz w:val="22"/>
          <w:szCs w:val="22"/>
          <w:lang w:val="en-GB"/>
        </w:rPr>
        <w:lastRenderedPageBreak/>
        <w:t>November 2014</w:t>
      </w:r>
      <w:r w:rsidR="00CA2A5A">
        <w:rPr>
          <w:sz w:val="22"/>
          <w:szCs w:val="22"/>
          <w:lang w:val="en-GB"/>
        </w:rPr>
        <w:t>-May 2015</w:t>
      </w:r>
      <w:r w:rsidRPr="003667D4">
        <w:rPr>
          <w:sz w:val="22"/>
          <w:szCs w:val="22"/>
          <w:lang w:val="en-GB"/>
        </w:rPr>
        <w:t>:</w:t>
      </w:r>
      <w:r w:rsidRPr="00EA2776">
        <w:rPr>
          <w:b/>
          <w:sz w:val="22"/>
          <w:szCs w:val="22"/>
          <w:lang w:val="en-GB"/>
        </w:rPr>
        <w:t xml:space="preserve"> </w:t>
      </w:r>
      <w:r w:rsidRPr="00EA2776">
        <w:rPr>
          <w:sz w:val="22"/>
          <w:szCs w:val="22"/>
          <w:lang w:val="en-GB"/>
        </w:rPr>
        <w:t>Environment</w:t>
      </w:r>
      <w:r w:rsidR="00CA2A5A">
        <w:rPr>
          <w:sz w:val="22"/>
          <w:szCs w:val="22"/>
          <w:lang w:val="en-GB"/>
        </w:rPr>
        <w:t>al authorities gave</w:t>
      </w:r>
      <w:r w:rsidRPr="00EA2776">
        <w:rPr>
          <w:sz w:val="22"/>
          <w:szCs w:val="22"/>
          <w:lang w:val="en-GB"/>
        </w:rPr>
        <w:t xml:space="preserve"> their expert opinion on whether the programme is likely to have a significant effect on the environment in the eligible regions in their countries and whether there are national requirements to be followed in this particular instance. Documents sent to the env</w:t>
      </w:r>
      <w:r w:rsidR="005D7C5B">
        <w:rPr>
          <w:sz w:val="22"/>
          <w:szCs w:val="22"/>
          <w:lang w:val="en-GB"/>
        </w:rPr>
        <w:t>ironmental authorities included:</w:t>
      </w:r>
    </w:p>
    <w:p w14:paraId="516F863D"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 xml:space="preserve">EC </w:t>
      </w:r>
      <w:r w:rsidRPr="00EA2776">
        <w:rPr>
          <w:i/>
          <w:sz w:val="22"/>
          <w:szCs w:val="22"/>
          <w:lang w:val="en-GB"/>
        </w:rPr>
        <w:t xml:space="preserve">Guidance Note on SEA in the context of ENI CBC </w:t>
      </w:r>
      <w:r w:rsidRPr="00876073">
        <w:rPr>
          <w:sz w:val="22"/>
          <w:szCs w:val="22"/>
          <w:lang w:val="en-GB"/>
        </w:rPr>
        <w:t>(June 2014)</w:t>
      </w:r>
    </w:p>
    <w:p w14:paraId="3E7DA9FA"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Draft of the BSB ENI CBC programme strategy as approved at BSB JPC meetings (July &amp; Nov 2014)</w:t>
      </w:r>
    </w:p>
    <w:p w14:paraId="75EEB129"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Background information on ENI CBC and the BSB programme</w:t>
      </w:r>
      <w:r w:rsidR="005D7C5B">
        <w:rPr>
          <w:sz w:val="22"/>
          <w:szCs w:val="22"/>
          <w:lang w:val="en-GB"/>
        </w:rPr>
        <w:t xml:space="preserve"> </w:t>
      </w:r>
      <w:r w:rsidRPr="00EA2776">
        <w:rPr>
          <w:sz w:val="22"/>
          <w:szCs w:val="22"/>
          <w:lang w:val="en-GB"/>
        </w:rPr>
        <w:t>(Oct 2014)</w:t>
      </w:r>
    </w:p>
    <w:p w14:paraId="610F6DD3"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Note for BSB participating countries on SEA process (October 2014)</w:t>
      </w:r>
    </w:p>
    <w:p w14:paraId="27F52247"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The results of the screening process conducted by the SPP SEA expert</w:t>
      </w:r>
    </w:p>
    <w:p w14:paraId="0230C37B"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3667D4">
        <w:rPr>
          <w:sz w:val="22"/>
          <w:szCs w:val="22"/>
          <w:lang w:val="en-GB"/>
        </w:rPr>
        <w:t>December 2014-January 2015:</w:t>
      </w:r>
      <w:r w:rsidRPr="00EA2776">
        <w:rPr>
          <w:b/>
          <w:sz w:val="22"/>
          <w:szCs w:val="22"/>
          <w:lang w:val="en-GB"/>
        </w:rPr>
        <w:t xml:space="preserve"> </w:t>
      </w:r>
      <w:r w:rsidRPr="00EA2776">
        <w:rPr>
          <w:sz w:val="22"/>
          <w:szCs w:val="22"/>
          <w:lang w:val="en-GB"/>
        </w:rPr>
        <w:t>Conduct of a screening process in Romania including:</w:t>
      </w:r>
    </w:p>
    <w:p w14:paraId="23C7F650"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Establishment of a Screening Committee made up of concerned public authorities: Ministry of Health, National Administration for Waters, Ministry of Internal Affairs (General Inspectorate for Emergency Situations), Ministry of European Funds, Ministry of Agriculture and Rural Development, Ministry of Transport, Department for SMEs, Business Environment and Tourism and public authorities from the eligible regions</w:t>
      </w:r>
      <w:r w:rsidR="001B13B3">
        <w:rPr>
          <w:sz w:val="22"/>
          <w:szCs w:val="22"/>
          <w:lang w:val="en-GB"/>
        </w:rPr>
        <w:t>.</w:t>
      </w:r>
    </w:p>
    <w:p w14:paraId="4941307C"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 xml:space="preserve">The start of the screening procedure was announced on the Ministry of </w:t>
      </w:r>
      <w:r w:rsidR="00C92218" w:rsidRPr="00EA2776">
        <w:rPr>
          <w:sz w:val="22"/>
          <w:szCs w:val="22"/>
          <w:lang w:val="en-GB"/>
        </w:rPr>
        <w:t xml:space="preserve">Regional </w:t>
      </w:r>
      <w:r w:rsidRPr="00EA2776">
        <w:rPr>
          <w:sz w:val="22"/>
          <w:szCs w:val="22"/>
          <w:lang w:val="en-GB"/>
        </w:rPr>
        <w:t>Development and Public Administration (M</w:t>
      </w:r>
      <w:r w:rsidR="001B13B3">
        <w:rPr>
          <w:sz w:val="22"/>
          <w:szCs w:val="22"/>
          <w:lang w:val="en-GB"/>
        </w:rPr>
        <w:t>DRAP) and the programme website</w:t>
      </w:r>
      <w:r w:rsidR="00C92218">
        <w:rPr>
          <w:sz w:val="22"/>
          <w:szCs w:val="22"/>
          <w:lang w:val="en-GB"/>
        </w:rPr>
        <w:t>s</w:t>
      </w:r>
      <w:r w:rsidRPr="00EA2776">
        <w:rPr>
          <w:sz w:val="22"/>
          <w:szCs w:val="22"/>
          <w:lang w:val="en-GB"/>
        </w:rPr>
        <w:t xml:space="preserve"> (11&amp;12 December 2014) and also via a notice in the </w:t>
      </w:r>
      <w:proofErr w:type="spellStart"/>
      <w:r w:rsidRPr="00C92218">
        <w:rPr>
          <w:i/>
          <w:sz w:val="22"/>
          <w:szCs w:val="22"/>
          <w:lang w:val="en-GB"/>
        </w:rPr>
        <w:t>România</w:t>
      </w:r>
      <w:proofErr w:type="spellEnd"/>
      <w:r w:rsidRPr="00C92218">
        <w:rPr>
          <w:i/>
          <w:sz w:val="22"/>
          <w:szCs w:val="22"/>
          <w:lang w:val="en-GB"/>
        </w:rPr>
        <w:t xml:space="preserve"> </w:t>
      </w:r>
      <w:proofErr w:type="spellStart"/>
      <w:r w:rsidRPr="00C92218">
        <w:rPr>
          <w:i/>
          <w:sz w:val="22"/>
          <w:szCs w:val="22"/>
          <w:lang w:val="en-GB"/>
        </w:rPr>
        <w:t>Liber</w:t>
      </w:r>
      <w:r w:rsidRPr="00C92218">
        <w:rPr>
          <w:rFonts w:ascii="Times New Roman" w:hAnsi="Times New Roman" w:cs="Times New Roman"/>
          <w:i/>
          <w:sz w:val="22"/>
          <w:szCs w:val="22"/>
          <w:lang w:val="en-GB"/>
        </w:rPr>
        <w:t>ă</w:t>
      </w:r>
      <w:proofErr w:type="spellEnd"/>
      <w:r w:rsidRPr="00EA2776">
        <w:rPr>
          <w:sz w:val="22"/>
          <w:szCs w:val="22"/>
          <w:lang w:val="en-GB"/>
        </w:rPr>
        <w:t xml:space="preserve"> national newspaper (on 16&amp;19 December 2014). In these announcements, the public was invited to comment on whether the programme was likely to have a significant impact on the environment in the eligible regions</w:t>
      </w:r>
      <w:r w:rsidRPr="00EA2776">
        <w:rPr>
          <w:sz w:val="22"/>
          <w:szCs w:val="22"/>
          <w:vertAlign w:val="superscript"/>
        </w:rPr>
        <w:footnoteReference w:id="97"/>
      </w:r>
      <w:proofErr w:type="gramStart"/>
      <w:r w:rsidR="001B13B3">
        <w:rPr>
          <w:sz w:val="22"/>
          <w:szCs w:val="22"/>
          <w:lang w:val="en-GB"/>
        </w:rPr>
        <w:t>.</w:t>
      </w:r>
      <w:r w:rsidRPr="00EA2776">
        <w:rPr>
          <w:sz w:val="22"/>
          <w:szCs w:val="22"/>
          <w:vertAlign w:val="superscript"/>
          <w:lang w:val="en-GB"/>
        </w:rPr>
        <w:t>.</w:t>
      </w:r>
      <w:proofErr w:type="gramEnd"/>
      <w:r w:rsidRPr="00EA2776">
        <w:rPr>
          <w:sz w:val="22"/>
          <w:szCs w:val="22"/>
          <w:lang w:val="en-GB"/>
        </w:rPr>
        <w:t xml:space="preserve"> The draft programme strategy was made available on the </w:t>
      </w:r>
      <w:proofErr w:type="spellStart"/>
      <w:r w:rsidRPr="00EA2776">
        <w:rPr>
          <w:sz w:val="22"/>
          <w:szCs w:val="22"/>
          <w:lang w:val="en-GB"/>
        </w:rPr>
        <w:t>MoE</w:t>
      </w:r>
      <w:proofErr w:type="spellEnd"/>
      <w:r w:rsidRPr="00EA2776">
        <w:rPr>
          <w:sz w:val="22"/>
          <w:szCs w:val="22"/>
          <w:lang w:val="en-GB"/>
        </w:rPr>
        <w:t>, MDRAP and programme websites.</w:t>
      </w:r>
    </w:p>
    <w:p w14:paraId="64EDD239" w14:textId="77777777" w:rsidR="00E017DD" w:rsidRPr="00EA2776" w:rsidRDefault="00E017DD" w:rsidP="002E0D54">
      <w:pPr>
        <w:pStyle w:val="ListParagraph"/>
        <w:numPr>
          <w:ilvl w:val="1"/>
          <w:numId w:val="60"/>
        </w:numPr>
        <w:spacing w:before="120" w:after="0" w:line="252" w:lineRule="auto"/>
        <w:jc w:val="both"/>
        <w:rPr>
          <w:sz w:val="22"/>
          <w:szCs w:val="22"/>
          <w:lang w:val="en-GB"/>
        </w:rPr>
      </w:pPr>
      <w:r w:rsidRPr="00EA2776">
        <w:rPr>
          <w:sz w:val="22"/>
          <w:szCs w:val="22"/>
          <w:lang w:val="en-GB"/>
        </w:rPr>
        <w:t>The committee was given the documents listed above and met to conduct the screening process and make a conclusion on whether a full environmental assessment is required</w:t>
      </w:r>
      <w:r w:rsidR="00C92218" w:rsidRPr="00C92218">
        <w:rPr>
          <w:sz w:val="22"/>
          <w:szCs w:val="22"/>
          <w:lang w:val="en-GB"/>
        </w:rPr>
        <w:t xml:space="preserve"> </w:t>
      </w:r>
      <w:r w:rsidR="00C92218">
        <w:rPr>
          <w:sz w:val="22"/>
          <w:szCs w:val="22"/>
          <w:lang w:val="en-GB"/>
        </w:rPr>
        <w:t>for the Romanian eligible territory</w:t>
      </w:r>
      <w:r w:rsidR="00F022F7">
        <w:rPr>
          <w:sz w:val="22"/>
          <w:szCs w:val="22"/>
          <w:lang w:val="en-GB"/>
        </w:rPr>
        <w:t>.</w:t>
      </w:r>
      <w:r w:rsidR="008B2DBB">
        <w:rPr>
          <w:sz w:val="22"/>
          <w:szCs w:val="22"/>
          <w:lang w:val="en-GB"/>
        </w:rPr>
        <w:t xml:space="preserve"> </w:t>
      </w:r>
      <w:r w:rsidR="00F022F7">
        <w:rPr>
          <w:sz w:val="22"/>
          <w:szCs w:val="22"/>
          <w:lang w:val="en-GB"/>
        </w:rPr>
        <w:t>I</w:t>
      </w:r>
      <w:r w:rsidR="008B2DBB">
        <w:rPr>
          <w:sz w:val="22"/>
          <w:szCs w:val="22"/>
          <w:lang w:val="en-GB"/>
        </w:rPr>
        <w:t>n addition, the committee was informed about</w:t>
      </w:r>
      <w:r w:rsidR="008B2DBB" w:rsidRPr="00EA2776">
        <w:rPr>
          <w:sz w:val="22"/>
          <w:szCs w:val="22"/>
          <w:lang w:val="en-GB"/>
        </w:rPr>
        <w:t xml:space="preserve"> the input received </w:t>
      </w:r>
      <w:r w:rsidR="00E64EDC">
        <w:rPr>
          <w:sz w:val="22"/>
          <w:szCs w:val="22"/>
          <w:lang w:val="en-GB"/>
        </w:rPr>
        <w:t>from</w:t>
      </w:r>
      <w:r w:rsidR="008B2DBB" w:rsidRPr="00EA2776">
        <w:rPr>
          <w:sz w:val="22"/>
          <w:szCs w:val="22"/>
          <w:lang w:val="en-GB"/>
        </w:rPr>
        <w:t xml:space="preserve"> the participating countries</w:t>
      </w:r>
      <w:r w:rsidRPr="00EA2776">
        <w:rPr>
          <w:sz w:val="22"/>
          <w:szCs w:val="22"/>
          <w:lang w:val="en-GB"/>
        </w:rPr>
        <w:t xml:space="preserve">. </w:t>
      </w:r>
    </w:p>
    <w:p w14:paraId="5828FB79" w14:textId="4E839643" w:rsidR="00460BCC" w:rsidRDefault="00E017DD" w:rsidP="00460BCC">
      <w:pPr>
        <w:pStyle w:val="ListParagraph"/>
        <w:numPr>
          <w:ilvl w:val="1"/>
          <w:numId w:val="60"/>
        </w:numPr>
        <w:spacing w:before="120" w:after="0" w:line="252" w:lineRule="auto"/>
        <w:jc w:val="both"/>
        <w:rPr>
          <w:sz w:val="22"/>
          <w:szCs w:val="22"/>
          <w:lang w:val="en-GB"/>
        </w:rPr>
      </w:pPr>
      <w:r w:rsidRPr="00EA2776">
        <w:rPr>
          <w:sz w:val="22"/>
          <w:szCs w:val="22"/>
          <w:lang w:val="en-GB"/>
        </w:rPr>
        <w:t>The draft decision of the Screening Committe</w:t>
      </w:r>
      <w:r w:rsidR="00A136E0">
        <w:rPr>
          <w:sz w:val="22"/>
          <w:szCs w:val="22"/>
          <w:lang w:val="en-GB"/>
        </w:rPr>
        <w:t>e</w:t>
      </w:r>
      <w:r w:rsidRPr="00EA2776">
        <w:rPr>
          <w:sz w:val="22"/>
          <w:szCs w:val="22"/>
          <w:lang w:val="en-GB"/>
        </w:rPr>
        <w:t xml:space="preserve"> was published on the </w:t>
      </w:r>
      <w:proofErr w:type="spellStart"/>
      <w:r w:rsidRPr="00EA2776">
        <w:rPr>
          <w:sz w:val="22"/>
          <w:szCs w:val="22"/>
          <w:lang w:val="en-GB"/>
        </w:rPr>
        <w:t>MoE</w:t>
      </w:r>
      <w:proofErr w:type="spellEnd"/>
      <w:r w:rsidRPr="00EA2776">
        <w:rPr>
          <w:sz w:val="22"/>
          <w:szCs w:val="22"/>
          <w:lang w:val="en-GB"/>
        </w:rPr>
        <w:t xml:space="preserve"> and MDRAP websites on 6 January 2015</w:t>
      </w:r>
      <w:r w:rsidR="003667D4">
        <w:rPr>
          <w:sz w:val="22"/>
          <w:szCs w:val="22"/>
          <w:lang w:val="en-GB"/>
        </w:rPr>
        <w:t>.</w:t>
      </w:r>
      <w:r w:rsidR="00460BCC" w:rsidRPr="00460BCC">
        <w:rPr>
          <w:sz w:val="22"/>
          <w:szCs w:val="22"/>
          <w:lang w:val="en-GB"/>
        </w:rPr>
        <w:t xml:space="preserve"> </w:t>
      </w:r>
      <w:r w:rsidR="00460BCC" w:rsidRPr="00DA0BAC">
        <w:rPr>
          <w:sz w:val="22"/>
          <w:szCs w:val="22"/>
          <w:lang w:val="en-GB"/>
        </w:rPr>
        <w:t xml:space="preserve">The final decision </w:t>
      </w:r>
      <w:r w:rsidR="00460BCC">
        <w:rPr>
          <w:sz w:val="22"/>
          <w:szCs w:val="22"/>
          <w:lang w:val="en-GB"/>
        </w:rPr>
        <w:t xml:space="preserve">for Romania </w:t>
      </w:r>
      <w:r w:rsidR="00460BCC" w:rsidRPr="00DA0BAC">
        <w:rPr>
          <w:sz w:val="22"/>
          <w:szCs w:val="22"/>
          <w:lang w:val="en-GB"/>
        </w:rPr>
        <w:t xml:space="preserve">was issued by the </w:t>
      </w:r>
      <w:proofErr w:type="spellStart"/>
      <w:r w:rsidR="00460BCC" w:rsidRPr="00DA0BAC">
        <w:rPr>
          <w:sz w:val="22"/>
          <w:szCs w:val="22"/>
          <w:lang w:val="en-GB"/>
        </w:rPr>
        <w:t>MoE</w:t>
      </w:r>
      <w:proofErr w:type="spellEnd"/>
      <w:r w:rsidR="00460BCC" w:rsidRPr="00DA0BAC">
        <w:rPr>
          <w:sz w:val="22"/>
          <w:szCs w:val="22"/>
          <w:lang w:val="en-GB"/>
        </w:rPr>
        <w:t xml:space="preserve"> on 27 January 2015. </w:t>
      </w:r>
    </w:p>
    <w:p w14:paraId="12A6B1FF" w14:textId="4AEAA8F8" w:rsidR="00E017DD" w:rsidRPr="00F62D15" w:rsidRDefault="00460BCC" w:rsidP="00F62D15">
      <w:pPr>
        <w:pStyle w:val="ListParagraph"/>
        <w:numPr>
          <w:ilvl w:val="1"/>
          <w:numId w:val="60"/>
        </w:numPr>
        <w:spacing w:before="120" w:after="0" w:line="252" w:lineRule="auto"/>
        <w:jc w:val="both"/>
        <w:rPr>
          <w:sz w:val="22"/>
          <w:szCs w:val="22"/>
          <w:lang w:val="en-GB"/>
        </w:rPr>
      </w:pPr>
      <w:r w:rsidRPr="00DA0BAC">
        <w:rPr>
          <w:sz w:val="22"/>
          <w:szCs w:val="22"/>
          <w:lang w:val="en-GB"/>
        </w:rPr>
        <w:t>The d</w:t>
      </w:r>
      <w:r>
        <w:rPr>
          <w:sz w:val="22"/>
          <w:szCs w:val="22"/>
          <w:lang w:val="en-GB"/>
        </w:rPr>
        <w:t>ecision</w:t>
      </w:r>
      <w:r w:rsidRPr="00DA0BAC">
        <w:rPr>
          <w:sz w:val="22"/>
          <w:szCs w:val="22"/>
          <w:lang w:val="en-GB"/>
        </w:rPr>
        <w:t xml:space="preserve"> was published on the </w:t>
      </w:r>
      <w:proofErr w:type="spellStart"/>
      <w:r w:rsidRPr="00DA0BAC">
        <w:rPr>
          <w:sz w:val="22"/>
          <w:szCs w:val="22"/>
          <w:lang w:val="en-GB"/>
        </w:rPr>
        <w:t>MoE</w:t>
      </w:r>
      <w:proofErr w:type="spellEnd"/>
      <w:r w:rsidRPr="00DA0BAC">
        <w:rPr>
          <w:sz w:val="22"/>
          <w:szCs w:val="22"/>
          <w:lang w:val="en-GB"/>
        </w:rPr>
        <w:t xml:space="preserve">, </w:t>
      </w:r>
      <w:r w:rsidRPr="00DA0BAC">
        <w:rPr>
          <w:bCs/>
          <w:sz w:val="22"/>
          <w:szCs w:val="22"/>
          <w:lang w:val="en-GB"/>
        </w:rPr>
        <w:t xml:space="preserve">MDRAP and programme </w:t>
      </w:r>
      <w:r w:rsidRPr="00DA0BAC">
        <w:rPr>
          <w:sz w:val="22"/>
          <w:szCs w:val="22"/>
          <w:lang w:val="en-GB"/>
        </w:rPr>
        <w:t xml:space="preserve">websites </w:t>
      </w:r>
      <w:r>
        <w:rPr>
          <w:sz w:val="22"/>
          <w:szCs w:val="22"/>
          <w:lang w:val="en-GB"/>
        </w:rPr>
        <w:t xml:space="preserve">on 29 May 2015 </w:t>
      </w:r>
      <w:r w:rsidRPr="00DA0BAC">
        <w:rPr>
          <w:sz w:val="22"/>
          <w:szCs w:val="22"/>
          <w:lang w:val="en-GB"/>
        </w:rPr>
        <w:t xml:space="preserve">together with the </w:t>
      </w:r>
      <w:r w:rsidRPr="00DA0BAC">
        <w:rPr>
          <w:i/>
          <w:sz w:val="22"/>
          <w:szCs w:val="22"/>
          <w:lang w:val="en-GB"/>
        </w:rPr>
        <w:t>Note on the screening conclusions in the participating countries and the reasons for not requiring an environmental assessment for the Black Sea Basin ENI CBC programme 2014-2020</w:t>
      </w:r>
      <w:r w:rsidRPr="00DA0BAC">
        <w:rPr>
          <w:iCs/>
          <w:sz w:val="22"/>
          <w:szCs w:val="22"/>
          <w:lang w:val="en-GB"/>
        </w:rPr>
        <w:t>.</w:t>
      </w:r>
      <w:r w:rsidRPr="00DA0BAC">
        <w:rPr>
          <w:sz w:val="22"/>
          <w:szCs w:val="22"/>
          <w:lang w:val="en-GB"/>
        </w:rPr>
        <w:t xml:space="preserve"> </w:t>
      </w:r>
    </w:p>
    <w:p w14:paraId="20073C96" w14:textId="77777777" w:rsidR="00F022F7" w:rsidRDefault="00E017DD" w:rsidP="00D23507">
      <w:pPr>
        <w:pStyle w:val="ListParagraph"/>
        <w:numPr>
          <w:ilvl w:val="0"/>
          <w:numId w:val="60"/>
        </w:numPr>
        <w:spacing w:before="120" w:after="0" w:line="252" w:lineRule="auto"/>
        <w:jc w:val="both"/>
        <w:rPr>
          <w:sz w:val="22"/>
          <w:szCs w:val="22"/>
          <w:lang w:val="en-GB"/>
        </w:rPr>
      </w:pPr>
      <w:r w:rsidRPr="00D23507">
        <w:rPr>
          <w:sz w:val="22"/>
          <w:szCs w:val="22"/>
          <w:lang w:val="en-GB"/>
        </w:rPr>
        <w:t xml:space="preserve">January-February 2015: </w:t>
      </w:r>
      <w:r w:rsidR="00F022F7" w:rsidRPr="00D23507">
        <w:rPr>
          <w:sz w:val="22"/>
          <w:szCs w:val="22"/>
          <w:lang w:val="en-GB"/>
        </w:rPr>
        <w:t>A SEA screening procedure was carried out by the Bulgarian Ministry of Environment and Water in regard to the eligible regions in Bulgaria to determine whether environmental assessment was needed</w:t>
      </w:r>
      <w:r w:rsidR="001C6B79">
        <w:rPr>
          <w:rStyle w:val="FootnoteReference"/>
          <w:sz w:val="22"/>
          <w:szCs w:val="22"/>
          <w:lang w:val="en-GB"/>
        </w:rPr>
        <w:footnoteReference w:id="98"/>
      </w:r>
      <w:r w:rsidR="00D23507" w:rsidRPr="00D23507">
        <w:rPr>
          <w:sz w:val="22"/>
          <w:szCs w:val="22"/>
          <w:lang w:val="en-GB"/>
        </w:rPr>
        <w:t>.</w:t>
      </w:r>
    </w:p>
    <w:p w14:paraId="08F81394" w14:textId="47423BBF" w:rsidR="00AF72BB" w:rsidRPr="00AF72BB" w:rsidRDefault="00AF72BB" w:rsidP="00D23507">
      <w:pPr>
        <w:pStyle w:val="ListParagraph"/>
        <w:numPr>
          <w:ilvl w:val="0"/>
          <w:numId w:val="60"/>
        </w:numPr>
        <w:spacing w:before="120" w:after="0" w:line="252" w:lineRule="auto"/>
        <w:jc w:val="both"/>
        <w:rPr>
          <w:sz w:val="22"/>
          <w:szCs w:val="22"/>
          <w:lang w:val="en-GB"/>
        </w:rPr>
      </w:pPr>
      <w:r>
        <w:rPr>
          <w:sz w:val="22"/>
          <w:szCs w:val="22"/>
          <w:lang w:val="en-GB"/>
        </w:rPr>
        <w:t xml:space="preserve">May 2015: </w:t>
      </w:r>
      <w:r w:rsidRPr="000E24D7">
        <w:rPr>
          <w:bCs/>
          <w:sz w:val="22"/>
          <w:szCs w:val="22"/>
          <w:lang w:val="lv-LV"/>
        </w:rPr>
        <w:t>The environmental authorities in Greece reviewed the programme</w:t>
      </w:r>
      <w:r>
        <w:rPr>
          <w:rStyle w:val="FootnoteReference"/>
          <w:bCs/>
          <w:sz w:val="22"/>
          <w:szCs w:val="22"/>
          <w:lang w:val="lv-LV"/>
        </w:rPr>
        <w:footnoteReference w:id="99"/>
      </w:r>
      <w:r w:rsidRPr="000E24D7">
        <w:rPr>
          <w:bCs/>
          <w:sz w:val="22"/>
          <w:szCs w:val="22"/>
          <w:lang w:val="lv-LV"/>
        </w:rPr>
        <w:t xml:space="preserve"> </w:t>
      </w:r>
      <w:r>
        <w:rPr>
          <w:sz w:val="22"/>
          <w:szCs w:val="22"/>
          <w:lang w:val="en-GB"/>
        </w:rPr>
        <w:t>in regard to the eligible regions in Greece</w:t>
      </w:r>
    </w:p>
    <w:p w14:paraId="50ABFBC4" w14:textId="01916961" w:rsidR="00E017DD" w:rsidRPr="003667D4" w:rsidRDefault="00AF72BB" w:rsidP="00E017DD">
      <w:pPr>
        <w:spacing w:before="240" w:after="120"/>
        <w:rPr>
          <w:b/>
          <w:lang w:val="en-GB"/>
        </w:rPr>
      </w:pPr>
      <w:r>
        <w:rPr>
          <w:b/>
          <w:lang w:val="en-GB"/>
        </w:rPr>
        <w:t>Conclusions by</w:t>
      </w:r>
      <w:r w:rsidR="00E017DD" w:rsidRPr="003667D4">
        <w:rPr>
          <w:b/>
          <w:lang w:val="en-GB"/>
        </w:rPr>
        <w:t xml:space="preserve"> participating countries</w:t>
      </w:r>
    </w:p>
    <w:tbl>
      <w:tblPr>
        <w:tblStyle w:val="MediumShading1-Accent1"/>
        <w:tblW w:w="11023" w:type="dxa"/>
        <w:tblLook w:val="0420" w:firstRow="1" w:lastRow="0" w:firstColumn="0" w:lastColumn="0" w:noHBand="0" w:noVBand="1"/>
      </w:tblPr>
      <w:tblGrid>
        <w:gridCol w:w="1470"/>
        <w:gridCol w:w="9553"/>
      </w:tblGrid>
      <w:tr w:rsidR="00E017DD" w:rsidRPr="00EA2776" w14:paraId="3B626263" w14:textId="77777777" w:rsidTr="00AF79A6">
        <w:trPr>
          <w:cnfStyle w:val="100000000000" w:firstRow="1" w:lastRow="0" w:firstColumn="0" w:lastColumn="0" w:oddVBand="0" w:evenVBand="0" w:oddHBand="0" w:evenHBand="0" w:firstRowFirstColumn="0" w:firstRowLastColumn="0" w:lastRowFirstColumn="0" w:lastRowLastColumn="0"/>
          <w:trHeight w:val="584"/>
        </w:trPr>
        <w:tc>
          <w:tcPr>
            <w:tcW w:w="1470" w:type="dxa"/>
          </w:tcPr>
          <w:p w14:paraId="70E66DA9" w14:textId="77777777" w:rsidR="00E017DD" w:rsidRPr="000B0119" w:rsidRDefault="00E017DD" w:rsidP="00BB7F6F">
            <w:pPr>
              <w:spacing w:before="120" w:line="252" w:lineRule="auto"/>
              <w:jc w:val="both"/>
              <w:rPr>
                <w:bCs w:val="0"/>
                <w:sz w:val="22"/>
                <w:szCs w:val="22"/>
                <w:lang w:val="lv-LV"/>
              </w:rPr>
            </w:pPr>
            <w:r w:rsidRPr="000B0119">
              <w:rPr>
                <w:bCs w:val="0"/>
                <w:sz w:val="22"/>
                <w:szCs w:val="22"/>
                <w:lang w:val="lv-LV"/>
              </w:rPr>
              <w:t>Participating Country</w:t>
            </w:r>
          </w:p>
        </w:tc>
        <w:tc>
          <w:tcPr>
            <w:tcW w:w="9553" w:type="dxa"/>
          </w:tcPr>
          <w:p w14:paraId="5309D5F8" w14:textId="77777777" w:rsidR="00E017DD" w:rsidRPr="00EA2776" w:rsidRDefault="00E017DD" w:rsidP="00BB7F6F">
            <w:pPr>
              <w:spacing w:before="120" w:line="252" w:lineRule="auto"/>
              <w:jc w:val="both"/>
              <w:rPr>
                <w:sz w:val="22"/>
                <w:szCs w:val="22"/>
                <w:lang w:val="lv-LV"/>
              </w:rPr>
            </w:pPr>
            <w:r w:rsidRPr="00EA2776">
              <w:rPr>
                <w:sz w:val="22"/>
                <w:szCs w:val="22"/>
                <w:lang w:val="lv-LV"/>
              </w:rPr>
              <w:t>Conclusion</w:t>
            </w:r>
          </w:p>
        </w:tc>
      </w:tr>
      <w:tr w:rsidR="00E017DD" w:rsidRPr="00BF52E5" w14:paraId="2737E307" w14:textId="77777777" w:rsidTr="00AF79A6">
        <w:trPr>
          <w:cnfStyle w:val="000000100000" w:firstRow="0" w:lastRow="0" w:firstColumn="0" w:lastColumn="0" w:oddVBand="0" w:evenVBand="0" w:oddHBand="1" w:evenHBand="0" w:firstRowFirstColumn="0" w:firstRowLastColumn="0" w:lastRowFirstColumn="0" w:lastRowLastColumn="0"/>
          <w:trHeight w:val="584"/>
        </w:trPr>
        <w:tc>
          <w:tcPr>
            <w:tcW w:w="1470" w:type="dxa"/>
            <w:hideMark/>
          </w:tcPr>
          <w:p w14:paraId="6E912F3E" w14:textId="0AE6887D" w:rsidR="00A930DA" w:rsidRPr="00935A51" w:rsidRDefault="00E017DD" w:rsidP="00935A51">
            <w:pPr>
              <w:spacing w:before="40"/>
              <w:jc w:val="both"/>
              <w:rPr>
                <w:bCs/>
                <w:sz w:val="22"/>
                <w:szCs w:val="22"/>
                <w:lang w:val="lv-LV"/>
              </w:rPr>
            </w:pPr>
            <w:r w:rsidRPr="003667D4">
              <w:rPr>
                <w:bCs/>
                <w:sz w:val="22"/>
                <w:szCs w:val="22"/>
                <w:lang w:val="lv-LV"/>
              </w:rPr>
              <w:lastRenderedPageBreak/>
              <w:t>Armenia</w:t>
            </w:r>
          </w:p>
          <w:p w14:paraId="4E48446C" w14:textId="7F4093D1" w:rsidR="00E017DD" w:rsidRPr="00935A51" w:rsidRDefault="00E017DD" w:rsidP="00935A51">
            <w:pPr>
              <w:spacing w:before="40"/>
              <w:jc w:val="both"/>
              <w:rPr>
                <w:bCs/>
                <w:sz w:val="22"/>
                <w:szCs w:val="22"/>
                <w:lang w:val="lv-LV"/>
              </w:rPr>
            </w:pPr>
            <w:r w:rsidRPr="003667D4">
              <w:rPr>
                <w:bCs/>
                <w:sz w:val="22"/>
                <w:szCs w:val="22"/>
                <w:lang w:val="lv-LV"/>
              </w:rPr>
              <w:t>Georgia</w:t>
            </w:r>
            <w:r w:rsidR="00AF79A6">
              <w:rPr>
                <w:bCs/>
                <w:sz w:val="22"/>
                <w:szCs w:val="22"/>
                <w:lang w:val="lv-LV"/>
              </w:rPr>
              <w:t xml:space="preserve"> &amp;</w:t>
            </w:r>
          </w:p>
          <w:p w14:paraId="5267621D" w14:textId="3BCF541D" w:rsidR="00E017DD" w:rsidRPr="00935A51" w:rsidRDefault="00761E10" w:rsidP="00935A51">
            <w:pPr>
              <w:spacing w:before="40"/>
              <w:jc w:val="both"/>
              <w:rPr>
                <w:bCs/>
                <w:sz w:val="22"/>
                <w:szCs w:val="22"/>
                <w:lang w:val="lv-LV"/>
              </w:rPr>
            </w:pPr>
            <w:r>
              <w:rPr>
                <w:bCs/>
                <w:sz w:val="22"/>
                <w:szCs w:val="22"/>
                <w:lang w:val="lv-LV"/>
              </w:rPr>
              <w:t xml:space="preserve">R. </w:t>
            </w:r>
            <w:r w:rsidR="00E017DD" w:rsidRPr="003667D4">
              <w:rPr>
                <w:bCs/>
                <w:sz w:val="22"/>
                <w:szCs w:val="22"/>
                <w:lang w:val="lv-LV"/>
              </w:rPr>
              <w:t>Moldova</w:t>
            </w:r>
          </w:p>
        </w:tc>
        <w:tc>
          <w:tcPr>
            <w:tcW w:w="9553" w:type="dxa"/>
            <w:hideMark/>
          </w:tcPr>
          <w:p w14:paraId="25181059" w14:textId="39B7BFD7" w:rsidR="00FB4F3C" w:rsidRPr="00FB4F3C" w:rsidRDefault="00E017DD" w:rsidP="00935A51">
            <w:pPr>
              <w:spacing w:before="40"/>
              <w:jc w:val="both"/>
              <w:rPr>
                <w:bCs/>
                <w:sz w:val="22"/>
                <w:szCs w:val="22"/>
                <w:lang w:val="lv-LV"/>
              </w:rPr>
            </w:pPr>
            <w:r w:rsidRPr="00935A51">
              <w:rPr>
                <w:bCs/>
                <w:sz w:val="22"/>
                <w:szCs w:val="22"/>
                <w:lang w:val="lv-LV"/>
              </w:rPr>
              <w:t>Based on internal consultations and own assessments according to their national procedures, the environmental authorities have concluded that the Black Sea CBC programme 2014-2020 is not likely to have a significant effect on the environment in the regions in their countries eligible for the programme and that no further action is required at national level. The environmental authorities have largely supported the initial assessment prepared by the SPP expert for the MA and the conclusions derived from it.</w:t>
            </w:r>
          </w:p>
        </w:tc>
      </w:tr>
      <w:tr w:rsidR="00287823" w:rsidRPr="00BF52E5" w14:paraId="47E406CB" w14:textId="77777777" w:rsidTr="00AF79A6">
        <w:trPr>
          <w:cnfStyle w:val="000000010000" w:firstRow="0" w:lastRow="0" w:firstColumn="0" w:lastColumn="0" w:oddVBand="0" w:evenVBand="0" w:oddHBand="0" w:evenHBand="1" w:firstRowFirstColumn="0" w:firstRowLastColumn="0" w:lastRowFirstColumn="0" w:lastRowLastColumn="0"/>
          <w:trHeight w:val="584"/>
        </w:trPr>
        <w:tc>
          <w:tcPr>
            <w:tcW w:w="1470" w:type="dxa"/>
          </w:tcPr>
          <w:p w14:paraId="32760B15" w14:textId="22C9836E" w:rsidR="00287823" w:rsidRDefault="00287823" w:rsidP="00935A51">
            <w:pPr>
              <w:spacing w:before="40"/>
              <w:jc w:val="both"/>
              <w:rPr>
                <w:bCs/>
                <w:sz w:val="22"/>
                <w:szCs w:val="22"/>
                <w:lang w:val="lv-LV"/>
              </w:rPr>
            </w:pPr>
            <w:r w:rsidRPr="003667D4">
              <w:rPr>
                <w:bCs/>
                <w:sz w:val="22"/>
                <w:szCs w:val="22"/>
                <w:lang w:val="lv-LV"/>
              </w:rPr>
              <w:t>Bulgaria</w:t>
            </w:r>
          </w:p>
        </w:tc>
        <w:tc>
          <w:tcPr>
            <w:tcW w:w="9553" w:type="dxa"/>
          </w:tcPr>
          <w:p w14:paraId="7593F327" w14:textId="11E57BAE" w:rsidR="00287823" w:rsidRPr="00F97EF5" w:rsidRDefault="00287823" w:rsidP="00935A51">
            <w:pPr>
              <w:spacing w:before="40"/>
              <w:jc w:val="both"/>
              <w:rPr>
                <w:bCs/>
                <w:sz w:val="22"/>
                <w:szCs w:val="22"/>
                <w:lang w:val="lv-LV"/>
              </w:rPr>
            </w:pPr>
            <w:r>
              <w:rPr>
                <w:bCs/>
                <w:sz w:val="22"/>
                <w:szCs w:val="22"/>
                <w:lang w:val="lv-LV"/>
              </w:rPr>
              <w:t xml:space="preserve">The </w:t>
            </w:r>
            <w:r w:rsidRPr="00F022F7">
              <w:rPr>
                <w:sz w:val="22"/>
                <w:szCs w:val="22"/>
                <w:lang w:val="en-GB"/>
              </w:rPr>
              <w:t xml:space="preserve">Ministry of Environment and Water </w:t>
            </w:r>
            <w:r>
              <w:rPr>
                <w:sz w:val="22"/>
                <w:szCs w:val="22"/>
                <w:lang w:val="en-GB"/>
              </w:rPr>
              <w:t xml:space="preserve">has concluded </w:t>
            </w:r>
            <w:r w:rsidRPr="00F022F7">
              <w:rPr>
                <w:sz w:val="22"/>
                <w:szCs w:val="22"/>
                <w:lang w:val="en-GB"/>
              </w:rPr>
              <w:t>that</w:t>
            </w:r>
            <w:r>
              <w:rPr>
                <w:sz w:val="22"/>
                <w:szCs w:val="22"/>
                <w:lang w:val="en-GB"/>
              </w:rPr>
              <w:t>,</w:t>
            </w:r>
            <w:r w:rsidRPr="00F022F7">
              <w:rPr>
                <w:sz w:val="22"/>
                <w:szCs w:val="22"/>
                <w:lang w:val="en-GB"/>
              </w:rPr>
              <w:t xml:space="preserve"> </w:t>
            </w:r>
            <w:r>
              <w:rPr>
                <w:sz w:val="22"/>
                <w:szCs w:val="22"/>
                <w:lang w:val="en-GB"/>
              </w:rPr>
              <w:t>“</w:t>
            </w:r>
            <w:r w:rsidRPr="00F022F7">
              <w:rPr>
                <w:sz w:val="22"/>
                <w:szCs w:val="22"/>
                <w:lang w:val="en-GB"/>
              </w:rPr>
              <w:t xml:space="preserve">according to the </w:t>
            </w:r>
            <w:r>
              <w:rPr>
                <w:sz w:val="22"/>
                <w:szCs w:val="22"/>
                <w:lang w:val="en-GB"/>
              </w:rPr>
              <w:t xml:space="preserve">relevant legal provisions, </w:t>
            </w:r>
            <w:r w:rsidRPr="00F022F7">
              <w:rPr>
                <w:sz w:val="22"/>
                <w:szCs w:val="22"/>
                <w:lang w:val="en-GB"/>
              </w:rPr>
              <w:t>environmental assessment is not required for the Bulgarian NUTS II regions included in the eligible area of the Black Sea Basin ENI CBC Programme 2014-2020, the implementation of which is unlikely to have a significant negative impact on the environment and human health.</w:t>
            </w:r>
            <w:r>
              <w:rPr>
                <w:sz w:val="22"/>
                <w:szCs w:val="22"/>
                <w:lang w:val="en-GB"/>
              </w:rPr>
              <w:t>”</w:t>
            </w:r>
            <w:r w:rsidRPr="00F022F7">
              <w:rPr>
                <w:sz w:val="22"/>
                <w:szCs w:val="22"/>
                <w:lang w:val="en-GB"/>
              </w:rPr>
              <w:t xml:space="preserve"> </w:t>
            </w:r>
            <w:r>
              <w:rPr>
                <w:sz w:val="22"/>
                <w:szCs w:val="22"/>
                <w:lang w:val="en-GB"/>
              </w:rPr>
              <w:t>The decision was made based on two conditions related to environmental impact assessment where necessary and good water status and management of flood risk. These conditions have been included in the SEA report and reflected in the relevant part of the programme strategy.</w:t>
            </w:r>
          </w:p>
        </w:tc>
      </w:tr>
      <w:tr w:rsidR="00287823" w:rsidRPr="00BF52E5" w14:paraId="6530A205" w14:textId="77777777" w:rsidTr="00AF79A6">
        <w:trPr>
          <w:cnfStyle w:val="000000100000" w:firstRow="0" w:lastRow="0" w:firstColumn="0" w:lastColumn="0" w:oddVBand="0" w:evenVBand="0" w:oddHBand="1" w:evenHBand="0" w:firstRowFirstColumn="0" w:firstRowLastColumn="0" w:lastRowFirstColumn="0" w:lastRowLastColumn="0"/>
          <w:trHeight w:val="584"/>
        </w:trPr>
        <w:tc>
          <w:tcPr>
            <w:tcW w:w="1470" w:type="dxa"/>
          </w:tcPr>
          <w:p w14:paraId="6935F7EC" w14:textId="2D4EA851" w:rsidR="00287823" w:rsidRDefault="00287823" w:rsidP="00935A51">
            <w:pPr>
              <w:spacing w:before="40"/>
              <w:jc w:val="both"/>
              <w:rPr>
                <w:bCs/>
                <w:sz w:val="22"/>
                <w:szCs w:val="22"/>
                <w:lang w:val="lv-LV"/>
              </w:rPr>
            </w:pPr>
            <w:r>
              <w:rPr>
                <w:bCs/>
                <w:sz w:val="22"/>
                <w:szCs w:val="22"/>
                <w:lang w:val="lv-LV"/>
              </w:rPr>
              <w:t>Greece</w:t>
            </w:r>
          </w:p>
        </w:tc>
        <w:tc>
          <w:tcPr>
            <w:tcW w:w="9553" w:type="dxa"/>
          </w:tcPr>
          <w:p w14:paraId="56751843" w14:textId="32136677" w:rsidR="00287823" w:rsidRPr="00F97EF5" w:rsidRDefault="00287823" w:rsidP="00935A51">
            <w:pPr>
              <w:spacing w:before="40"/>
              <w:jc w:val="both"/>
              <w:rPr>
                <w:bCs/>
                <w:sz w:val="22"/>
                <w:szCs w:val="22"/>
                <w:lang w:val="lv-LV"/>
              </w:rPr>
            </w:pPr>
            <w:r w:rsidRPr="00BA5A9B">
              <w:rPr>
                <w:sz w:val="22"/>
                <w:szCs w:val="22"/>
                <w:lang w:val="en-GB"/>
              </w:rPr>
              <w:t>“</w:t>
            </w:r>
            <w:r w:rsidRPr="000E24D7">
              <w:rPr>
                <w:bCs/>
                <w:sz w:val="22"/>
                <w:szCs w:val="22"/>
                <w:lang w:val="lv-LV"/>
              </w:rPr>
              <w:t>Consequently,</w:t>
            </w:r>
            <w:r>
              <w:rPr>
                <w:bCs/>
                <w:sz w:val="22"/>
                <w:szCs w:val="22"/>
                <w:lang w:val="lv-LV"/>
              </w:rPr>
              <w:t xml:space="preserve"> </w:t>
            </w:r>
            <w:r w:rsidRPr="000E24D7">
              <w:rPr>
                <w:bCs/>
                <w:sz w:val="22"/>
                <w:szCs w:val="22"/>
                <w:lang w:val="lv-LV"/>
              </w:rPr>
              <w:t>for the above mentioned Programme a Strategic Environmental Assessment or an ex-ante environmental control is not required.”</w:t>
            </w:r>
          </w:p>
        </w:tc>
      </w:tr>
      <w:tr w:rsidR="00287823" w:rsidRPr="00BF52E5" w14:paraId="10CB020F" w14:textId="77777777" w:rsidTr="00AF79A6">
        <w:trPr>
          <w:cnfStyle w:val="000000010000" w:firstRow="0" w:lastRow="0" w:firstColumn="0" w:lastColumn="0" w:oddVBand="0" w:evenVBand="0" w:oddHBand="0" w:evenHBand="1" w:firstRowFirstColumn="0" w:firstRowLastColumn="0" w:lastRowFirstColumn="0" w:lastRowLastColumn="0"/>
          <w:trHeight w:val="584"/>
        </w:trPr>
        <w:tc>
          <w:tcPr>
            <w:tcW w:w="1470" w:type="dxa"/>
          </w:tcPr>
          <w:p w14:paraId="5FAFD195" w14:textId="6C9F3BC2" w:rsidR="00287823" w:rsidRDefault="00906C27" w:rsidP="00935A51">
            <w:pPr>
              <w:spacing w:before="40"/>
              <w:jc w:val="both"/>
              <w:rPr>
                <w:bCs/>
                <w:sz w:val="22"/>
                <w:szCs w:val="22"/>
                <w:lang w:val="lv-LV"/>
              </w:rPr>
            </w:pPr>
            <w:r w:rsidRPr="00935A51">
              <w:rPr>
                <w:bCs/>
                <w:sz w:val="22"/>
                <w:szCs w:val="22"/>
                <w:lang w:val="lv-LV"/>
              </w:rPr>
              <w:t>Romania</w:t>
            </w:r>
          </w:p>
        </w:tc>
        <w:tc>
          <w:tcPr>
            <w:tcW w:w="9553" w:type="dxa"/>
          </w:tcPr>
          <w:p w14:paraId="7708344A" w14:textId="571AA0A3" w:rsidR="00287823" w:rsidRPr="00F97EF5" w:rsidRDefault="00287823" w:rsidP="00935A51">
            <w:pPr>
              <w:spacing w:before="40"/>
              <w:jc w:val="both"/>
              <w:rPr>
                <w:bCs/>
                <w:sz w:val="22"/>
                <w:szCs w:val="22"/>
                <w:lang w:val="lv-LV"/>
              </w:rPr>
            </w:pPr>
            <w:r w:rsidRPr="00BA5A9B">
              <w:rPr>
                <w:sz w:val="22"/>
                <w:szCs w:val="22"/>
                <w:lang w:val="en-GB"/>
              </w:rPr>
              <w:t>“As a consequence, according with the provisions of art. 3 par.(7) of the SEA Directive, the Ministry of Environment, Water and Forests decides that environmental assessment is not required pursuant to art.5 of the SEA Directive for the ENI CBC Black Sea Basin Programme 2014-2020.”</w:t>
            </w:r>
          </w:p>
        </w:tc>
      </w:tr>
      <w:tr w:rsidR="00AF79A6" w:rsidRPr="00BF52E5" w14:paraId="53D0F5E5" w14:textId="77777777" w:rsidTr="00AF79A6">
        <w:trPr>
          <w:cnfStyle w:val="000000100000" w:firstRow="0" w:lastRow="0" w:firstColumn="0" w:lastColumn="0" w:oddVBand="0" w:evenVBand="0" w:oddHBand="1" w:evenHBand="0" w:firstRowFirstColumn="0" w:firstRowLastColumn="0" w:lastRowFirstColumn="0" w:lastRowLastColumn="0"/>
          <w:trHeight w:val="584"/>
        </w:trPr>
        <w:tc>
          <w:tcPr>
            <w:tcW w:w="1470" w:type="dxa"/>
          </w:tcPr>
          <w:p w14:paraId="08AE0E91" w14:textId="07DEF397" w:rsidR="00AF79A6" w:rsidRPr="00935A51" w:rsidRDefault="00AF79A6" w:rsidP="00935A51">
            <w:pPr>
              <w:spacing w:before="40"/>
              <w:jc w:val="both"/>
              <w:rPr>
                <w:bCs/>
                <w:sz w:val="22"/>
                <w:szCs w:val="22"/>
                <w:lang w:val="lv-LV"/>
              </w:rPr>
            </w:pPr>
            <w:r>
              <w:rPr>
                <w:bCs/>
                <w:sz w:val="22"/>
                <w:szCs w:val="22"/>
                <w:lang w:val="lv-LV"/>
              </w:rPr>
              <w:t>Turkey &amp; Ukraine</w:t>
            </w:r>
          </w:p>
        </w:tc>
        <w:tc>
          <w:tcPr>
            <w:tcW w:w="9553" w:type="dxa"/>
          </w:tcPr>
          <w:p w14:paraId="18717638" w14:textId="1241C2E4" w:rsidR="00AF79A6" w:rsidRPr="00BA5A9B" w:rsidRDefault="00F97EF5" w:rsidP="00935A51">
            <w:pPr>
              <w:spacing w:before="40"/>
              <w:jc w:val="both"/>
              <w:rPr>
                <w:sz w:val="22"/>
                <w:szCs w:val="22"/>
                <w:lang w:val="en-GB"/>
              </w:rPr>
            </w:pPr>
            <w:r w:rsidRPr="00F97EF5">
              <w:rPr>
                <w:bCs/>
                <w:sz w:val="22"/>
                <w:szCs w:val="22"/>
                <w:lang w:val="lv-LV"/>
              </w:rPr>
              <w:t>An SEA assessment was not performed as according to current legislation in these countries SEA is not required. Draft SEA legislation has been developed but is not yet in force</w:t>
            </w:r>
            <w:r>
              <w:rPr>
                <w:bCs/>
                <w:sz w:val="22"/>
                <w:szCs w:val="22"/>
                <w:lang w:val="lv-LV"/>
              </w:rPr>
              <w:t>.</w:t>
            </w:r>
          </w:p>
        </w:tc>
      </w:tr>
    </w:tbl>
    <w:p w14:paraId="17E4A13D" w14:textId="77777777" w:rsidR="00E017DD" w:rsidRPr="003667D4" w:rsidRDefault="00E017DD" w:rsidP="00E017DD">
      <w:pPr>
        <w:spacing w:before="240" w:after="120"/>
        <w:rPr>
          <w:b/>
          <w:lang w:val="en-GB"/>
        </w:rPr>
      </w:pPr>
      <w:r w:rsidRPr="003667D4">
        <w:rPr>
          <w:b/>
          <w:lang w:val="en-GB"/>
        </w:rPr>
        <w:t>Overall conclusions</w:t>
      </w:r>
    </w:p>
    <w:p w14:paraId="390A6113" w14:textId="6ED94407" w:rsidR="00E017DD" w:rsidRPr="008C786C" w:rsidRDefault="00E017DD" w:rsidP="00E017DD">
      <w:pPr>
        <w:spacing w:before="120" w:after="0" w:line="252" w:lineRule="auto"/>
        <w:jc w:val="both"/>
        <w:rPr>
          <w:rFonts w:ascii="Calisto MT" w:hAnsi="Calisto MT"/>
          <w:sz w:val="22"/>
          <w:szCs w:val="22"/>
          <w:lang w:val="en-GB"/>
        </w:rPr>
      </w:pPr>
      <w:r w:rsidRPr="00EA2776">
        <w:rPr>
          <w:sz w:val="22"/>
          <w:szCs w:val="22"/>
          <w:lang w:val="en-GB"/>
        </w:rPr>
        <w:t>Based on the assessment of the BSB programme using criteria for determining the likely significance of environm</w:t>
      </w:r>
      <w:r w:rsidR="00B95982">
        <w:rPr>
          <w:sz w:val="22"/>
          <w:szCs w:val="22"/>
          <w:lang w:val="en-GB"/>
        </w:rPr>
        <w:t xml:space="preserve">ental effects (according to </w:t>
      </w:r>
      <w:r w:rsidRPr="00EA2776">
        <w:rPr>
          <w:sz w:val="22"/>
          <w:szCs w:val="22"/>
          <w:lang w:val="en-GB"/>
        </w:rPr>
        <w:t>Annex II of the SEA Directive), and taking into account the opinions received from the environmental authorities of the participating countries, it is concluded that the programme is not likely to have significant environmental effects in the regions eligible for the prog</w:t>
      </w:r>
      <w:r w:rsidR="008C786C">
        <w:rPr>
          <w:sz w:val="22"/>
          <w:szCs w:val="22"/>
          <w:lang w:val="en-GB"/>
        </w:rPr>
        <w:t>ramme</w:t>
      </w:r>
      <w:r w:rsidR="004A5667">
        <w:rPr>
          <w:sz w:val="22"/>
          <w:szCs w:val="22"/>
          <w:lang w:val="en-GB"/>
        </w:rPr>
        <w:t>,</w:t>
      </w:r>
      <w:r w:rsidR="008C786C">
        <w:rPr>
          <w:sz w:val="22"/>
          <w:szCs w:val="22"/>
          <w:lang w:val="en-GB"/>
        </w:rPr>
        <w:t xml:space="preserve"> </w:t>
      </w:r>
      <w:r w:rsidR="004A5667">
        <w:rPr>
          <w:sz w:val="22"/>
          <w:szCs w:val="22"/>
          <w:lang w:val="en-GB"/>
        </w:rPr>
        <w:t xml:space="preserve">and a full SEA is not required, </w:t>
      </w:r>
      <w:r w:rsidR="008C786C">
        <w:rPr>
          <w:sz w:val="22"/>
          <w:szCs w:val="22"/>
          <w:lang w:val="en-GB"/>
        </w:rPr>
        <w:t xml:space="preserve">for the following reasons </w:t>
      </w:r>
      <w:r w:rsidR="008C786C">
        <w:rPr>
          <w:rFonts w:ascii="Calisto MT" w:hAnsi="Calisto MT"/>
          <w:sz w:val="22"/>
          <w:szCs w:val="22"/>
          <w:lang w:val="en-GB"/>
        </w:rPr>
        <w:t xml:space="preserve">(full details can be found in the report on the SEA process in </w:t>
      </w:r>
      <w:r w:rsidR="00160198">
        <w:rPr>
          <w:rFonts w:ascii="Calisto MT" w:hAnsi="Calisto MT"/>
          <w:sz w:val="22"/>
          <w:szCs w:val="22"/>
          <w:lang w:val="en-GB"/>
        </w:rPr>
        <w:t>Annex 5</w:t>
      </w:r>
      <w:r w:rsidR="008C786C">
        <w:rPr>
          <w:rFonts w:ascii="Calisto MT" w:hAnsi="Calisto MT"/>
          <w:sz w:val="22"/>
          <w:szCs w:val="22"/>
          <w:lang w:val="en-GB"/>
        </w:rPr>
        <w:t>)</w:t>
      </w:r>
      <w:r w:rsidR="008C786C" w:rsidRPr="00FC22D2">
        <w:rPr>
          <w:rFonts w:ascii="Calisto MT" w:hAnsi="Calisto MT"/>
          <w:sz w:val="22"/>
          <w:szCs w:val="22"/>
          <w:lang w:val="en-GB"/>
        </w:rPr>
        <w:t>:</w:t>
      </w:r>
    </w:p>
    <w:p w14:paraId="5E3AED6B"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The programme allocates financing and sets the framework for the projects a</w:t>
      </w:r>
      <w:r w:rsidR="00AB739E">
        <w:rPr>
          <w:sz w:val="22"/>
          <w:szCs w:val="22"/>
          <w:lang w:val="en-GB"/>
        </w:rPr>
        <w:t>nd their operating conditions (‘</w:t>
      </w:r>
      <w:r w:rsidRPr="00EA2776">
        <w:rPr>
          <w:sz w:val="22"/>
          <w:szCs w:val="22"/>
          <w:lang w:val="en-GB"/>
        </w:rPr>
        <w:t>soft’ type of projects with limited investments in equipment)</w:t>
      </w:r>
    </w:p>
    <w:p w14:paraId="15B301B5"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 xml:space="preserve">The programme has no </w:t>
      </w:r>
      <w:r w:rsidR="00AB739E">
        <w:rPr>
          <w:sz w:val="22"/>
          <w:szCs w:val="22"/>
          <w:lang w:val="en-GB"/>
        </w:rPr>
        <w:t xml:space="preserve">direct </w:t>
      </w:r>
      <w:r w:rsidRPr="00EA2776">
        <w:rPr>
          <w:sz w:val="22"/>
          <w:szCs w:val="22"/>
          <w:lang w:val="en-GB"/>
        </w:rPr>
        <w:t>influence on the other plans or programmes</w:t>
      </w:r>
    </w:p>
    <w:p w14:paraId="0F553C72"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Integration of environmental considerations is stipulated in the JOP; relevant project selection criteria will be applied</w:t>
      </w:r>
    </w:p>
    <w:p w14:paraId="53FCA406"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No environmental problems relevant to the</w:t>
      </w:r>
      <w:r w:rsidR="00B95982">
        <w:rPr>
          <w:sz w:val="22"/>
          <w:szCs w:val="22"/>
          <w:lang w:val="en-GB"/>
        </w:rPr>
        <w:t xml:space="preserve"> programme have been identified</w:t>
      </w:r>
    </w:p>
    <w:p w14:paraId="1E2D6661"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The programme is not</w:t>
      </w:r>
      <w:r w:rsidR="00AB739E">
        <w:rPr>
          <w:sz w:val="22"/>
          <w:szCs w:val="22"/>
          <w:lang w:val="en-GB"/>
        </w:rPr>
        <w:t xml:space="preserve"> directly</w:t>
      </w:r>
      <w:r w:rsidRPr="00EA2776">
        <w:rPr>
          <w:sz w:val="22"/>
          <w:szCs w:val="22"/>
          <w:lang w:val="en-GB"/>
        </w:rPr>
        <w:t xml:space="preserve"> relevant for the implementation of Community legislation on the environment</w:t>
      </w:r>
    </w:p>
    <w:p w14:paraId="4EBD55CE"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No direct or cumulative effects on environment are expected, while some indirect positive impact</w:t>
      </w:r>
      <w:r w:rsidR="00CD1ADF">
        <w:rPr>
          <w:sz w:val="22"/>
          <w:szCs w:val="22"/>
          <w:lang w:val="en-GB"/>
        </w:rPr>
        <w:t xml:space="preserve"> is</w:t>
      </w:r>
      <w:r w:rsidRPr="00EA2776">
        <w:rPr>
          <w:sz w:val="22"/>
          <w:szCs w:val="22"/>
          <w:lang w:val="en-GB"/>
        </w:rPr>
        <w:t xml:space="preserve"> estimated in the whole programme area affecting the entire population</w:t>
      </w:r>
    </w:p>
    <w:p w14:paraId="50918D03"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ENI CBC is promoting cooperation across the borders, however, no direct trans-boundary environmental effects are expected</w:t>
      </w:r>
    </w:p>
    <w:p w14:paraId="7ADB895F" w14:textId="77777777" w:rsidR="00E017DD"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No risks to human health or the environment have been identified</w:t>
      </w:r>
    </w:p>
    <w:p w14:paraId="5332072F" w14:textId="77777777" w:rsidR="00BD0C70" w:rsidRPr="00BD0C70" w:rsidRDefault="00BD0C70" w:rsidP="002E0D54">
      <w:pPr>
        <w:pStyle w:val="ListParagraph"/>
        <w:numPr>
          <w:ilvl w:val="0"/>
          <w:numId w:val="60"/>
        </w:numPr>
        <w:spacing w:before="120" w:after="0" w:line="252" w:lineRule="auto"/>
        <w:jc w:val="both"/>
        <w:rPr>
          <w:sz w:val="22"/>
          <w:szCs w:val="22"/>
          <w:lang w:val="en-GB"/>
        </w:rPr>
      </w:pPr>
      <w:r w:rsidRPr="00BD0C70">
        <w:rPr>
          <w:sz w:val="22"/>
          <w:szCs w:val="22"/>
          <w:lang w:val="en-GB"/>
        </w:rPr>
        <w:t xml:space="preserve">In regard to the magnitude and spatial extent of effects, indirect positive impact </w:t>
      </w:r>
      <w:r w:rsidR="00CD1ADF">
        <w:rPr>
          <w:sz w:val="22"/>
          <w:szCs w:val="22"/>
          <w:lang w:val="en-GB"/>
        </w:rPr>
        <w:t xml:space="preserve">is </w:t>
      </w:r>
      <w:r w:rsidRPr="00BD0C70">
        <w:rPr>
          <w:sz w:val="22"/>
          <w:szCs w:val="22"/>
          <w:lang w:val="en-GB"/>
        </w:rPr>
        <w:t xml:space="preserve">estimated in </w:t>
      </w:r>
      <w:r w:rsidR="00CD1ADF">
        <w:rPr>
          <w:sz w:val="22"/>
          <w:szCs w:val="22"/>
          <w:lang w:val="en-GB"/>
        </w:rPr>
        <w:t xml:space="preserve">the </w:t>
      </w:r>
      <w:r w:rsidRPr="00BD0C70">
        <w:rPr>
          <w:sz w:val="22"/>
          <w:szCs w:val="22"/>
          <w:lang w:val="en-GB"/>
        </w:rPr>
        <w:t>whole programme area affecting the entire population</w:t>
      </w:r>
    </w:p>
    <w:p w14:paraId="414A71B6"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No vulnerable areas will be directly affected. Intensification of the tourism related activities might potentially lead to an increased pressure on the vulnerable nature areas and cultural heritage objects. To eliminate this potential risk the project applicants will have to carry out the vulnerability assessment of their projects prior to applying for financing</w:t>
      </w:r>
    </w:p>
    <w:p w14:paraId="5FF93293" w14:textId="77777777" w:rsidR="00E017DD" w:rsidRPr="00EA2776" w:rsidRDefault="00E017DD" w:rsidP="002E0D54">
      <w:pPr>
        <w:pStyle w:val="ListParagraph"/>
        <w:numPr>
          <w:ilvl w:val="0"/>
          <w:numId w:val="60"/>
        </w:numPr>
        <w:spacing w:before="120" w:after="0" w:line="252" w:lineRule="auto"/>
        <w:jc w:val="both"/>
        <w:rPr>
          <w:sz w:val="22"/>
          <w:szCs w:val="22"/>
          <w:lang w:val="en-GB"/>
        </w:rPr>
      </w:pPr>
      <w:r w:rsidRPr="00EA2776">
        <w:rPr>
          <w:sz w:val="22"/>
          <w:szCs w:val="22"/>
          <w:lang w:val="en-GB"/>
        </w:rPr>
        <w:t>No direct effects on the landscape are expected</w:t>
      </w:r>
    </w:p>
    <w:p w14:paraId="76161AF9" w14:textId="70CEEEEF" w:rsidR="00E017DD" w:rsidRPr="00F62747" w:rsidRDefault="00E017DD" w:rsidP="00E017DD">
      <w:pPr>
        <w:spacing w:before="120" w:after="0" w:line="252" w:lineRule="auto"/>
        <w:jc w:val="both"/>
        <w:rPr>
          <w:i/>
          <w:sz w:val="22"/>
          <w:szCs w:val="22"/>
          <w:lang w:val="en-GB"/>
        </w:rPr>
      </w:pPr>
      <w:r w:rsidRPr="00EA2776">
        <w:rPr>
          <w:sz w:val="22"/>
          <w:szCs w:val="22"/>
          <w:lang w:val="en-GB"/>
        </w:rPr>
        <w:lastRenderedPageBreak/>
        <w:t xml:space="preserve">Therefore it can be concluded that the regulatory requirements of the SEA directive have been fulfilled in the case of the Black Sea Basin ENI CBC programme, in accordance with national legislation and the guidance on the subject provided by the EC. The nominated environmental authorities in the participating countries have been consulted and it is </w:t>
      </w:r>
      <w:proofErr w:type="spellStart"/>
      <w:r w:rsidR="004A5667" w:rsidRPr="00EA2776">
        <w:rPr>
          <w:sz w:val="22"/>
          <w:szCs w:val="22"/>
          <w:lang w:val="en-GB"/>
        </w:rPr>
        <w:t>is</w:t>
      </w:r>
      <w:proofErr w:type="spellEnd"/>
      <w:r w:rsidR="004A5667" w:rsidRPr="00EA2776">
        <w:rPr>
          <w:sz w:val="22"/>
          <w:szCs w:val="22"/>
          <w:lang w:val="en-GB"/>
        </w:rPr>
        <w:t xml:space="preserve"> </w:t>
      </w:r>
      <w:r w:rsidR="004A5667">
        <w:rPr>
          <w:sz w:val="22"/>
          <w:szCs w:val="22"/>
          <w:lang w:val="en-GB"/>
        </w:rPr>
        <w:t>agreed that a full SEA is not required.</w:t>
      </w:r>
      <w:r w:rsidRPr="00626F5B">
        <w:rPr>
          <w:i/>
          <w:sz w:val="22"/>
          <w:szCs w:val="22"/>
          <w:lang w:val="en-GB"/>
        </w:rPr>
        <w:t xml:space="preserve">  </w:t>
      </w:r>
    </w:p>
    <w:p w14:paraId="4915C009" w14:textId="77777777" w:rsidR="00E017DD" w:rsidRDefault="00E017DD" w:rsidP="00E017DD">
      <w:pPr>
        <w:spacing w:after="60" w:line="264" w:lineRule="auto"/>
        <w:jc w:val="both"/>
        <w:rPr>
          <w:i/>
          <w:color w:val="983620" w:themeColor="accent2"/>
          <w:sz w:val="22"/>
          <w:szCs w:val="22"/>
          <w:lang w:val="en-GB"/>
        </w:rPr>
      </w:pPr>
    </w:p>
    <w:p w14:paraId="62750397" w14:textId="4819D5C4" w:rsidR="00EE745F" w:rsidRDefault="006A4D4E" w:rsidP="00BF5424">
      <w:pPr>
        <w:pStyle w:val="Heading3"/>
        <w:numPr>
          <w:ilvl w:val="1"/>
          <w:numId w:val="83"/>
        </w:numPr>
        <w:spacing w:before="200" w:line="264" w:lineRule="auto"/>
        <w:rPr>
          <w:b/>
          <w:sz w:val="28"/>
          <w:szCs w:val="28"/>
          <w:lang w:val="en-GB"/>
        </w:rPr>
      </w:pPr>
      <w:r w:rsidRPr="00DA607C">
        <w:rPr>
          <w:b/>
          <w:sz w:val="28"/>
          <w:szCs w:val="28"/>
          <w:lang w:val="en-GB"/>
        </w:rPr>
        <w:t xml:space="preserve"> </w:t>
      </w:r>
      <w:bookmarkStart w:id="126" w:name="_Toc423436314"/>
      <w:r w:rsidR="00EE745F" w:rsidRPr="00DA607C">
        <w:rPr>
          <w:b/>
          <w:sz w:val="28"/>
          <w:szCs w:val="28"/>
          <w:lang w:val="en-GB"/>
        </w:rPr>
        <w:t>Financial plan</w:t>
      </w:r>
      <w:bookmarkEnd w:id="117"/>
      <w:bookmarkEnd w:id="118"/>
      <w:bookmarkEnd w:id="126"/>
      <w:r w:rsidR="00EE745F" w:rsidRPr="00DA607C">
        <w:rPr>
          <w:b/>
          <w:sz w:val="28"/>
          <w:szCs w:val="28"/>
          <w:lang w:val="en-GB"/>
        </w:rPr>
        <w:t xml:space="preserve"> </w:t>
      </w:r>
      <w:bookmarkEnd w:id="125"/>
    </w:p>
    <w:p w14:paraId="63BC4084" w14:textId="1C656EFD" w:rsidR="000B466C" w:rsidRPr="006C4931" w:rsidRDefault="000B466C" w:rsidP="006C4931">
      <w:pPr>
        <w:jc w:val="both"/>
        <w:rPr>
          <w:sz w:val="22"/>
          <w:szCs w:val="22"/>
          <w:lang w:val="en-GB"/>
        </w:rPr>
      </w:pPr>
      <w:r w:rsidRPr="00EA2776">
        <w:rPr>
          <w:sz w:val="22"/>
          <w:szCs w:val="22"/>
          <w:lang w:val="en-GB"/>
        </w:rPr>
        <w:t>The Black Sea Basin ENI CBC programme</w:t>
      </w:r>
      <w:r w:rsidRPr="006C4931">
        <w:rPr>
          <w:sz w:val="22"/>
          <w:szCs w:val="22"/>
          <w:lang w:val="en-GB"/>
        </w:rPr>
        <w:t xml:space="preserve"> receives funding from </w:t>
      </w:r>
      <w:r w:rsidR="00FC734D" w:rsidRPr="006C4931">
        <w:rPr>
          <w:sz w:val="22"/>
          <w:szCs w:val="22"/>
          <w:lang w:val="en-GB"/>
        </w:rPr>
        <w:t>European Neighbourhood Instrument (</w:t>
      </w:r>
      <w:r w:rsidRPr="006C4931">
        <w:rPr>
          <w:sz w:val="22"/>
          <w:szCs w:val="22"/>
          <w:lang w:val="en-GB"/>
        </w:rPr>
        <w:t>ENI</w:t>
      </w:r>
      <w:r w:rsidR="00FC734D" w:rsidRPr="006C4931">
        <w:rPr>
          <w:sz w:val="22"/>
          <w:szCs w:val="22"/>
          <w:lang w:val="en-GB"/>
        </w:rPr>
        <w:t>)</w:t>
      </w:r>
      <w:r w:rsidRPr="006C4931">
        <w:rPr>
          <w:sz w:val="22"/>
          <w:szCs w:val="22"/>
          <w:lang w:val="en-GB"/>
        </w:rPr>
        <w:t xml:space="preserve"> as well as from </w:t>
      </w:r>
      <w:r w:rsidR="00FC734D" w:rsidRPr="006C4931">
        <w:rPr>
          <w:sz w:val="22"/>
          <w:szCs w:val="22"/>
          <w:lang w:val="en-GB"/>
        </w:rPr>
        <w:t>the European Regional Development Fund and the</w:t>
      </w:r>
      <w:r w:rsidRPr="006C4931">
        <w:rPr>
          <w:sz w:val="22"/>
          <w:szCs w:val="22"/>
          <w:lang w:val="en-GB"/>
        </w:rPr>
        <w:t xml:space="preserve"> Instrument for Pre-Accession</w:t>
      </w:r>
      <w:r w:rsidR="00FC734D" w:rsidRPr="006C4931">
        <w:rPr>
          <w:sz w:val="22"/>
          <w:szCs w:val="22"/>
          <w:lang w:val="en-GB"/>
        </w:rPr>
        <w:t xml:space="preserve"> (IPA)</w:t>
      </w:r>
      <w:r w:rsidR="00182962">
        <w:rPr>
          <w:rStyle w:val="FootnoteReference"/>
          <w:sz w:val="22"/>
          <w:szCs w:val="22"/>
        </w:rPr>
        <w:footnoteReference w:id="100"/>
      </w:r>
      <w:r w:rsidR="00FC734D" w:rsidRPr="006C4931">
        <w:rPr>
          <w:sz w:val="22"/>
          <w:szCs w:val="22"/>
          <w:lang w:val="en-GB"/>
        </w:rPr>
        <w:t>.</w:t>
      </w:r>
      <w:r w:rsidRPr="006C4931">
        <w:rPr>
          <w:sz w:val="22"/>
          <w:szCs w:val="22"/>
          <w:lang w:val="en-GB"/>
        </w:rPr>
        <w:t xml:space="preserve"> All sources of funding </w:t>
      </w:r>
      <w:r w:rsidR="00FC734D" w:rsidRPr="006C4931">
        <w:rPr>
          <w:sz w:val="22"/>
          <w:szCs w:val="22"/>
          <w:lang w:val="en-GB"/>
        </w:rPr>
        <w:t xml:space="preserve">are pooled together and </w:t>
      </w:r>
      <w:r w:rsidR="00A6010A" w:rsidRPr="006C4931">
        <w:rPr>
          <w:sz w:val="22"/>
          <w:szCs w:val="22"/>
          <w:lang w:val="en-GB"/>
        </w:rPr>
        <w:t>managed as ENI funds</w:t>
      </w:r>
      <w:r w:rsidR="00FC734D" w:rsidRPr="006C4931">
        <w:rPr>
          <w:sz w:val="22"/>
          <w:szCs w:val="22"/>
          <w:lang w:val="en-GB"/>
        </w:rPr>
        <w:t>.</w:t>
      </w:r>
    </w:p>
    <w:p w14:paraId="2D8A19CE" w14:textId="77777777" w:rsidR="00361EB2" w:rsidRPr="006A18F1" w:rsidRDefault="00B63CB7" w:rsidP="006A18F1">
      <w:pPr>
        <w:spacing w:after="60" w:line="264" w:lineRule="auto"/>
        <w:jc w:val="both"/>
        <w:rPr>
          <w:sz w:val="22"/>
          <w:szCs w:val="22"/>
          <w:lang w:val="en-GB"/>
        </w:rPr>
      </w:pPr>
      <w:r w:rsidRPr="006A18F1">
        <w:rPr>
          <w:sz w:val="22"/>
          <w:szCs w:val="22"/>
          <w:lang w:val="en-GB"/>
        </w:rPr>
        <w:t>T</w:t>
      </w:r>
      <w:r w:rsidR="009D4A0C" w:rsidRPr="006A18F1">
        <w:rPr>
          <w:sz w:val="22"/>
          <w:szCs w:val="22"/>
          <w:lang w:val="en-GB"/>
        </w:rPr>
        <w:t>he t</w:t>
      </w:r>
      <w:r w:rsidR="00EE745F" w:rsidRPr="006A18F1">
        <w:rPr>
          <w:sz w:val="22"/>
          <w:szCs w:val="22"/>
          <w:lang w:val="en-GB"/>
        </w:rPr>
        <w:t xml:space="preserve">able specifying the provisional amounts of the financial appropriations of the support from the </w:t>
      </w:r>
      <w:r w:rsidR="000935DB">
        <w:rPr>
          <w:sz w:val="22"/>
          <w:szCs w:val="22"/>
          <w:lang w:val="en-GB"/>
        </w:rPr>
        <w:t xml:space="preserve">European </w:t>
      </w:r>
      <w:r w:rsidR="00EE745F" w:rsidRPr="006A18F1">
        <w:rPr>
          <w:sz w:val="22"/>
          <w:szCs w:val="22"/>
          <w:lang w:val="en-GB"/>
        </w:rPr>
        <w:t>Union and co-financing for the whole programming period for each thematic objective and technical assistance</w:t>
      </w:r>
      <w:r w:rsidR="007F4E20" w:rsidRPr="006A18F1">
        <w:rPr>
          <w:sz w:val="22"/>
          <w:szCs w:val="22"/>
          <w:lang w:val="en-GB"/>
        </w:rPr>
        <w:t xml:space="preserve"> </w:t>
      </w:r>
      <w:r w:rsidR="009D4A0C" w:rsidRPr="006A18F1">
        <w:rPr>
          <w:sz w:val="22"/>
          <w:szCs w:val="22"/>
          <w:lang w:val="en-GB"/>
        </w:rPr>
        <w:t xml:space="preserve">is </w:t>
      </w:r>
      <w:r w:rsidR="007F4E20" w:rsidRPr="006A18F1">
        <w:rPr>
          <w:sz w:val="22"/>
          <w:szCs w:val="22"/>
          <w:lang w:val="en-GB"/>
        </w:rPr>
        <w:t>inserted below</w:t>
      </w:r>
      <w:r w:rsidR="006A18F1">
        <w:rPr>
          <w:sz w:val="22"/>
          <w:szCs w:val="22"/>
          <w:lang w:val="en-GB"/>
        </w:rPr>
        <w:t>.</w:t>
      </w:r>
    </w:p>
    <w:tbl>
      <w:tblPr>
        <w:tblW w:w="10582" w:type="dxa"/>
        <w:tblInd w:w="93" w:type="dxa"/>
        <w:tblLook w:val="04A0" w:firstRow="1" w:lastRow="0" w:firstColumn="1" w:lastColumn="0" w:noHBand="0" w:noVBand="1"/>
      </w:tblPr>
      <w:tblGrid>
        <w:gridCol w:w="10582"/>
      </w:tblGrid>
      <w:tr w:rsidR="009530FB" w:rsidRPr="009530FB" w14:paraId="18A3A786" w14:textId="77777777" w:rsidTr="00973A1C">
        <w:trPr>
          <w:trHeight w:val="2160"/>
        </w:trPr>
        <w:tc>
          <w:tcPr>
            <w:tcW w:w="10582" w:type="dxa"/>
            <w:tcBorders>
              <w:top w:val="nil"/>
              <w:left w:val="nil"/>
              <w:bottom w:val="nil"/>
              <w:right w:val="nil"/>
            </w:tcBorders>
            <w:shd w:val="clear" w:color="auto" w:fill="auto"/>
            <w:vAlign w:val="center"/>
            <w:hideMark/>
          </w:tcPr>
          <w:p w14:paraId="4DBAC0D2" w14:textId="3EE3326A" w:rsidR="009530FB" w:rsidRDefault="009530FB" w:rsidP="00973A1C">
            <w:pPr>
              <w:spacing w:after="60" w:line="264" w:lineRule="auto"/>
              <w:jc w:val="both"/>
              <w:rPr>
                <w:sz w:val="22"/>
                <w:szCs w:val="22"/>
                <w:lang w:val="en-GB"/>
              </w:rPr>
            </w:pPr>
          </w:p>
          <w:tbl>
            <w:tblPr>
              <w:tblW w:w="10206" w:type="dxa"/>
              <w:tblCellMar>
                <w:left w:w="70" w:type="dxa"/>
                <w:right w:w="70" w:type="dxa"/>
              </w:tblCellMar>
              <w:tblLook w:val="04A0" w:firstRow="1" w:lastRow="0" w:firstColumn="1" w:lastColumn="0" w:noHBand="0" w:noVBand="1"/>
            </w:tblPr>
            <w:tblGrid>
              <w:gridCol w:w="3273"/>
              <w:gridCol w:w="1860"/>
              <w:gridCol w:w="1440"/>
              <w:gridCol w:w="1520"/>
              <w:gridCol w:w="2113"/>
            </w:tblGrid>
            <w:tr w:rsidR="00B74EF5" w:rsidRPr="00B74EF5" w14:paraId="0322222A" w14:textId="77777777" w:rsidTr="00022F48">
              <w:trPr>
                <w:trHeight w:val="260"/>
              </w:trPr>
              <w:tc>
                <w:tcPr>
                  <w:tcW w:w="3273" w:type="dxa"/>
                  <w:tcBorders>
                    <w:top w:val="nil"/>
                    <w:left w:val="nil"/>
                    <w:bottom w:val="nil"/>
                    <w:right w:val="nil"/>
                  </w:tcBorders>
                  <w:shd w:val="clear" w:color="auto" w:fill="auto"/>
                  <w:noWrap/>
                  <w:vAlign w:val="bottom"/>
                  <w:hideMark/>
                </w:tcPr>
                <w:p w14:paraId="36A91564" w14:textId="2D11E11A" w:rsidR="00B74EF5" w:rsidRPr="00B74EF5" w:rsidRDefault="00B74EF5" w:rsidP="00B74EF5">
                  <w:pPr>
                    <w:spacing w:after="0" w:line="240" w:lineRule="auto"/>
                    <w:rPr>
                      <w:rFonts w:ascii="Trebuchet MS" w:eastAsia="Times New Roman" w:hAnsi="Trebuchet MS" w:cs="Times New Roman"/>
                      <w:b/>
                      <w:bCs/>
                      <w:i/>
                      <w:iCs/>
                      <w:sz w:val="18"/>
                      <w:szCs w:val="18"/>
                    </w:rPr>
                  </w:pPr>
                  <w:r w:rsidRPr="00B74EF5">
                    <w:rPr>
                      <w:rFonts w:ascii="Trebuchet MS" w:eastAsia="Times New Roman" w:hAnsi="Trebuchet MS" w:cs="Times New Roman"/>
                      <w:b/>
                      <w:bCs/>
                      <w:i/>
                      <w:iCs/>
                      <w:sz w:val="18"/>
                      <w:szCs w:val="18"/>
                    </w:rPr>
                    <w:t>INDICATIVE FINANCING PLAN</w:t>
                  </w:r>
                </w:p>
              </w:tc>
              <w:tc>
                <w:tcPr>
                  <w:tcW w:w="1860" w:type="dxa"/>
                  <w:tcBorders>
                    <w:top w:val="nil"/>
                    <w:left w:val="nil"/>
                    <w:bottom w:val="nil"/>
                    <w:right w:val="nil"/>
                  </w:tcBorders>
                  <w:shd w:val="clear" w:color="auto" w:fill="auto"/>
                  <w:noWrap/>
                  <w:vAlign w:val="bottom"/>
                  <w:hideMark/>
                </w:tcPr>
                <w:p w14:paraId="0FA678F8" w14:textId="77777777" w:rsidR="00B74EF5" w:rsidRPr="00B74EF5" w:rsidRDefault="00B74EF5" w:rsidP="00B74EF5">
                  <w:pPr>
                    <w:spacing w:after="0" w:line="240" w:lineRule="auto"/>
                    <w:rPr>
                      <w:rFonts w:ascii="Trebuchet MS" w:eastAsia="Times New Roman" w:hAnsi="Trebuchet MS" w:cs="Times New Roman"/>
                      <w:b/>
                      <w:bCs/>
                      <w:i/>
                      <w:iCs/>
                      <w:sz w:val="18"/>
                      <w:szCs w:val="18"/>
                    </w:rPr>
                  </w:pPr>
                </w:p>
              </w:tc>
              <w:tc>
                <w:tcPr>
                  <w:tcW w:w="1440" w:type="dxa"/>
                  <w:tcBorders>
                    <w:top w:val="nil"/>
                    <w:left w:val="nil"/>
                    <w:bottom w:val="nil"/>
                    <w:right w:val="nil"/>
                  </w:tcBorders>
                  <w:shd w:val="clear" w:color="auto" w:fill="auto"/>
                  <w:noWrap/>
                  <w:vAlign w:val="bottom"/>
                  <w:hideMark/>
                </w:tcPr>
                <w:p w14:paraId="007B7B31" w14:textId="77777777" w:rsidR="00B74EF5" w:rsidRPr="00B74EF5" w:rsidRDefault="00B74EF5" w:rsidP="00B74EF5">
                  <w:pPr>
                    <w:spacing w:after="0" w:line="240" w:lineRule="auto"/>
                    <w:rPr>
                      <w:rFonts w:ascii="Trebuchet MS" w:eastAsia="Times New Roman" w:hAnsi="Trebuchet MS" w:cs="Times New Roman"/>
                      <w:b/>
                      <w:bCs/>
                      <w:i/>
                      <w:iCs/>
                      <w:sz w:val="18"/>
                      <w:szCs w:val="18"/>
                    </w:rPr>
                  </w:pPr>
                </w:p>
              </w:tc>
              <w:tc>
                <w:tcPr>
                  <w:tcW w:w="1520" w:type="dxa"/>
                  <w:tcBorders>
                    <w:top w:val="nil"/>
                    <w:left w:val="nil"/>
                    <w:bottom w:val="nil"/>
                    <w:right w:val="nil"/>
                  </w:tcBorders>
                  <w:shd w:val="clear" w:color="auto" w:fill="auto"/>
                  <w:noWrap/>
                  <w:vAlign w:val="bottom"/>
                  <w:hideMark/>
                </w:tcPr>
                <w:p w14:paraId="1C31CA04" w14:textId="77777777" w:rsidR="00B74EF5" w:rsidRPr="00B74EF5" w:rsidRDefault="00B74EF5" w:rsidP="00B74EF5">
                  <w:pPr>
                    <w:spacing w:after="0" w:line="240" w:lineRule="auto"/>
                    <w:rPr>
                      <w:rFonts w:ascii="Trebuchet MS" w:eastAsia="Times New Roman" w:hAnsi="Trebuchet MS" w:cs="Times New Roman"/>
                      <w:sz w:val="18"/>
                      <w:szCs w:val="18"/>
                    </w:rPr>
                  </w:pPr>
                </w:p>
              </w:tc>
              <w:tc>
                <w:tcPr>
                  <w:tcW w:w="2113" w:type="dxa"/>
                  <w:tcBorders>
                    <w:top w:val="nil"/>
                    <w:left w:val="nil"/>
                    <w:bottom w:val="nil"/>
                    <w:right w:val="nil"/>
                  </w:tcBorders>
                  <w:shd w:val="clear" w:color="auto" w:fill="auto"/>
                  <w:noWrap/>
                  <w:vAlign w:val="bottom"/>
                  <w:hideMark/>
                </w:tcPr>
                <w:p w14:paraId="3D1FAC4F" w14:textId="77777777" w:rsidR="00B74EF5" w:rsidRPr="00B74EF5" w:rsidRDefault="00B74EF5" w:rsidP="00B74EF5">
                  <w:pPr>
                    <w:spacing w:after="0" w:line="240" w:lineRule="auto"/>
                    <w:rPr>
                      <w:rFonts w:ascii="Trebuchet MS" w:eastAsia="Times New Roman" w:hAnsi="Trebuchet MS" w:cs="Times New Roman"/>
                      <w:sz w:val="18"/>
                      <w:szCs w:val="18"/>
                    </w:rPr>
                  </w:pPr>
                </w:p>
              </w:tc>
            </w:tr>
            <w:tr w:rsidR="00B74EF5" w:rsidRPr="00BF52E5" w14:paraId="4A6A8D4E" w14:textId="77777777" w:rsidTr="00022F48">
              <w:trPr>
                <w:trHeight w:val="1290"/>
              </w:trPr>
              <w:tc>
                <w:tcPr>
                  <w:tcW w:w="10206" w:type="dxa"/>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14:paraId="4F855DC1" w14:textId="77777777" w:rsidR="00B74EF5" w:rsidRPr="006C4931" w:rsidRDefault="00B74EF5" w:rsidP="00B74EF5">
                  <w:pPr>
                    <w:spacing w:after="0" w:line="240" w:lineRule="auto"/>
                    <w:jc w:val="center"/>
                    <w:rPr>
                      <w:rFonts w:ascii="Trebuchet MS" w:eastAsia="Times New Roman" w:hAnsi="Trebuchet MS" w:cs="Times New Roman"/>
                      <w:b/>
                      <w:bCs/>
                      <w:i/>
                      <w:iCs/>
                      <w:sz w:val="18"/>
                      <w:szCs w:val="18"/>
                      <w:lang w:val="en-GB"/>
                    </w:rPr>
                  </w:pPr>
                  <w:r w:rsidRPr="006C4931">
                    <w:rPr>
                      <w:rFonts w:ascii="Trebuchet MS" w:eastAsia="Times New Roman" w:hAnsi="Trebuchet MS" w:cs="Times New Roman"/>
                      <w:b/>
                      <w:bCs/>
                      <w:i/>
                      <w:iCs/>
                      <w:sz w:val="18"/>
                      <w:szCs w:val="18"/>
                      <w:lang w:val="en-GB"/>
                    </w:rPr>
                    <w:t xml:space="preserve">Indicative financing plan of the ENI CBC Black Sea Basin Programme, </w:t>
                  </w:r>
                  <w:r w:rsidRPr="006C4931">
                    <w:rPr>
                      <w:rFonts w:ascii="Trebuchet MS" w:eastAsia="Times New Roman" w:hAnsi="Trebuchet MS" w:cs="Times New Roman"/>
                      <w:b/>
                      <w:bCs/>
                      <w:i/>
                      <w:iCs/>
                      <w:sz w:val="18"/>
                      <w:szCs w:val="18"/>
                      <w:lang w:val="en-GB"/>
                    </w:rPr>
                    <w:br/>
                    <w:t>Providing the EU Contribution and the co-financing if known for the whole programming period for each thematic objective and for Technical Assistance</w:t>
                  </w:r>
                  <w:r w:rsidRPr="006C4931">
                    <w:rPr>
                      <w:rFonts w:ascii="Trebuchet MS" w:eastAsia="Times New Roman" w:hAnsi="Trebuchet MS" w:cs="Times New Roman"/>
                      <w:b/>
                      <w:bCs/>
                      <w:i/>
                      <w:iCs/>
                      <w:sz w:val="18"/>
                      <w:szCs w:val="18"/>
                      <w:lang w:val="en-GB"/>
                    </w:rPr>
                    <w:br/>
                    <w:t>Thematic objectives by source of funding (in euros):</w:t>
                  </w:r>
                </w:p>
              </w:tc>
            </w:tr>
            <w:tr w:rsidR="00B74EF5" w:rsidRPr="00BF52E5" w14:paraId="7E97975B" w14:textId="77777777" w:rsidTr="00022F48">
              <w:trPr>
                <w:trHeight w:val="460"/>
              </w:trPr>
              <w:tc>
                <w:tcPr>
                  <w:tcW w:w="3273" w:type="dxa"/>
                  <w:tcBorders>
                    <w:top w:val="nil"/>
                    <w:left w:val="single" w:sz="8" w:space="0" w:color="auto"/>
                    <w:bottom w:val="nil"/>
                    <w:right w:val="single" w:sz="8" w:space="0" w:color="auto"/>
                  </w:tcBorders>
                  <w:shd w:val="clear" w:color="000000" w:fill="99CCFF"/>
                  <w:vAlign w:val="center"/>
                  <w:hideMark/>
                </w:tcPr>
                <w:p w14:paraId="74BBD228" w14:textId="77777777" w:rsidR="00B74EF5" w:rsidRPr="006C4931" w:rsidRDefault="00B74EF5" w:rsidP="00B74EF5">
                  <w:pPr>
                    <w:spacing w:after="0" w:line="240" w:lineRule="auto"/>
                    <w:jc w:val="center"/>
                    <w:rPr>
                      <w:rFonts w:ascii="Trebuchet MS" w:eastAsia="Times New Roman" w:hAnsi="Trebuchet MS" w:cs="Times New Roman"/>
                      <w:sz w:val="18"/>
                      <w:szCs w:val="18"/>
                      <w:lang w:val="en-GB"/>
                    </w:rPr>
                  </w:pPr>
                  <w:r w:rsidRPr="006C4931">
                    <w:rPr>
                      <w:rFonts w:ascii="Trebuchet MS" w:eastAsia="Times New Roman" w:hAnsi="Trebuchet MS" w:cs="Times New Roman"/>
                      <w:sz w:val="18"/>
                      <w:szCs w:val="18"/>
                      <w:lang w:val="en-GB"/>
                    </w:rPr>
                    <w:t> </w:t>
                  </w:r>
                </w:p>
              </w:tc>
              <w:tc>
                <w:tcPr>
                  <w:tcW w:w="1860" w:type="dxa"/>
                  <w:tcBorders>
                    <w:top w:val="nil"/>
                    <w:left w:val="nil"/>
                    <w:bottom w:val="nil"/>
                    <w:right w:val="single" w:sz="8" w:space="0" w:color="auto"/>
                  </w:tcBorders>
                  <w:shd w:val="clear" w:color="000000" w:fill="99CCFF"/>
                  <w:vAlign w:val="center"/>
                  <w:hideMark/>
                </w:tcPr>
                <w:p w14:paraId="647A4D27" w14:textId="77777777" w:rsidR="00B74EF5" w:rsidRPr="00B74EF5" w:rsidRDefault="00B74EF5" w:rsidP="00B74EF5">
                  <w:pPr>
                    <w:spacing w:after="0" w:line="240" w:lineRule="auto"/>
                    <w:jc w:val="center"/>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 xml:space="preserve">EC </w:t>
                  </w:r>
                  <w:proofErr w:type="spellStart"/>
                  <w:r w:rsidRPr="00B74EF5">
                    <w:rPr>
                      <w:rFonts w:ascii="Trebuchet MS" w:eastAsia="Times New Roman" w:hAnsi="Trebuchet MS" w:cs="Times New Roman"/>
                      <w:b/>
                      <w:bCs/>
                      <w:sz w:val="18"/>
                      <w:szCs w:val="18"/>
                    </w:rPr>
                    <w:t>Funding</w:t>
                  </w:r>
                  <w:proofErr w:type="spellEnd"/>
                  <w:r w:rsidRPr="00B74EF5">
                    <w:rPr>
                      <w:rFonts w:ascii="Trebuchet MS" w:eastAsia="Times New Roman" w:hAnsi="Trebuchet MS" w:cs="Times New Roman"/>
                      <w:b/>
                      <w:bCs/>
                      <w:sz w:val="18"/>
                      <w:szCs w:val="18"/>
                    </w:rPr>
                    <w:t xml:space="preserve">  (a) </w:t>
                  </w:r>
                </w:p>
              </w:tc>
              <w:tc>
                <w:tcPr>
                  <w:tcW w:w="1440" w:type="dxa"/>
                  <w:tcBorders>
                    <w:top w:val="nil"/>
                    <w:left w:val="nil"/>
                    <w:bottom w:val="nil"/>
                    <w:right w:val="single" w:sz="8" w:space="0" w:color="auto"/>
                  </w:tcBorders>
                  <w:shd w:val="clear" w:color="000000" w:fill="99CCFF"/>
                  <w:vAlign w:val="center"/>
                  <w:hideMark/>
                </w:tcPr>
                <w:p w14:paraId="42EEBE7D" w14:textId="77777777" w:rsidR="00B74EF5" w:rsidRPr="00B74EF5" w:rsidRDefault="00B74EF5" w:rsidP="00B74EF5">
                  <w:pPr>
                    <w:spacing w:after="0" w:line="240" w:lineRule="auto"/>
                    <w:jc w:val="center"/>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Co-</w:t>
                  </w:r>
                  <w:proofErr w:type="spellStart"/>
                  <w:r w:rsidRPr="00B74EF5">
                    <w:rPr>
                      <w:rFonts w:ascii="Trebuchet MS" w:eastAsia="Times New Roman" w:hAnsi="Trebuchet MS" w:cs="Times New Roman"/>
                      <w:b/>
                      <w:bCs/>
                      <w:sz w:val="18"/>
                      <w:szCs w:val="18"/>
                    </w:rPr>
                    <w:t>financing</w:t>
                  </w:r>
                  <w:proofErr w:type="spellEnd"/>
                  <w:r w:rsidRPr="00B74EF5">
                    <w:rPr>
                      <w:rFonts w:ascii="Trebuchet MS" w:eastAsia="Times New Roman" w:hAnsi="Trebuchet MS" w:cs="Times New Roman"/>
                      <w:b/>
                      <w:bCs/>
                      <w:sz w:val="18"/>
                      <w:szCs w:val="18"/>
                    </w:rPr>
                    <w:t xml:space="preserve"> (b)</w:t>
                  </w:r>
                </w:p>
              </w:tc>
              <w:tc>
                <w:tcPr>
                  <w:tcW w:w="1520" w:type="dxa"/>
                  <w:tcBorders>
                    <w:top w:val="nil"/>
                    <w:left w:val="nil"/>
                    <w:bottom w:val="nil"/>
                    <w:right w:val="nil"/>
                  </w:tcBorders>
                  <w:shd w:val="clear" w:color="000000" w:fill="99CCFF"/>
                  <w:vAlign w:val="center"/>
                  <w:hideMark/>
                </w:tcPr>
                <w:p w14:paraId="5C0E9BC6" w14:textId="77777777" w:rsidR="00B74EF5" w:rsidRPr="006C4931" w:rsidRDefault="00B74EF5" w:rsidP="00B74EF5">
                  <w:pPr>
                    <w:spacing w:after="0" w:line="240" w:lineRule="auto"/>
                    <w:jc w:val="center"/>
                    <w:rPr>
                      <w:rFonts w:ascii="Trebuchet MS" w:eastAsia="Times New Roman" w:hAnsi="Trebuchet MS" w:cs="Times New Roman"/>
                      <w:b/>
                      <w:bCs/>
                      <w:sz w:val="18"/>
                      <w:szCs w:val="18"/>
                      <w:lang w:val="en-GB"/>
                    </w:rPr>
                  </w:pPr>
                  <w:r w:rsidRPr="006C4931">
                    <w:rPr>
                      <w:rFonts w:ascii="Trebuchet MS" w:eastAsia="Times New Roman" w:hAnsi="Trebuchet MS" w:cs="Times New Roman"/>
                      <w:b/>
                      <w:bCs/>
                      <w:sz w:val="18"/>
                      <w:szCs w:val="18"/>
                      <w:lang w:val="en-GB"/>
                    </w:rPr>
                    <w:t>Co-financing rate (in %) (c) *</w:t>
                  </w:r>
                </w:p>
              </w:tc>
              <w:tc>
                <w:tcPr>
                  <w:tcW w:w="2113" w:type="dxa"/>
                  <w:tcBorders>
                    <w:top w:val="nil"/>
                    <w:left w:val="single" w:sz="8" w:space="0" w:color="auto"/>
                    <w:bottom w:val="nil"/>
                    <w:right w:val="single" w:sz="8" w:space="0" w:color="auto"/>
                  </w:tcBorders>
                  <w:shd w:val="clear" w:color="000000" w:fill="99CCFF"/>
                  <w:vAlign w:val="center"/>
                  <w:hideMark/>
                </w:tcPr>
                <w:p w14:paraId="377AD704" w14:textId="77777777" w:rsidR="00B74EF5" w:rsidRPr="006C4931" w:rsidRDefault="00B74EF5" w:rsidP="00B74EF5">
                  <w:pPr>
                    <w:spacing w:after="0" w:line="240" w:lineRule="auto"/>
                    <w:jc w:val="center"/>
                    <w:rPr>
                      <w:rFonts w:ascii="Trebuchet MS" w:eastAsia="Times New Roman" w:hAnsi="Trebuchet MS" w:cs="Times New Roman"/>
                      <w:b/>
                      <w:bCs/>
                      <w:sz w:val="18"/>
                      <w:szCs w:val="18"/>
                      <w:lang w:val="en-GB"/>
                    </w:rPr>
                  </w:pPr>
                  <w:r w:rsidRPr="006C4931">
                    <w:rPr>
                      <w:rFonts w:ascii="Trebuchet MS" w:eastAsia="Times New Roman" w:hAnsi="Trebuchet MS" w:cs="Times New Roman"/>
                      <w:b/>
                      <w:bCs/>
                      <w:sz w:val="18"/>
                      <w:szCs w:val="18"/>
                      <w:lang w:val="en-GB"/>
                    </w:rPr>
                    <w:t>Total funding</w:t>
                  </w:r>
                  <w:r w:rsidRPr="006C4931">
                    <w:rPr>
                      <w:rFonts w:ascii="Trebuchet MS" w:eastAsia="Times New Roman" w:hAnsi="Trebuchet MS" w:cs="Times New Roman"/>
                      <w:b/>
                      <w:bCs/>
                      <w:sz w:val="18"/>
                      <w:szCs w:val="18"/>
                      <w:lang w:val="en-GB"/>
                    </w:rPr>
                    <w:br/>
                    <w:t>(d) = (a) + (b)</w:t>
                  </w:r>
                </w:p>
              </w:tc>
            </w:tr>
            <w:tr w:rsidR="00B74EF5" w:rsidRPr="00B74EF5" w14:paraId="10A387A2" w14:textId="77777777" w:rsidTr="00022F48">
              <w:trPr>
                <w:trHeight w:val="465"/>
              </w:trPr>
              <w:tc>
                <w:tcPr>
                  <w:tcW w:w="3273" w:type="dxa"/>
                  <w:tcBorders>
                    <w:top w:val="single" w:sz="8" w:space="0" w:color="auto"/>
                    <w:left w:val="single" w:sz="8" w:space="0" w:color="auto"/>
                    <w:bottom w:val="nil"/>
                    <w:right w:val="single" w:sz="8" w:space="0" w:color="auto"/>
                  </w:tcBorders>
                  <w:shd w:val="clear" w:color="000000" w:fill="4EE257"/>
                  <w:vAlign w:val="center"/>
                  <w:hideMark/>
                </w:tcPr>
                <w:p w14:paraId="18967546" w14:textId="77777777" w:rsidR="00B74EF5" w:rsidRPr="00B74EF5" w:rsidRDefault="00B74EF5" w:rsidP="00B74EF5">
                  <w:pPr>
                    <w:spacing w:after="0" w:line="240" w:lineRule="auto"/>
                    <w:rPr>
                      <w:rFonts w:ascii="Trebuchet MS" w:eastAsia="Times New Roman" w:hAnsi="Trebuchet MS" w:cs="Times New Roman"/>
                      <w:b/>
                      <w:bCs/>
                      <w:sz w:val="18"/>
                      <w:szCs w:val="18"/>
                    </w:rPr>
                  </w:pPr>
                  <w:proofErr w:type="spellStart"/>
                  <w:r w:rsidRPr="00B74EF5">
                    <w:rPr>
                      <w:rFonts w:ascii="Trebuchet MS" w:eastAsia="Times New Roman" w:hAnsi="Trebuchet MS" w:cs="Times New Roman"/>
                      <w:b/>
                      <w:bCs/>
                      <w:sz w:val="18"/>
                      <w:szCs w:val="18"/>
                    </w:rPr>
                    <w:t>Thematic</w:t>
                  </w:r>
                  <w:proofErr w:type="spellEnd"/>
                  <w:r w:rsidRPr="00B74EF5">
                    <w:rPr>
                      <w:rFonts w:ascii="Trebuchet MS" w:eastAsia="Times New Roman" w:hAnsi="Trebuchet MS" w:cs="Times New Roman"/>
                      <w:b/>
                      <w:bCs/>
                      <w:sz w:val="18"/>
                      <w:szCs w:val="18"/>
                    </w:rPr>
                    <w:t xml:space="preserve"> Objective 1</w:t>
                  </w:r>
                </w:p>
              </w:tc>
              <w:tc>
                <w:tcPr>
                  <w:tcW w:w="1860" w:type="dxa"/>
                  <w:tcBorders>
                    <w:top w:val="single" w:sz="8" w:space="0" w:color="auto"/>
                    <w:left w:val="nil"/>
                    <w:bottom w:val="nil"/>
                    <w:right w:val="single" w:sz="8" w:space="0" w:color="auto"/>
                  </w:tcBorders>
                  <w:shd w:val="clear" w:color="auto" w:fill="auto"/>
                  <w:vAlign w:val="center"/>
                  <w:hideMark/>
                </w:tcPr>
                <w:p w14:paraId="5F1DB19B"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25 337 752,68</w:t>
                  </w:r>
                </w:p>
              </w:tc>
              <w:tc>
                <w:tcPr>
                  <w:tcW w:w="1440" w:type="dxa"/>
                  <w:tcBorders>
                    <w:top w:val="single" w:sz="8" w:space="0" w:color="000000"/>
                    <w:left w:val="nil"/>
                    <w:bottom w:val="nil"/>
                    <w:right w:val="single" w:sz="8" w:space="0" w:color="auto"/>
                  </w:tcBorders>
                  <w:shd w:val="clear" w:color="auto" w:fill="auto"/>
                  <w:vAlign w:val="center"/>
                  <w:hideMark/>
                </w:tcPr>
                <w:p w14:paraId="11336379"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2 027 020,21</w:t>
                  </w:r>
                </w:p>
              </w:tc>
              <w:tc>
                <w:tcPr>
                  <w:tcW w:w="1520" w:type="dxa"/>
                  <w:tcBorders>
                    <w:top w:val="single" w:sz="8" w:space="0" w:color="auto"/>
                    <w:left w:val="nil"/>
                    <w:bottom w:val="single" w:sz="8" w:space="0" w:color="auto"/>
                    <w:right w:val="single" w:sz="8" w:space="0" w:color="auto"/>
                  </w:tcBorders>
                  <w:shd w:val="clear" w:color="auto" w:fill="auto"/>
                  <w:vAlign w:val="center"/>
                  <w:hideMark/>
                </w:tcPr>
                <w:p w14:paraId="7B7BDC77"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8,00%</w:t>
                  </w:r>
                </w:p>
              </w:tc>
              <w:tc>
                <w:tcPr>
                  <w:tcW w:w="2113" w:type="dxa"/>
                  <w:tcBorders>
                    <w:top w:val="single" w:sz="8" w:space="0" w:color="auto"/>
                    <w:left w:val="nil"/>
                    <w:bottom w:val="nil"/>
                    <w:right w:val="single" w:sz="8" w:space="0" w:color="auto"/>
                  </w:tcBorders>
                  <w:shd w:val="clear" w:color="auto" w:fill="auto"/>
                  <w:vAlign w:val="center"/>
                  <w:hideMark/>
                </w:tcPr>
                <w:p w14:paraId="59C5B452"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27 364 772,89</w:t>
                  </w:r>
                </w:p>
              </w:tc>
            </w:tr>
            <w:tr w:rsidR="00B74EF5" w:rsidRPr="00B74EF5" w14:paraId="5E35D10F" w14:textId="77777777" w:rsidTr="00022F48">
              <w:trPr>
                <w:trHeight w:val="465"/>
              </w:trPr>
              <w:tc>
                <w:tcPr>
                  <w:tcW w:w="3273" w:type="dxa"/>
                  <w:tcBorders>
                    <w:top w:val="single" w:sz="8" w:space="0" w:color="000000"/>
                    <w:left w:val="single" w:sz="8" w:space="0" w:color="auto"/>
                    <w:bottom w:val="nil"/>
                    <w:right w:val="single" w:sz="8" w:space="0" w:color="auto"/>
                  </w:tcBorders>
                  <w:shd w:val="clear" w:color="000000" w:fill="4EE257"/>
                  <w:vAlign w:val="center"/>
                  <w:hideMark/>
                </w:tcPr>
                <w:p w14:paraId="6C96FD28" w14:textId="77777777" w:rsidR="00B74EF5" w:rsidRPr="00B74EF5" w:rsidRDefault="00B74EF5" w:rsidP="00B74EF5">
                  <w:pPr>
                    <w:spacing w:after="0" w:line="240" w:lineRule="auto"/>
                    <w:rPr>
                      <w:rFonts w:ascii="Trebuchet MS" w:eastAsia="Times New Roman" w:hAnsi="Trebuchet MS" w:cs="Times New Roman"/>
                      <w:b/>
                      <w:bCs/>
                      <w:sz w:val="18"/>
                      <w:szCs w:val="18"/>
                    </w:rPr>
                  </w:pPr>
                  <w:proofErr w:type="spellStart"/>
                  <w:r w:rsidRPr="00B74EF5">
                    <w:rPr>
                      <w:rFonts w:ascii="Trebuchet MS" w:eastAsia="Times New Roman" w:hAnsi="Trebuchet MS" w:cs="Times New Roman"/>
                      <w:b/>
                      <w:bCs/>
                      <w:sz w:val="18"/>
                      <w:szCs w:val="18"/>
                    </w:rPr>
                    <w:t>Thematic</w:t>
                  </w:r>
                  <w:proofErr w:type="spellEnd"/>
                  <w:r w:rsidRPr="00B74EF5">
                    <w:rPr>
                      <w:rFonts w:ascii="Trebuchet MS" w:eastAsia="Times New Roman" w:hAnsi="Trebuchet MS" w:cs="Times New Roman"/>
                      <w:b/>
                      <w:bCs/>
                      <w:sz w:val="18"/>
                      <w:szCs w:val="18"/>
                    </w:rPr>
                    <w:t xml:space="preserve"> Objective 2</w:t>
                  </w:r>
                </w:p>
              </w:tc>
              <w:tc>
                <w:tcPr>
                  <w:tcW w:w="1860" w:type="dxa"/>
                  <w:tcBorders>
                    <w:top w:val="single" w:sz="8" w:space="0" w:color="000000"/>
                    <w:left w:val="nil"/>
                    <w:bottom w:val="nil"/>
                    <w:right w:val="single" w:sz="8" w:space="0" w:color="auto"/>
                  </w:tcBorders>
                  <w:shd w:val="clear" w:color="auto" w:fill="auto"/>
                  <w:vAlign w:val="center"/>
                  <w:hideMark/>
                </w:tcPr>
                <w:p w14:paraId="777AE748"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18 796 984,62</w:t>
                  </w:r>
                </w:p>
              </w:tc>
              <w:tc>
                <w:tcPr>
                  <w:tcW w:w="1440" w:type="dxa"/>
                  <w:tcBorders>
                    <w:top w:val="single" w:sz="8" w:space="0" w:color="000000"/>
                    <w:left w:val="nil"/>
                    <w:bottom w:val="nil"/>
                    <w:right w:val="single" w:sz="8" w:space="0" w:color="auto"/>
                  </w:tcBorders>
                  <w:shd w:val="clear" w:color="auto" w:fill="auto"/>
                  <w:vAlign w:val="center"/>
                  <w:hideMark/>
                </w:tcPr>
                <w:p w14:paraId="4107A9D2"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1 503 758,77</w:t>
                  </w:r>
                </w:p>
              </w:tc>
              <w:tc>
                <w:tcPr>
                  <w:tcW w:w="1520" w:type="dxa"/>
                  <w:tcBorders>
                    <w:top w:val="nil"/>
                    <w:left w:val="nil"/>
                    <w:bottom w:val="single" w:sz="8" w:space="0" w:color="000000"/>
                    <w:right w:val="single" w:sz="8" w:space="0" w:color="auto"/>
                  </w:tcBorders>
                  <w:shd w:val="clear" w:color="auto" w:fill="auto"/>
                  <w:vAlign w:val="center"/>
                  <w:hideMark/>
                </w:tcPr>
                <w:p w14:paraId="5E0AB015"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8,00%</w:t>
                  </w:r>
                </w:p>
              </w:tc>
              <w:tc>
                <w:tcPr>
                  <w:tcW w:w="2113" w:type="dxa"/>
                  <w:tcBorders>
                    <w:top w:val="single" w:sz="8" w:space="0" w:color="auto"/>
                    <w:left w:val="nil"/>
                    <w:bottom w:val="nil"/>
                    <w:right w:val="single" w:sz="8" w:space="0" w:color="auto"/>
                  </w:tcBorders>
                  <w:shd w:val="clear" w:color="auto" w:fill="auto"/>
                  <w:vAlign w:val="center"/>
                  <w:hideMark/>
                </w:tcPr>
                <w:p w14:paraId="5B120AD1"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20 300 743,39</w:t>
                  </w:r>
                </w:p>
              </w:tc>
            </w:tr>
            <w:tr w:rsidR="00B74EF5" w:rsidRPr="00B74EF5" w14:paraId="54A8672E" w14:textId="77777777" w:rsidTr="00022F48">
              <w:trPr>
                <w:trHeight w:val="465"/>
              </w:trPr>
              <w:tc>
                <w:tcPr>
                  <w:tcW w:w="3273" w:type="dxa"/>
                  <w:tcBorders>
                    <w:top w:val="single" w:sz="8" w:space="0" w:color="000000"/>
                    <w:left w:val="single" w:sz="8" w:space="0" w:color="auto"/>
                    <w:bottom w:val="nil"/>
                    <w:right w:val="single" w:sz="8" w:space="0" w:color="auto"/>
                  </w:tcBorders>
                  <w:shd w:val="clear" w:color="000000" w:fill="4EE257"/>
                  <w:vAlign w:val="center"/>
                  <w:hideMark/>
                </w:tcPr>
                <w:p w14:paraId="51A2242F" w14:textId="77777777" w:rsidR="00B74EF5" w:rsidRPr="00B74EF5" w:rsidRDefault="00B74EF5" w:rsidP="00B74EF5">
                  <w:pPr>
                    <w:spacing w:after="0" w:line="240" w:lineRule="auto"/>
                    <w:rPr>
                      <w:rFonts w:ascii="Trebuchet MS" w:eastAsia="Times New Roman" w:hAnsi="Trebuchet MS" w:cs="Times New Roman"/>
                      <w:b/>
                      <w:bCs/>
                      <w:sz w:val="18"/>
                      <w:szCs w:val="18"/>
                    </w:rPr>
                  </w:pPr>
                  <w:proofErr w:type="spellStart"/>
                  <w:r w:rsidRPr="00B74EF5">
                    <w:rPr>
                      <w:rFonts w:ascii="Trebuchet MS" w:eastAsia="Times New Roman" w:hAnsi="Trebuchet MS" w:cs="Times New Roman"/>
                      <w:b/>
                      <w:bCs/>
                      <w:sz w:val="18"/>
                      <w:szCs w:val="18"/>
                    </w:rPr>
                    <w:t>Technical</w:t>
                  </w:r>
                  <w:proofErr w:type="spellEnd"/>
                  <w:r w:rsidRPr="00B74EF5">
                    <w:rPr>
                      <w:rFonts w:ascii="Trebuchet MS" w:eastAsia="Times New Roman" w:hAnsi="Trebuchet MS" w:cs="Times New Roman"/>
                      <w:b/>
                      <w:bCs/>
                      <w:sz w:val="18"/>
                      <w:szCs w:val="18"/>
                    </w:rPr>
                    <w:t xml:space="preserve"> Assistance</w:t>
                  </w:r>
                </w:p>
              </w:tc>
              <w:tc>
                <w:tcPr>
                  <w:tcW w:w="1860" w:type="dxa"/>
                  <w:tcBorders>
                    <w:top w:val="single" w:sz="8" w:space="0" w:color="000000"/>
                    <w:left w:val="nil"/>
                    <w:bottom w:val="nil"/>
                    <w:right w:val="single" w:sz="8" w:space="0" w:color="auto"/>
                  </w:tcBorders>
                  <w:shd w:val="clear" w:color="auto" w:fill="auto"/>
                  <w:vAlign w:val="center"/>
                  <w:hideMark/>
                </w:tcPr>
                <w:p w14:paraId="545302F4"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4 903 859,70</w:t>
                  </w:r>
                </w:p>
              </w:tc>
              <w:tc>
                <w:tcPr>
                  <w:tcW w:w="1440" w:type="dxa"/>
                  <w:tcBorders>
                    <w:top w:val="single" w:sz="8" w:space="0" w:color="000000"/>
                    <w:left w:val="nil"/>
                    <w:bottom w:val="nil"/>
                    <w:right w:val="single" w:sz="8" w:space="0" w:color="auto"/>
                  </w:tcBorders>
                  <w:shd w:val="clear" w:color="auto" w:fill="auto"/>
                  <w:vAlign w:val="center"/>
                  <w:hideMark/>
                </w:tcPr>
                <w:p w14:paraId="0FA5295A"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1 373 080,72</w:t>
                  </w:r>
                </w:p>
              </w:tc>
              <w:tc>
                <w:tcPr>
                  <w:tcW w:w="1520" w:type="dxa"/>
                  <w:tcBorders>
                    <w:top w:val="nil"/>
                    <w:left w:val="nil"/>
                    <w:bottom w:val="nil"/>
                    <w:right w:val="single" w:sz="8" w:space="0" w:color="auto"/>
                  </w:tcBorders>
                  <w:shd w:val="clear" w:color="auto" w:fill="auto"/>
                  <w:vAlign w:val="center"/>
                  <w:hideMark/>
                </w:tcPr>
                <w:p w14:paraId="4E302BF3" w14:textId="77777777" w:rsidR="00B74EF5" w:rsidRPr="00B74EF5" w:rsidRDefault="00B74EF5" w:rsidP="00B74EF5">
                  <w:pPr>
                    <w:spacing w:after="0" w:line="240" w:lineRule="auto"/>
                    <w:jc w:val="center"/>
                    <w:rPr>
                      <w:rFonts w:ascii="Trebuchet MS" w:eastAsia="Times New Roman" w:hAnsi="Trebuchet MS" w:cs="Times New Roman"/>
                      <w:sz w:val="18"/>
                      <w:szCs w:val="18"/>
                    </w:rPr>
                  </w:pPr>
                  <w:r w:rsidRPr="00B74EF5">
                    <w:rPr>
                      <w:rFonts w:ascii="Trebuchet MS" w:eastAsia="Times New Roman" w:hAnsi="Trebuchet MS" w:cs="Times New Roman"/>
                      <w:sz w:val="18"/>
                      <w:szCs w:val="18"/>
                    </w:rPr>
                    <w:t>28,00%</w:t>
                  </w:r>
                </w:p>
              </w:tc>
              <w:tc>
                <w:tcPr>
                  <w:tcW w:w="2113" w:type="dxa"/>
                  <w:tcBorders>
                    <w:top w:val="single" w:sz="8" w:space="0" w:color="auto"/>
                    <w:left w:val="nil"/>
                    <w:bottom w:val="nil"/>
                    <w:right w:val="single" w:sz="8" w:space="0" w:color="auto"/>
                  </w:tcBorders>
                  <w:shd w:val="clear" w:color="auto" w:fill="auto"/>
                  <w:vAlign w:val="center"/>
                  <w:hideMark/>
                </w:tcPr>
                <w:p w14:paraId="2912E358" w14:textId="77777777" w:rsidR="00B74EF5" w:rsidRPr="00B74EF5" w:rsidRDefault="00B74EF5" w:rsidP="00B74EF5">
                  <w:pPr>
                    <w:spacing w:after="0" w:line="240" w:lineRule="auto"/>
                    <w:jc w:val="right"/>
                    <w:rPr>
                      <w:rFonts w:ascii="Trebuchet MS" w:eastAsia="Times New Roman" w:hAnsi="Trebuchet MS" w:cs="Times New Roman"/>
                      <w:sz w:val="18"/>
                      <w:szCs w:val="18"/>
                    </w:rPr>
                  </w:pPr>
                  <w:r w:rsidRPr="00B74EF5">
                    <w:rPr>
                      <w:rFonts w:ascii="Trebuchet MS" w:eastAsia="Times New Roman" w:hAnsi="Trebuchet MS" w:cs="Times New Roman"/>
                      <w:sz w:val="18"/>
                      <w:szCs w:val="18"/>
                    </w:rPr>
                    <w:t>6 276 940,42</w:t>
                  </w:r>
                </w:p>
              </w:tc>
            </w:tr>
            <w:tr w:rsidR="00B74EF5" w:rsidRPr="00B74EF5" w14:paraId="4AC217A3" w14:textId="77777777" w:rsidTr="00022F48">
              <w:trPr>
                <w:trHeight w:val="465"/>
              </w:trPr>
              <w:tc>
                <w:tcPr>
                  <w:tcW w:w="3273" w:type="dxa"/>
                  <w:tcBorders>
                    <w:top w:val="single" w:sz="8" w:space="0" w:color="000000"/>
                    <w:left w:val="single" w:sz="8" w:space="0" w:color="auto"/>
                    <w:bottom w:val="single" w:sz="8" w:space="0" w:color="auto"/>
                    <w:right w:val="single" w:sz="8" w:space="0" w:color="auto"/>
                  </w:tcBorders>
                  <w:shd w:val="clear" w:color="000000" w:fill="4EE257"/>
                  <w:vAlign w:val="center"/>
                  <w:hideMark/>
                </w:tcPr>
                <w:p w14:paraId="5B8B4319" w14:textId="77777777" w:rsidR="00B74EF5" w:rsidRPr="00B74EF5" w:rsidRDefault="00B74EF5" w:rsidP="00B74EF5">
                  <w:pPr>
                    <w:spacing w:after="0" w:line="240" w:lineRule="auto"/>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Total ENI</w:t>
                  </w:r>
                </w:p>
              </w:tc>
              <w:tc>
                <w:tcPr>
                  <w:tcW w:w="1860" w:type="dxa"/>
                  <w:tcBorders>
                    <w:top w:val="single" w:sz="8" w:space="0" w:color="000000"/>
                    <w:left w:val="nil"/>
                    <w:bottom w:val="single" w:sz="8" w:space="0" w:color="auto"/>
                    <w:right w:val="single" w:sz="8" w:space="0" w:color="auto"/>
                  </w:tcBorders>
                  <w:shd w:val="clear" w:color="auto" w:fill="auto"/>
                  <w:vAlign w:val="center"/>
                  <w:hideMark/>
                </w:tcPr>
                <w:p w14:paraId="089A0BCC" w14:textId="77777777" w:rsidR="00B74EF5" w:rsidRPr="00B74EF5" w:rsidRDefault="00B74EF5" w:rsidP="00B74EF5">
                  <w:pPr>
                    <w:spacing w:after="0" w:line="240" w:lineRule="auto"/>
                    <w:jc w:val="right"/>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49 038 597,00</w:t>
                  </w:r>
                </w:p>
              </w:tc>
              <w:tc>
                <w:tcPr>
                  <w:tcW w:w="1440" w:type="dxa"/>
                  <w:tcBorders>
                    <w:top w:val="single" w:sz="8" w:space="0" w:color="000000"/>
                    <w:left w:val="nil"/>
                    <w:bottom w:val="single" w:sz="8" w:space="0" w:color="auto"/>
                    <w:right w:val="single" w:sz="8" w:space="0" w:color="auto"/>
                  </w:tcBorders>
                  <w:shd w:val="clear" w:color="auto" w:fill="auto"/>
                  <w:vAlign w:val="center"/>
                  <w:hideMark/>
                </w:tcPr>
                <w:p w14:paraId="18C3524D" w14:textId="77777777" w:rsidR="00B74EF5" w:rsidRPr="00B74EF5" w:rsidRDefault="00B74EF5" w:rsidP="00B74EF5">
                  <w:pPr>
                    <w:spacing w:after="0" w:line="240" w:lineRule="auto"/>
                    <w:jc w:val="right"/>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4 903 859,70</w:t>
                  </w:r>
                </w:p>
              </w:tc>
              <w:tc>
                <w:tcPr>
                  <w:tcW w:w="1520" w:type="dxa"/>
                  <w:tcBorders>
                    <w:top w:val="single" w:sz="8" w:space="0" w:color="000000"/>
                    <w:left w:val="nil"/>
                    <w:bottom w:val="single" w:sz="8" w:space="0" w:color="auto"/>
                    <w:right w:val="single" w:sz="8" w:space="0" w:color="auto"/>
                  </w:tcBorders>
                  <w:shd w:val="clear" w:color="auto" w:fill="auto"/>
                  <w:vAlign w:val="center"/>
                  <w:hideMark/>
                </w:tcPr>
                <w:p w14:paraId="18390880" w14:textId="77777777" w:rsidR="00B74EF5" w:rsidRPr="00B74EF5" w:rsidRDefault="00B74EF5" w:rsidP="00B74EF5">
                  <w:pPr>
                    <w:spacing w:after="0" w:line="240" w:lineRule="auto"/>
                    <w:jc w:val="center"/>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10,00%</w:t>
                  </w:r>
                </w:p>
              </w:tc>
              <w:tc>
                <w:tcPr>
                  <w:tcW w:w="2113" w:type="dxa"/>
                  <w:tcBorders>
                    <w:top w:val="single" w:sz="8" w:space="0" w:color="000000"/>
                    <w:left w:val="nil"/>
                    <w:bottom w:val="single" w:sz="8" w:space="0" w:color="auto"/>
                    <w:right w:val="single" w:sz="8" w:space="0" w:color="auto"/>
                  </w:tcBorders>
                  <w:shd w:val="clear" w:color="auto" w:fill="auto"/>
                  <w:vAlign w:val="center"/>
                  <w:hideMark/>
                </w:tcPr>
                <w:p w14:paraId="5F07D6A3" w14:textId="77777777" w:rsidR="00B74EF5" w:rsidRPr="00B74EF5" w:rsidRDefault="00B74EF5" w:rsidP="00B74EF5">
                  <w:pPr>
                    <w:spacing w:after="0" w:line="240" w:lineRule="auto"/>
                    <w:jc w:val="right"/>
                    <w:rPr>
                      <w:rFonts w:ascii="Trebuchet MS" w:eastAsia="Times New Roman" w:hAnsi="Trebuchet MS" w:cs="Times New Roman"/>
                      <w:b/>
                      <w:bCs/>
                      <w:sz w:val="18"/>
                      <w:szCs w:val="18"/>
                    </w:rPr>
                  </w:pPr>
                  <w:r w:rsidRPr="00B74EF5">
                    <w:rPr>
                      <w:rFonts w:ascii="Trebuchet MS" w:eastAsia="Times New Roman" w:hAnsi="Trebuchet MS" w:cs="Times New Roman"/>
                      <w:b/>
                      <w:bCs/>
                      <w:sz w:val="18"/>
                      <w:szCs w:val="18"/>
                    </w:rPr>
                    <w:t>53 942 456,70</w:t>
                  </w:r>
                </w:p>
              </w:tc>
            </w:tr>
          </w:tbl>
          <w:p w14:paraId="6A7B561E" w14:textId="77777777" w:rsidR="00B74EF5" w:rsidRPr="00973A1C" w:rsidRDefault="00B74EF5" w:rsidP="00973A1C">
            <w:pPr>
              <w:spacing w:after="60" w:line="264" w:lineRule="auto"/>
              <w:jc w:val="both"/>
              <w:rPr>
                <w:rFonts w:ascii="Trebuchet MS" w:eastAsia="Times New Roman" w:hAnsi="Trebuchet MS" w:cs="Times New Roman"/>
                <w:sz w:val="22"/>
                <w:szCs w:val="22"/>
                <w:lang w:val="en-GB" w:eastAsia="en-GB"/>
              </w:rPr>
            </w:pPr>
          </w:p>
        </w:tc>
      </w:tr>
    </w:tbl>
    <w:p w14:paraId="5AE7AFB7" w14:textId="77777777" w:rsidR="00022F48" w:rsidRDefault="00022F48" w:rsidP="00022F48">
      <w:pPr>
        <w:spacing w:after="60" w:line="264" w:lineRule="auto"/>
        <w:jc w:val="both"/>
        <w:rPr>
          <w:sz w:val="22"/>
          <w:szCs w:val="22"/>
          <w:lang w:val="en-GB"/>
        </w:rPr>
      </w:pPr>
      <w:bookmarkStart w:id="127" w:name="RANGE!A1:F11"/>
      <w:bookmarkStart w:id="128" w:name="_Toc402864395"/>
      <w:bookmarkEnd w:id="127"/>
    </w:p>
    <w:p w14:paraId="45F617C6" w14:textId="77777777" w:rsidR="00022F48" w:rsidRDefault="00022F48" w:rsidP="00022F48">
      <w:pPr>
        <w:spacing w:after="60" w:line="264" w:lineRule="auto"/>
        <w:jc w:val="both"/>
        <w:rPr>
          <w:sz w:val="22"/>
          <w:szCs w:val="22"/>
          <w:lang w:val="en-GB"/>
        </w:rPr>
      </w:pPr>
      <w:proofErr w:type="spellStart"/>
      <w:r w:rsidRPr="00022F48">
        <w:rPr>
          <w:sz w:val="22"/>
          <w:szCs w:val="22"/>
          <w:lang w:val="en-GB"/>
        </w:rPr>
        <w:t>Cofinancing</w:t>
      </w:r>
      <w:proofErr w:type="spellEnd"/>
      <w:r w:rsidRPr="00022F48">
        <w:rPr>
          <w:sz w:val="22"/>
          <w:szCs w:val="22"/>
          <w:lang w:val="en-GB"/>
        </w:rPr>
        <w:t xml:space="preserve"> rate is calculated on the basis of the Community contribution to the joint operational programme, in accordance with articles 12, 13 and 14 of </w:t>
      </w:r>
      <w:proofErr w:type="gramStart"/>
      <w:r w:rsidRPr="00022F48">
        <w:rPr>
          <w:sz w:val="22"/>
          <w:szCs w:val="22"/>
          <w:lang w:val="en-GB"/>
        </w:rPr>
        <w:t>the  Commission</w:t>
      </w:r>
      <w:proofErr w:type="gramEnd"/>
      <w:r w:rsidRPr="00022F48">
        <w:rPr>
          <w:sz w:val="22"/>
          <w:szCs w:val="22"/>
          <w:lang w:val="en-GB"/>
        </w:rPr>
        <w:t xml:space="preserve"> Implementing Regulation (EU) No 897/2014 of 18 August 2014 laying down specific provisions for the implementation of cross-border cooperation programmes financed under Regulation (EU) No 232/2014 of the European Parliament and the Council establishing a European Neighbourhood Instrument.</w:t>
      </w:r>
    </w:p>
    <w:p w14:paraId="0CDB05DA" w14:textId="0CFAD4B5" w:rsidR="00022F48" w:rsidRDefault="00022F48" w:rsidP="00022F48">
      <w:pPr>
        <w:spacing w:after="60" w:line="264" w:lineRule="auto"/>
        <w:jc w:val="both"/>
        <w:rPr>
          <w:sz w:val="22"/>
          <w:szCs w:val="22"/>
          <w:lang w:val="en-GB"/>
        </w:rPr>
      </w:pPr>
      <w:r w:rsidRPr="00DA607C">
        <w:rPr>
          <w:sz w:val="22"/>
          <w:szCs w:val="22"/>
          <w:lang w:val="en-GB"/>
        </w:rPr>
        <w:t>The co-financing to the technical assistance represents the contribution of Romania and Bulgaria by covering the costs of staff dedicated to the programme, according to art.12, 14 and 36 of Regulation (EU) No.897/2014.</w:t>
      </w:r>
    </w:p>
    <w:p w14:paraId="55A99485" w14:textId="77777777" w:rsidR="00022F48" w:rsidRDefault="00022F48" w:rsidP="00BF5424">
      <w:pPr>
        <w:spacing w:after="60" w:line="264" w:lineRule="auto"/>
        <w:jc w:val="both"/>
        <w:rPr>
          <w:sz w:val="22"/>
          <w:szCs w:val="22"/>
          <w:lang w:val="en-GB"/>
        </w:rPr>
      </w:pPr>
    </w:p>
    <w:p w14:paraId="595E855D" w14:textId="77777777" w:rsidR="00BF5424" w:rsidRDefault="00BF5424" w:rsidP="00BF5424">
      <w:pPr>
        <w:spacing w:after="60" w:line="264" w:lineRule="auto"/>
        <w:jc w:val="both"/>
        <w:rPr>
          <w:sz w:val="22"/>
          <w:szCs w:val="22"/>
          <w:lang w:val="en-GB"/>
        </w:rPr>
      </w:pPr>
      <w:r w:rsidRPr="00BF5424">
        <w:rPr>
          <w:sz w:val="22"/>
          <w:szCs w:val="22"/>
          <w:lang w:val="en-GB"/>
        </w:rPr>
        <w:t>The table specifying the yearly provisional financial appropriations for commitments and payments envisaged for the support from the Union for each thematic obj</w:t>
      </w:r>
      <w:r>
        <w:rPr>
          <w:sz w:val="22"/>
          <w:szCs w:val="22"/>
          <w:lang w:val="en-GB"/>
        </w:rPr>
        <w:t xml:space="preserve">ective and technical assistance </w:t>
      </w:r>
      <w:r w:rsidRPr="006A18F1">
        <w:rPr>
          <w:sz w:val="22"/>
          <w:szCs w:val="22"/>
          <w:lang w:val="en-GB"/>
        </w:rPr>
        <w:t>is inserted below</w:t>
      </w:r>
      <w:r>
        <w:rPr>
          <w:sz w:val="22"/>
          <w:szCs w:val="22"/>
          <w:lang w:val="en-GB"/>
        </w:rPr>
        <w:t>.</w:t>
      </w:r>
    </w:p>
    <w:p w14:paraId="42D16C07" w14:textId="77777777" w:rsidR="00781503" w:rsidRDefault="00781503" w:rsidP="00BF5424">
      <w:pPr>
        <w:spacing w:after="60" w:line="264" w:lineRule="auto"/>
        <w:jc w:val="both"/>
        <w:rPr>
          <w:sz w:val="22"/>
          <w:szCs w:val="22"/>
          <w:lang w:val="en-GB"/>
        </w:rPr>
      </w:pPr>
    </w:p>
    <w:p w14:paraId="772A2BD2" w14:textId="27E00AFB" w:rsidR="00781503" w:rsidRDefault="00781503">
      <w:pPr>
        <w:rPr>
          <w:sz w:val="22"/>
          <w:szCs w:val="22"/>
          <w:lang w:val="en-GB"/>
        </w:rPr>
      </w:pPr>
      <w:r>
        <w:rPr>
          <w:sz w:val="22"/>
          <w:szCs w:val="22"/>
          <w:lang w:val="en-GB"/>
        </w:rPr>
        <w:br w:type="page"/>
      </w:r>
    </w:p>
    <w:tbl>
      <w:tblPr>
        <w:tblW w:w="10363" w:type="dxa"/>
        <w:tblInd w:w="55" w:type="dxa"/>
        <w:tblLayout w:type="fixed"/>
        <w:tblCellMar>
          <w:left w:w="70" w:type="dxa"/>
          <w:right w:w="70" w:type="dxa"/>
        </w:tblCellMar>
        <w:tblLook w:val="04A0" w:firstRow="1" w:lastRow="0" w:firstColumn="1" w:lastColumn="0" w:noHBand="0" w:noVBand="1"/>
      </w:tblPr>
      <w:tblGrid>
        <w:gridCol w:w="1960"/>
        <w:gridCol w:w="2166"/>
        <w:gridCol w:w="1843"/>
        <w:gridCol w:w="2126"/>
        <w:gridCol w:w="2268"/>
      </w:tblGrid>
      <w:tr w:rsidR="00B74EF5" w:rsidRPr="00B74EF5" w14:paraId="598E6266" w14:textId="77777777" w:rsidTr="00B74EF5">
        <w:trPr>
          <w:trHeight w:val="960"/>
        </w:trPr>
        <w:tc>
          <w:tcPr>
            <w:tcW w:w="1960" w:type="dxa"/>
            <w:vMerge w:val="restart"/>
            <w:tcBorders>
              <w:top w:val="single" w:sz="4" w:space="0" w:color="auto"/>
              <w:left w:val="single" w:sz="4" w:space="0" w:color="auto"/>
              <w:bottom w:val="single" w:sz="4" w:space="0" w:color="000000"/>
              <w:right w:val="single" w:sz="4" w:space="0" w:color="auto"/>
            </w:tcBorders>
            <w:shd w:val="clear" w:color="000000" w:fill="CCFFFF"/>
            <w:noWrap/>
            <w:vAlign w:val="bottom"/>
            <w:hideMark/>
          </w:tcPr>
          <w:p w14:paraId="3A238617" w14:textId="77777777" w:rsidR="00B74EF5" w:rsidRPr="006C4931" w:rsidRDefault="00B74EF5" w:rsidP="00B74EF5">
            <w:pPr>
              <w:spacing w:after="0" w:line="240" w:lineRule="auto"/>
              <w:jc w:val="center"/>
              <w:rPr>
                <w:rFonts w:ascii="Arial" w:eastAsia="Times New Roman" w:hAnsi="Arial" w:cs="Arial"/>
                <w:b/>
                <w:bCs/>
                <w:sz w:val="20"/>
                <w:szCs w:val="20"/>
                <w:lang w:val="en-GB"/>
              </w:rPr>
            </w:pPr>
            <w:r w:rsidRPr="006C4931">
              <w:rPr>
                <w:rFonts w:ascii="Arial" w:eastAsia="Times New Roman" w:hAnsi="Arial" w:cs="Arial"/>
                <w:b/>
                <w:bCs/>
                <w:sz w:val="20"/>
                <w:szCs w:val="20"/>
                <w:lang w:val="en-GB"/>
              </w:rPr>
              <w:lastRenderedPageBreak/>
              <w:t> </w:t>
            </w:r>
          </w:p>
        </w:tc>
        <w:tc>
          <w:tcPr>
            <w:tcW w:w="2166" w:type="dxa"/>
            <w:tcBorders>
              <w:top w:val="single" w:sz="4" w:space="0" w:color="auto"/>
              <w:left w:val="nil"/>
              <w:bottom w:val="single" w:sz="4" w:space="0" w:color="auto"/>
              <w:right w:val="nil"/>
            </w:tcBorders>
            <w:shd w:val="clear" w:color="000000" w:fill="4EE257"/>
            <w:vAlign w:val="center"/>
            <w:hideMark/>
          </w:tcPr>
          <w:p w14:paraId="7FDBF2B3" w14:textId="77777777" w:rsidR="00B74EF5" w:rsidRPr="006C4931" w:rsidRDefault="00B74EF5" w:rsidP="00B74EF5">
            <w:pPr>
              <w:spacing w:after="0" w:line="240" w:lineRule="auto"/>
              <w:jc w:val="center"/>
              <w:rPr>
                <w:rFonts w:ascii="Arial" w:eastAsia="Times New Roman" w:hAnsi="Arial" w:cs="Arial"/>
                <w:b/>
                <w:bCs/>
                <w:sz w:val="20"/>
                <w:szCs w:val="20"/>
                <w:lang w:val="en-GB"/>
              </w:rPr>
            </w:pPr>
            <w:r w:rsidRPr="006C4931">
              <w:rPr>
                <w:rFonts w:ascii="Arial" w:eastAsia="Times New Roman" w:hAnsi="Arial" w:cs="Arial"/>
                <w:b/>
                <w:bCs/>
                <w:sz w:val="20"/>
                <w:szCs w:val="20"/>
                <w:lang w:val="en-GB"/>
              </w:rPr>
              <w:t xml:space="preserve">INDICATIVE PROVISIONAL COMMITMENTS BY THE EC  </w:t>
            </w:r>
          </w:p>
        </w:tc>
        <w:tc>
          <w:tcPr>
            <w:tcW w:w="1843" w:type="dxa"/>
            <w:tcBorders>
              <w:top w:val="single" w:sz="4" w:space="0" w:color="auto"/>
              <w:left w:val="single" w:sz="4" w:space="0" w:color="auto"/>
              <w:bottom w:val="single" w:sz="4" w:space="0" w:color="auto"/>
              <w:right w:val="nil"/>
            </w:tcBorders>
            <w:shd w:val="clear" w:color="000000" w:fill="4EE257"/>
            <w:vAlign w:val="center"/>
            <w:hideMark/>
          </w:tcPr>
          <w:p w14:paraId="33FAAEC5"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CO-FINANCING</w:t>
            </w:r>
          </w:p>
        </w:tc>
        <w:tc>
          <w:tcPr>
            <w:tcW w:w="2126" w:type="dxa"/>
            <w:tcBorders>
              <w:top w:val="single" w:sz="4" w:space="0" w:color="auto"/>
              <w:left w:val="single" w:sz="4" w:space="0" w:color="auto"/>
              <w:bottom w:val="single" w:sz="4" w:space="0" w:color="auto"/>
              <w:right w:val="nil"/>
            </w:tcBorders>
            <w:shd w:val="clear" w:color="000000" w:fill="CCFFCC"/>
            <w:vAlign w:val="center"/>
            <w:hideMark/>
          </w:tcPr>
          <w:p w14:paraId="330F8B37"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 xml:space="preserve">PROGRAMME'S INDICATIVE PROVISIONAL COMMITMENTS </w:t>
            </w:r>
          </w:p>
        </w:tc>
        <w:tc>
          <w:tcPr>
            <w:tcW w:w="2268" w:type="dxa"/>
            <w:tcBorders>
              <w:top w:val="single" w:sz="4" w:space="0" w:color="auto"/>
              <w:left w:val="single" w:sz="4" w:space="0" w:color="auto"/>
              <w:bottom w:val="single" w:sz="4" w:space="0" w:color="auto"/>
              <w:right w:val="nil"/>
            </w:tcBorders>
            <w:shd w:val="clear" w:color="000000" w:fill="FFCC99"/>
            <w:vAlign w:val="center"/>
            <w:hideMark/>
          </w:tcPr>
          <w:p w14:paraId="765C9A0A"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PROGRAMME'S INDICATIVE PROVISIONAL PAYMENTS</w:t>
            </w:r>
          </w:p>
        </w:tc>
      </w:tr>
      <w:tr w:rsidR="00B74EF5" w:rsidRPr="00B74EF5" w14:paraId="111BB4D9" w14:textId="77777777" w:rsidTr="00B74EF5">
        <w:trPr>
          <w:trHeight w:val="255"/>
        </w:trPr>
        <w:tc>
          <w:tcPr>
            <w:tcW w:w="1960" w:type="dxa"/>
            <w:vMerge/>
            <w:tcBorders>
              <w:top w:val="single" w:sz="4" w:space="0" w:color="auto"/>
              <w:left w:val="single" w:sz="4" w:space="0" w:color="auto"/>
              <w:bottom w:val="single" w:sz="4" w:space="0" w:color="000000"/>
              <w:right w:val="single" w:sz="4" w:space="0" w:color="auto"/>
            </w:tcBorders>
            <w:vAlign w:val="center"/>
            <w:hideMark/>
          </w:tcPr>
          <w:p w14:paraId="4661CB21" w14:textId="77777777" w:rsidR="00B74EF5" w:rsidRPr="00B74EF5" w:rsidRDefault="00B74EF5" w:rsidP="00B74EF5">
            <w:pPr>
              <w:spacing w:after="0" w:line="240" w:lineRule="auto"/>
              <w:rPr>
                <w:rFonts w:ascii="Arial" w:eastAsia="Times New Roman" w:hAnsi="Arial" w:cs="Arial"/>
                <w:b/>
                <w:bCs/>
                <w:sz w:val="20"/>
                <w:szCs w:val="20"/>
              </w:rPr>
            </w:pPr>
          </w:p>
        </w:tc>
        <w:tc>
          <w:tcPr>
            <w:tcW w:w="2166" w:type="dxa"/>
            <w:tcBorders>
              <w:top w:val="nil"/>
              <w:left w:val="nil"/>
              <w:bottom w:val="single" w:sz="4" w:space="0" w:color="auto"/>
              <w:right w:val="single" w:sz="4" w:space="0" w:color="auto"/>
            </w:tcBorders>
            <w:shd w:val="clear" w:color="000000" w:fill="4EE257"/>
            <w:vAlign w:val="bottom"/>
            <w:hideMark/>
          </w:tcPr>
          <w:p w14:paraId="30BA964B" w14:textId="7D47B73C" w:rsidR="00B74EF5" w:rsidRPr="00B74EF5" w:rsidRDefault="00B74EF5" w:rsidP="00B74EF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EC F</w:t>
            </w:r>
            <w:r w:rsidRPr="00B74EF5">
              <w:rPr>
                <w:rFonts w:ascii="Arial" w:eastAsia="Times New Roman" w:hAnsi="Arial" w:cs="Arial"/>
                <w:b/>
                <w:bCs/>
                <w:sz w:val="20"/>
                <w:szCs w:val="20"/>
              </w:rPr>
              <w:t>UNDING</w:t>
            </w:r>
          </w:p>
        </w:tc>
        <w:tc>
          <w:tcPr>
            <w:tcW w:w="1843" w:type="dxa"/>
            <w:tcBorders>
              <w:top w:val="nil"/>
              <w:left w:val="nil"/>
              <w:bottom w:val="single" w:sz="4" w:space="0" w:color="auto"/>
              <w:right w:val="single" w:sz="4" w:space="0" w:color="auto"/>
            </w:tcBorders>
            <w:shd w:val="clear" w:color="000000" w:fill="4EE257"/>
            <w:vAlign w:val="bottom"/>
            <w:hideMark/>
          </w:tcPr>
          <w:p w14:paraId="012484E8"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 </w:t>
            </w:r>
          </w:p>
        </w:tc>
        <w:tc>
          <w:tcPr>
            <w:tcW w:w="2126" w:type="dxa"/>
            <w:tcBorders>
              <w:top w:val="nil"/>
              <w:left w:val="nil"/>
              <w:bottom w:val="single" w:sz="4" w:space="0" w:color="auto"/>
              <w:right w:val="single" w:sz="4" w:space="0" w:color="auto"/>
            </w:tcBorders>
            <w:shd w:val="clear" w:color="000000" w:fill="CCFFCC"/>
            <w:vAlign w:val="bottom"/>
            <w:hideMark/>
          </w:tcPr>
          <w:p w14:paraId="710B5A99" w14:textId="0FD9D34C" w:rsidR="00B74EF5" w:rsidRPr="00B74EF5" w:rsidRDefault="00B74EF5" w:rsidP="00B74EF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EC F</w:t>
            </w:r>
            <w:r w:rsidRPr="00B74EF5">
              <w:rPr>
                <w:rFonts w:ascii="Arial" w:eastAsia="Times New Roman" w:hAnsi="Arial" w:cs="Arial"/>
                <w:b/>
                <w:bCs/>
                <w:sz w:val="20"/>
                <w:szCs w:val="20"/>
              </w:rPr>
              <w:t>UNDING</w:t>
            </w:r>
          </w:p>
        </w:tc>
        <w:tc>
          <w:tcPr>
            <w:tcW w:w="2268" w:type="dxa"/>
            <w:tcBorders>
              <w:top w:val="nil"/>
              <w:left w:val="nil"/>
              <w:bottom w:val="single" w:sz="4" w:space="0" w:color="auto"/>
              <w:right w:val="single" w:sz="4" w:space="0" w:color="auto"/>
            </w:tcBorders>
            <w:shd w:val="clear" w:color="000000" w:fill="FFCC99"/>
            <w:noWrap/>
            <w:vAlign w:val="bottom"/>
            <w:hideMark/>
          </w:tcPr>
          <w:p w14:paraId="5B9F80C4" w14:textId="36C8BB00" w:rsidR="00B74EF5" w:rsidRPr="00B74EF5" w:rsidRDefault="00B74EF5" w:rsidP="00B74EF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EC F</w:t>
            </w:r>
            <w:r w:rsidRPr="00B74EF5">
              <w:rPr>
                <w:rFonts w:ascii="Arial" w:eastAsia="Times New Roman" w:hAnsi="Arial" w:cs="Arial"/>
                <w:b/>
                <w:bCs/>
                <w:sz w:val="20"/>
                <w:szCs w:val="20"/>
              </w:rPr>
              <w:t>UNDING</w:t>
            </w:r>
          </w:p>
        </w:tc>
      </w:tr>
      <w:tr w:rsidR="00B74EF5" w:rsidRPr="00B74EF5" w14:paraId="5B5A51F2" w14:textId="77777777" w:rsidTr="00B74EF5">
        <w:trPr>
          <w:trHeight w:val="255"/>
        </w:trPr>
        <w:tc>
          <w:tcPr>
            <w:tcW w:w="1960" w:type="dxa"/>
            <w:tcBorders>
              <w:top w:val="nil"/>
              <w:left w:val="single" w:sz="4" w:space="0" w:color="auto"/>
              <w:bottom w:val="nil"/>
              <w:right w:val="single" w:sz="4" w:space="0" w:color="auto"/>
            </w:tcBorders>
            <w:shd w:val="clear" w:color="000000" w:fill="CCFFFF"/>
            <w:noWrap/>
            <w:vAlign w:val="bottom"/>
            <w:hideMark/>
          </w:tcPr>
          <w:p w14:paraId="6EF5B3E8"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 </w:t>
            </w:r>
          </w:p>
        </w:tc>
        <w:tc>
          <w:tcPr>
            <w:tcW w:w="2166" w:type="dxa"/>
            <w:tcBorders>
              <w:top w:val="nil"/>
              <w:left w:val="nil"/>
              <w:bottom w:val="nil"/>
              <w:right w:val="single" w:sz="4" w:space="0" w:color="auto"/>
            </w:tcBorders>
            <w:shd w:val="clear" w:color="000000" w:fill="4EE257"/>
            <w:noWrap/>
            <w:vAlign w:val="bottom"/>
            <w:hideMark/>
          </w:tcPr>
          <w:p w14:paraId="6303CBA2"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A</w:t>
            </w:r>
          </w:p>
        </w:tc>
        <w:tc>
          <w:tcPr>
            <w:tcW w:w="1843" w:type="dxa"/>
            <w:tcBorders>
              <w:top w:val="nil"/>
              <w:left w:val="nil"/>
              <w:bottom w:val="nil"/>
              <w:right w:val="single" w:sz="4" w:space="0" w:color="auto"/>
            </w:tcBorders>
            <w:shd w:val="clear" w:color="000000" w:fill="4EE257"/>
            <w:noWrap/>
            <w:vAlign w:val="bottom"/>
            <w:hideMark/>
          </w:tcPr>
          <w:p w14:paraId="23A7E589"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B</w:t>
            </w:r>
          </w:p>
        </w:tc>
        <w:tc>
          <w:tcPr>
            <w:tcW w:w="2126" w:type="dxa"/>
            <w:tcBorders>
              <w:top w:val="nil"/>
              <w:left w:val="nil"/>
              <w:bottom w:val="nil"/>
              <w:right w:val="single" w:sz="4" w:space="0" w:color="auto"/>
            </w:tcBorders>
            <w:shd w:val="clear" w:color="000000" w:fill="CCFFCC"/>
            <w:noWrap/>
            <w:vAlign w:val="bottom"/>
            <w:hideMark/>
          </w:tcPr>
          <w:p w14:paraId="7B1D90E2"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C</w:t>
            </w:r>
          </w:p>
        </w:tc>
        <w:tc>
          <w:tcPr>
            <w:tcW w:w="2268" w:type="dxa"/>
            <w:tcBorders>
              <w:top w:val="nil"/>
              <w:left w:val="nil"/>
              <w:bottom w:val="nil"/>
              <w:right w:val="single" w:sz="4" w:space="0" w:color="auto"/>
            </w:tcBorders>
            <w:shd w:val="clear" w:color="000000" w:fill="FFCC99"/>
            <w:noWrap/>
            <w:vAlign w:val="bottom"/>
            <w:hideMark/>
          </w:tcPr>
          <w:p w14:paraId="384C1F52"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D</w:t>
            </w:r>
          </w:p>
        </w:tc>
      </w:tr>
      <w:tr w:rsidR="00B74EF5" w:rsidRPr="00B74EF5" w14:paraId="20C8D477" w14:textId="77777777" w:rsidTr="00B74EF5">
        <w:trPr>
          <w:trHeight w:val="300"/>
        </w:trPr>
        <w:tc>
          <w:tcPr>
            <w:tcW w:w="10363" w:type="dxa"/>
            <w:gridSpan w:val="5"/>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3306A3DB" w14:textId="77777777" w:rsidR="00B74EF5" w:rsidRPr="00B74EF5" w:rsidRDefault="00B74EF5" w:rsidP="00B74EF5">
            <w:pPr>
              <w:spacing w:after="0" w:line="240" w:lineRule="auto"/>
              <w:jc w:val="center"/>
              <w:rPr>
                <w:rFonts w:ascii="Arial" w:eastAsia="Times New Roman" w:hAnsi="Arial" w:cs="Arial"/>
                <w:b/>
                <w:bCs/>
                <w:sz w:val="20"/>
                <w:szCs w:val="20"/>
              </w:rPr>
            </w:pPr>
            <w:r w:rsidRPr="00B74EF5">
              <w:rPr>
                <w:rFonts w:ascii="Arial" w:eastAsia="Times New Roman" w:hAnsi="Arial" w:cs="Arial"/>
                <w:b/>
                <w:bCs/>
                <w:sz w:val="20"/>
                <w:szCs w:val="20"/>
              </w:rPr>
              <w:t>2015  ---------------- 2015 ------------------ 2015</w:t>
            </w:r>
          </w:p>
        </w:tc>
      </w:tr>
      <w:tr w:rsidR="00B74EF5" w:rsidRPr="00B74EF5" w14:paraId="114E677B" w14:textId="77777777" w:rsidTr="00B74EF5">
        <w:trPr>
          <w:trHeight w:val="285"/>
        </w:trPr>
        <w:tc>
          <w:tcPr>
            <w:tcW w:w="1960" w:type="dxa"/>
            <w:tcBorders>
              <w:top w:val="nil"/>
              <w:left w:val="nil"/>
              <w:bottom w:val="single" w:sz="4" w:space="0" w:color="auto"/>
              <w:right w:val="single" w:sz="4" w:space="0" w:color="auto"/>
            </w:tcBorders>
            <w:shd w:val="clear" w:color="auto" w:fill="auto"/>
            <w:noWrap/>
            <w:vAlign w:val="center"/>
            <w:hideMark/>
          </w:tcPr>
          <w:p w14:paraId="538B8CC8"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2BA4AD4C"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679911E0"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0,00</w:t>
            </w:r>
          </w:p>
        </w:tc>
        <w:tc>
          <w:tcPr>
            <w:tcW w:w="2126" w:type="dxa"/>
            <w:tcBorders>
              <w:top w:val="nil"/>
              <w:left w:val="nil"/>
              <w:bottom w:val="single" w:sz="4" w:space="0" w:color="auto"/>
              <w:right w:val="single" w:sz="4" w:space="0" w:color="auto"/>
            </w:tcBorders>
            <w:shd w:val="clear" w:color="000000" w:fill="CCFFCC"/>
            <w:noWrap/>
            <w:vAlign w:val="bottom"/>
            <w:hideMark/>
          </w:tcPr>
          <w:p w14:paraId="764FB35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6A9FD8D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r>
      <w:tr w:rsidR="00B74EF5" w:rsidRPr="00B74EF5" w14:paraId="0603D9D5" w14:textId="77777777" w:rsidTr="00B74EF5">
        <w:trPr>
          <w:trHeight w:val="285"/>
        </w:trPr>
        <w:tc>
          <w:tcPr>
            <w:tcW w:w="1960" w:type="dxa"/>
            <w:tcBorders>
              <w:top w:val="nil"/>
              <w:left w:val="single" w:sz="8" w:space="0" w:color="auto"/>
              <w:bottom w:val="single" w:sz="4" w:space="0" w:color="auto"/>
              <w:right w:val="nil"/>
            </w:tcBorders>
            <w:shd w:val="clear" w:color="auto" w:fill="auto"/>
            <w:noWrap/>
            <w:vAlign w:val="center"/>
            <w:hideMark/>
          </w:tcPr>
          <w:p w14:paraId="07E49614"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single" w:sz="4" w:space="0" w:color="auto"/>
              <w:bottom w:val="single" w:sz="4" w:space="0" w:color="auto"/>
              <w:right w:val="nil"/>
            </w:tcBorders>
            <w:shd w:val="clear" w:color="000000" w:fill="CCFFFF"/>
            <w:noWrap/>
            <w:vAlign w:val="bottom"/>
            <w:hideMark/>
          </w:tcPr>
          <w:p w14:paraId="675E402D"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25D0E00E"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60 382,32</w:t>
            </w:r>
          </w:p>
        </w:tc>
        <w:tc>
          <w:tcPr>
            <w:tcW w:w="2126" w:type="dxa"/>
            <w:tcBorders>
              <w:top w:val="nil"/>
              <w:left w:val="nil"/>
              <w:bottom w:val="single" w:sz="4" w:space="0" w:color="auto"/>
              <w:right w:val="single" w:sz="4" w:space="0" w:color="auto"/>
            </w:tcBorders>
            <w:shd w:val="clear" w:color="000000" w:fill="CCFFCC"/>
            <w:noWrap/>
            <w:vAlign w:val="bottom"/>
            <w:hideMark/>
          </w:tcPr>
          <w:p w14:paraId="59304D87"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2D1B2915"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r>
      <w:tr w:rsidR="00B74EF5" w:rsidRPr="00B74EF5" w14:paraId="78AB4207" w14:textId="77777777" w:rsidTr="00B74EF5">
        <w:trPr>
          <w:trHeight w:val="285"/>
        </w:trPr>
        <w:tc>
          <w:tcPr>
            <w:tcW w:w="1960" w:type="dxa"/>
            <w:tcBorders>
              <w:top w:val="nil"/>
              <w:left w:val="single" w:sz="8" w:space="0" w:color="auto"/>
              <w:bottom w:val="single" w:sz="8" w:space="0" w:color="auto"/>
              <w:right w:val="nil"/>
            </w:tcBorders>
            <w:shd w:val="clear" w:color="auto" w:fill="auto"/>
            <w:noWrap/>
            <w:vAlign w:val="center"/>
            <w:hideMark/>
          </w:tcPr>
          <w:p w14:paraId="5CC873A1"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2015</w:t>
            </w:r>
          </w:p>
        </w:tc>
        <w:tc>
          <w:tcPr>
            <w:tcW w:w="2166" w:type="dxa"/>
            <w:tcBorders>
              <w:top w:val="nil"/>
              <w:left w:val="single" w:sz="4" w:space="0" w:color="auto"/>
              <w:bottom w:val="single" w:sz="8" w:space="0" w:color="auto"/>
              <w:right w:val="single" w:sz="4" w:space="0" w:color="auto"/>
            </w:tcBorders>
            <w:shd w:val="clear" w:color="000000" w:fill="FFFF99"/>
            <w:vAlign w:val="bottom"/>
            <w:hideMark/>
          </w:tcPr>
          <w:p w14:paraId="1108CA9F"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5 877 929,00</w:t>
            </w:r>
          </w:p>
        </w:tc>
        <w:tc>
          <w:tcPr>
            <w:tcW w:w="1843" w:type="dxa"/>
            <w:tcBorders>
              <w:top w:val="nil"/>
              <w:left w:val="nil"/>
              <w:bottom w:val="single" w:sz="8" w:space="0" w:color="auto"/>
              <w:right w:val="single" w:sz="4" w:space="0" w:color="auto"/>
            </w:tcBorders>
            <w:shd w:val="clear" w:color="000000" w:fill="FFFF99"/>
            <w:noWrap/>
            <w:vAlign w:val="bottom"/>
            <w:hideMark/>
          </w:tcPr>
          <w:p w14:paraId="1951F527"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0,00</w:t>
            </w:r>
          </w:p>
        </w:tc>
        <w:tc>
          <w:tcPr>
            <w:tcW w:w="2126" w:type="dxa"/>
            <w:tcBorders>
              <w:top w:val="nil"/>
              <w:left w:val="nil"/>
              <w:bottom w:val="single" w:sz="8" w:space="0" w:color="auto"/>
              <w:right w:val="single" w:sz="4" w:space="0" w:color="auto"/>
            </w:tcBorders>
            <w:shd w:val="clear" w:color="000000" w:fill="FFFF99"/>
            <w:noWrap/>
            <w:vAlign w:val="bottom"/>
            <w:hideMark/>
          </w:tcPr>
          <w:p w14:paraId="7836A644"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0,00</w:t>
            </w:r>
          </w:p>
        </w:tc>
        <w:tc>
          <w:tcPr>
            <w:tcW w:w="2268" w:type="dxa"/>
            <w:tcBorders>
              <w:top w:val="nil"/>
              <w:left w:val="nil"/>
              <w:bottom w:val="single" w:sz="8" w:space="0" w:color="auto"/>
              <w:right w:val="single" w:sz="4" w:space="0" w:color="auto"/>
            </w:tcBorders>
            <w:shd w:val="clear" w:color="000000" w:fill="FFFF99"/>
            <w:noWrap/>
            <w:vAlign w:val="bottom"/>
            <w:hideMark/>
          </w:tcPr>
          <w:p w14:paraId="63957B62"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0,00</w:t>
            </w:r>
          </w:p>
        </w:tc>
      </w:tr>
      <w:tr w:rsidR="00B74EF5" w:rsidRPr="00B74EF5" w14:paraId="71733CC0"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000000" w:fill="99FF99"/>
            <w:noWrap/>
            <w:vAlign w:val="center"/>
            <w:hideMark/>
          </w:tcPr>
          <w:p w14:paraId="5D11082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2016  ---------------- 2016 ------------------ 2016</w:t>
            </w:r>
          </w:p>
        </w:tc>
      </w:tr>
      <w:tr w:rsidR="00B74EF5" w:rsidRPr="00B74EF5" w14:paraId="4CCC00DD" w14:textId="77777777" w:rsidTr="00B74EF5">
        <w:trPr>
          <w:trHeight w:val="285"/>
        </w:trPr>
        <w:tc>
          <w:tcPr>
            <w:tcW w:w="1960" w:type="dxa"/>
            <w:tcBorders>
              <w:top w:val="nil"/>
              <w:left w:val="nil"/>
              <w:bottom w:val="single" w:sz="4" w:space="0" w:color="auto"/>
              <w:right w:val="single" w:sz="4" w:space="0" w:color="auto"/>
            </w:tcBorders>
            <w:shd w:val="clear" w:color="000000" w:fill="99FF99"/>
            <w:noWrap/>
            <w:vAlign w:val="bottom"/>
            <w:hideMark/>
          </w:tcPr>
          <w:p w14:paraId="6CEE7780"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136B5D1E"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18E005DE"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0,00</w:t>
            </w:r>
          </w:p>
        </w:tc>
        <w:tc>
          <w:tcPr>
            <w:tcW w:w="2126" w:type="dxa"/>
            <w:tcBorders>
              <w:top w:val="nil"/>
              <w:left w:val="nil"/>
              <w:bottom w:val="single" w:sz="4" w:space="0" w:color="auto"/>
              <w:right w:val="single" w:sz="4" w:space="0" w:color="auto"/>
            </w:tcBorders>
            <w:shd w:val="clear" w:color="000000" w:fill="CCFFCC"/>
            <w:noWrap/>
            <w:vAlign w:val="bottom"/>
            <w:hideMark/>
          </w:tcPr>
          <w:p w14:paraId="654DD170"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7568B3F0"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r>
      <w:tr w:rsidR="00B74EF5" w:rsidRPr="00B74EF5" w14:paraId="2210E51C"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4949EFBB"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347EC3C8"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7E29AA3E"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1F74FD85"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1 133 223,60</w:t>
            </w:r>
          </w:p>
        </w:tc>
        <w:tc>
          <w:tcPr>
            <w:tcW w:w="2268" w:type="dxa"/>
            <w:tcBorders>
              <w:top w:val="nil"/>
              <w:left w:val="nil"/>
              <w:bottom w:val="single" w:sz="4" w:space="0" w:color="auto"/>
              <w:right w:val="single" w:sz="4" w:space="0" w:color="auto"/>
            </w:tcBorders>
            <w:shd w:val="clear" w:color="000000" w:fill="FFCC99"/>
            <w:noWrap/>
            <w:vAlign w:val="bottom"/>
            <w:hideMark/>
          </w:tcPr>
          <w:p w14:paraId="662E877E"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708 849,60</w:t>
            </w:r>
          </w:p>
        </w:tc>
      </w:tr>
      <w:tr w:rsidR="00B74EF5" w:rsidRPr="00B74EF5" w14:paraId="1A647C72" w14:textId="77777777" w:rsidTr="00B74EF5">
        <w:trPr>
          <w:trHeight w:val="285"/>
        </w:trPr>
        <w:tc>
          <w:tcPr>
            <w:tcW w:w="1960" w:type="dxa"/>
            <w:tcBorders>
              <w:top w:val="nil"/>
              <w:left w:val="single" w:sz="8" w:space="0" w:color="auto"/>
              <w:bottom w:val="single" w:sz="8" w:space="0" w:color="auto"/>
              <w:right w:val="single" w:sz="4" w:space="0" w:color="auto"/>
            </w:tcBorders>
            <w:shd w:val="clear" w:color="000000" w:fill="99FF99"/>
            <w:noWrap/>
            <w:vAlign w:val="bottom"/>
            <w:hideMark/>
          </w:tcPr>
          <w:p w14:paraId="7D323211"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2016</w:t>
            </w:r>
          </w:p>
        </w:tc>
        <w:tc>
          <w:tcPr>
            <w:tcW w:w="2166" w:type="dxa"/>
            <w:tcBorders>
              <w:top w:val="nil"/>
              <w:left w:val="nil"/>
              <w:bottom w:val="single" w:sz="8" w:space="0" w:color="auto"/>
              <w:right w:val="single" w:sz="4" w:space="0" w:color="auto"/>
            </w:tcBorders>
            <w:shd w:val="clear" w:color="000000" w:fill="FFFF99"/>
            <w:vAlign w:val="bottom"/>
            <w:hideMark/>
          </w:tcPr>
          <w:p w14:paraId="09B7C0A6"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6 429 827,00</w:t>
            </w:r>
          </w:p>
        </w:tc>
        <w:tc>
          <w:tcPr>
            <w:tcW w:w="1843" w:type="dxa"/>
            <w:tcBorders>
              <w:top w:val="nil"/>
              <w:left w:val="nil"/>
              <w:bottom w:val="single" w:sz="8" w:space="0" w:color="auto"/>
              <w:right w:val="single" w:sz="4" w:space="0" w:color="auto"/>
            </w:tcBorders>
            <w:shd w:val="clear" w:color="000000" w:fill="FFFF99"/>
            <w:noWrap/>
            <w:vAlign w:val="bottom"/>
            <w:hideMark/>
          </w:tcPr>
          <w:p w14:paraId="69664731"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149 700,11</w:t>
            </w:r>
          </w:p>
        </w:tc>
        <w:tc>
          <w:tcPr>
            <w:tcW w:w="2126" w:type="dxa"/>
            <w:tcBorders>
              <w:top w:val="nil"/>
              <w:left w:val="nil"/>
              <w:bottom w:val="single" w:sz="8" w:space="0" w:color="auto"/>
              <w:right w:val="single" w:sz="4" w:space="0" w:color="auto"/>
            </w:tcBorders>
            <w:shd w:val="clear" w:color="000000" w:fill="FFFF99"/>
            <w:noWrap/>
            <w:vAlign w:val="bottom"/>
            <w:hideMark/>
          </w:tcPr>
          <w:p w14:paraId="13C6070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1 133 223,60</w:t>
            </w:r>
          </w:p>
        </w:tc>
        <w:tc>
          <w:tcPr>
            <w:tcW w:w="2268" w:type="dxa"/>
            <w:tcBorders>
              <w:top w:val="nil"/>
              <w:left w:val="nil"/>
              <w:bottom w:val="single" w:sz="8" w:space="0" w:color="auto"/>
              <w:right w:val="single" w:sz="4" w:space="0" w:color="auto"/>
            </w:tcBorders>
            <w:shd w:val="clear" w:color="000000" w:fill="FFFF99"/>
            <w:noWrap/>
            <w:vAlign w:val="bottom"/>
            <w:hideMark/>
          </w:tcPr>
          <w:p w14:paraId="2F097F46"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708 849,60</w:t>
            </w:r>
          </w:p>
        </w:tc>
      </w:tr>
      <w:tr w:rsidR="00B74EF5" w:rsidRPr="00B74EF5" w14:paraId="4D727CE1"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1C06D6FE"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2017  ---------------- 2017 ------------------ 2017</w:t>
            </w:r>
          </w:p>
        </w:tc>
      </w:tr>
      <w:tr w:rsidR="00B74EF5" w:rsidRPr="00B74EF5" w14:paraId="6DE8E9F4"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3C2D9CD4"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3CE649BB"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69A7672B"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549 265,07</w:t>
            </w:r>
          </w:p>
        </w:tc>
        <w:tc>
          <w:tcPr>
            <w:tcW w:w="2126" w:type="dxa"/>
            <w:tcBorders>
              <w:top w:val="nil"/>
              <w:left w:val="nil"/>
              <w:bottom w:val="single" w:sz="4" w:space="0" w:color="auto"/>
              <w:right w:val="single" w:sz="4" w:space="0" w:color="auto"/>
            </w:tcBorders>
            <w:shd w:val="clear" w:color="000000" w:fill="CCFFCC"/>
            <w:noWrap/>
            <w:vAlign w:val="bottom"/>
            <w:hideMark/>
          </w:tcPr>
          <w:p w14:paraId="562DCD7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15 809 438,61</w:t>
            </w:r>
          </w:p>
        </w:tc>
        <w:tc>
          <w:tcPr>
            <w:tcW w:w="2268" w:type="dxa"/>
            <w:tcBorders>
              <w:top w:val="nil"/>
              <w:left w:val="nil"/>
              <w:bottom w:val="single" w:sz="4" w:space="0" w:color="auto"/>
              <w:right w:val="single" w:sz="4" w:space="0" w:color="auto"/>
            </w:tcBorders>
            <w:shd w:val="clear" w:color="000000" w:fill="FFCC99"/>
            <w:noWrap/>
            <w:vAlign w:val="bottom"/>
            <w:hideMark/>
          </w:tcPr>
          <w:p w14:paraId="363016D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6 865 813,34</w:t>
            </w:r>
          </w:p>
        </w:tc>
      </w:tr>
      <w:tr w:rsidR="00B74EF5" w:rsidRPr="00B74EF5" w14:paraId="065953B9"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1B642A28"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6CB20563"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0485A46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1600933B"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1 108 986,10</w:t>
            </w:r>
          </w:p>
        </w:tc>
        <w:tc>
          <w:tcPr>
            <w:tcW w:w="2268" w:type="dxa"/>
            <w:tcBorders>
              <w:top w:val="nil"/>
              <w:left w:val="nil"/>
              <w:bottom w:val="single" w:sz="4" w:space="0" w:color="auto"/>
              <w:right w:val="single" w:sz="4" w:space="0" w:color="auto"/>
            </w:tcBorders>
            <w:shd w:val="clear" w:color="000000" w:fill="FFCC99"/>
            <w:noWrap/>
            <w:vAlign w:val="bottom"/>
            <w:hideMark/>
          </w:tcPr>
          <w:p w14:paraId="2F1CFE6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814 285,10</w:t>
            </w:r>
          </w:p>
        </w:tc>
      </w:tr>
      <w:tr w:rsidR="00B74EF5" w:rsidRPr="00B74EF5" w14:paraId="62B0BAAD" w14:textId="77777777" w:rsidTr="00B74EF5">
        <w:trPr>
          <w:trHeight w:val="285"/>
        </w:trPr>
        <w:tc>
          <w:tcPr>
            <w:tcW w:w="1960" w:type="dxa"/>
            <w:tcBorders>
              <w:top w:val="nil"/>
              <w:left w:val="single" w:sz="8" w:space="0" w:color="auto"/>
              <w:bottom w:val="single" w:sz="8" w:space="0" w:color="auto"/>
              <w:right w:val="single" w:sz="4" w:space="0" w:color="auto"/>
            </w:tcBorders>
            <w:shd w:val="clear" w:color="auto" w:fill="auto"/>
            <w:noWrap/>
            <w:vAlign w:val="bottom"/>
            <w:hideMark/>
          </w:tcPr>
          <w:p w14:paraId="2BED958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2017</w:t>
            </w:r>
          </w:p>
        </w:tc>
        <w:tc>
          <w:tcPr>
            <w:tcW w:w="2166" w:type="dxa"/>
            <w:tcBorders>
              <w:top w:val="nil"/>
              <w:left w:val="nil"/>
              <w:bottom w:val="single" w:sz="8" w:space="0" w:color="auto"/>
              <w:right w:val="single" w:sz="4" w:space="0" w:color="auto"/>
            </w:tcBorders>
            <w:shd w:val="clear" w:color="000000" w:fill="FFFF99"/>
            <w:vAlign w:val="bottom"/>
            <w:hideMark/>
          </w:tcPr>
          <w:p w14:paraId="548F4F03"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9 531 828,00</w:t>
            </w:r>
          </w:p>
        </w:tc>
        <w:tc>
          <w:tcPr>
            <w:tcW w:w="1843" w:type="dxa"/>
            <w:tcBorders>
              <w:top w:val="nil"/>
              <w:left w:val="nil"/>
              <w:bottom w:val="single" w:sz="8" w:space="0" w:color="auto"/>
              <w:right w:val="single" w:sz="4" w:space="0" w:color="auto"/>
            </w:tcBorders>
            <w:shd w:val="clear" w:color="000000" w:fill="FFFF99"/>
            <w:noWrap/>
            <w:vAlign w:val="bottom"/>
            <w:hideMark/>
          </w:tcPr>
          <w:p w14:paraId="18D70B8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698 965,18</w:t>
            </w:r>
          </w:p>
        </w:tc>
        <w:tc>
          <w:tcPr>
            <w:tcW w:w="2126" w:type="dxa"/>
            <w:tcBorders>
              <w:top w:val="nil"/>
              <w:left w:val="nil"/>
              <w:bottom w:val="single" w:sz="8" w:space="0" w:color="auto"/>
              <w:right w:val="single" w:sz="4" w:space="0" w:color="auto"/>
            </w:tcBorders>
            <w:shd w:val="clear" w:color="000000" w:fill="FFFF99"/>
            <w:noWrap/>
            <w:vAlign w:val="bottom"/>
            <w:hideMark/>
          </w:tcPr>
          <w:p w14:paraId="0CE2AB17"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16 918 424,71</w:t>
            </w:r>
          </w:p>
        </w:tc>
        <w:tc>
          <w:tcPr>
            <w:tcW w:w="2268" w:type="dxa"/>
            <w:tcBorders>
              <w:top w:val="nil"/>
              <w:left w:val="nil"/>
              <w:bottom w:val="single" w:sz="8" w:space="0" w:color="auto"/>
              <w:right w:val="single" w:sz="4" w:space="0" w:color="auto"/>
            </w:tcBorders>
            <w:shd w:val="clear" w:color="000000" w:fill="FFFF99"/>
            <w:noWrap/>
            <w:vAlign w:val="bottom"/>
            <w:hideMark/>
          </w:tcPr>
          <w:p w14:paraId="6ECA51C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7 680 098,44</w:t>
            </w:r>
          </w:p>
        </w:tc>
      </w:tr>
      <w:tr w:rsidR="00B74EF5" w:rsidRPr="00B74EF5" w14:paraId="780B0EB5"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000000" w:fill="99FF99"/>
            <w:noWrap/>
            <w:vAlign w:val="center"/>
            <w:hideMark/>
          </w:tcPr>
          <w:p w14:paraId="30F66846"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2018  ---------------- 2018 ------------------ 2018</w:t>
            </w:r>
          </w:p>
        </w:tc>
      </w:tr>
      <w:tr w:rsidR="00B74EF5" w:rsidRPr="00B74EF5" w14:paraId="6EE11B37"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center"/>
            <w:hideMark/>
          </w:tcPr>
          <w:p w14:paraId="5B402851"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4757A14A"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07D36303"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249 337,43</w:t>
            </w:r>
          </w:p>
        </w:tc>
        <w:tc>
          <w:tcPr>
            <w:tcW w:w="2126" w:type="dxa"/>
            <w:tcBorders>
              <w:top w:val="nil"/>
              <w:left w:val="nil"/>
              <w:bottom w:val="single" w:sz="4" w:space="0" w:color="auto"/>
              <w:right w:val="single" w:sz="4" w:space="0" w:color="auto"/>
            </w:tcBorders>
            <w:shd w:val="clear" w:color="000000" w:fill="CCFFCC"/>
            <w:noWrap/>
            <w:vAlign w:val="bottom"/>
            <w:hideMark/>
          </w:tcPr>
          <w:p w14:paraId="538A165F"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6 775 473,69</w:t>
            </w:r>
          </w:p>
        </w:tc>
        <w:tc>
          <w:tcPr>
            <w:tcW w:w="2268" w:type="dxa"/>
            <w:tcBorders>
              <w:top w:val="nil"/>
              <w:left w:val="nil"/>
              <w:bottom w:val="single" w:sz="4" w:space="0" w:color="auto"/>
              <w:right w:val="single" w:sz="4" w:space="0" w:color="auto"/>
            </w:tcBorders>
            <w:shd w:val="clear" w:color="000000" w:fill="FFCC99"/>
            <w:noWrap/>
            <w:vAlign w:val="bottom"/>
            <w:hideMark/>
          </w:tcPr>
          <w:p w14:paraId="738921C3"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3 116 717,90</w:t>
            </w:r>
          </w:p>
        </w:tc>
      </w:tr>
      <w:tr w:rsidR="00B74EF5" w:rsidRPr="00B74EF5" w14:paraId="0373A24E"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4CDE040B"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7C4DE598"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536E02F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3E7566A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130 415,00</w:t>
            </w:r>
          </w:p>
        </w:tc>
        <w:tc>
          <w:tcPr>
            <w:tcW w:w="2268" w:type="dxa"/>
            <w:tcBorders>
              <w:top w:val="nil"/>
              <w:left w:val="nil"/>
              <w:bottom w:val="single" w:sz="4" w:space="0" w:color="auto"/>
              <w:right w:val="single" w:sz="4" w:space="0" w:color="auto"/>
            </w:tcBorders>
            <w:shd w:val="clear" w:color="000000" w:fill="FFCC99"/>
            <w:noWrap/>
            <w:vAlign w:val="bottom"/>
            <w:hideMark/>
          </w:tcPr>
          <w:p w14:paraId="38F0A841"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438 590,00</w:t>
            </w:r>
          </w:p>
        </w:tc>
      </w:tr>
      <w:tr w:rsidR="00B74EF5" w:rsidRPr="00B74EF5" w14:paraId="0376D8D2" w14:textId="77777777" w:rsidTr="00B74EF5">
        <w:trPr>
          <w:trHeight w:val="285"/>
        </w:trPr>
        <w:tc>
          <w:tcPr>
            <w:tcW w:w="1960" w:type="dxa"/>
            <w:tcBorders>
              <w:top w:val="nil"/>
              <w:left w:val="single" w:sz="8" w:space="0" w:color="auto"/>
              <w:bottom w:val="single" w:sz="8" w:space="0" w:color="auto"/>
              <w:right w:val="single" w:sz="4" w:space="0" w:color="auto"/>
            </w:tcBorders>
            <w:shd w:val="clear" w:color="000000" w:fill="99FF99"/>
            <w:noWrap/>
            <w:vAlign w:val="bottom"/>
            <w:hideMark/>
          </w:tcPr>
          <w:p w14:paraId="062631E7"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2018</w:t>
            </w:r>
          </w:p>
        </w:tc>
        <w:tc>
          <w:tcPr>
            <w:tcW w:w="2166" w:type="dxa"/>
            <w:tcBorders>
              <w:top w:val="nil"/>
              <w:left w:val="nil"/>
              <w:bottom w:val="single" w:sz="8" w:space="0" w:color="auto"/>
              <w:right w:val="single" w:sz="4" w:space="0" w:color="auto"/>
            </w:tcBorders>
            <w:shd w:val="clear" w:color="000000" w:fill="FFFF99"/>
            <w:vAlign w:val="bottom"/>
            <w:hideMark/>
          </w:tcPr>
          <w:p w14:paraId="02551ACD"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8 602 892,00</w:t>
            </w:r>
          </w:p>
        </w:tc>
        <w:tc>
          <w:tcPr>
            <w:tcW w:w="1843" w:type="dxa"/>
            <w:tcBorders>
              <w:top w:val="nil"/>
              <w:left w:val="nil"/>
              <w:bottom w:val="single" w:sz="8" w:space="0" w:color="auto"/>
              <w:right w:val="single" w:sz="4" w:space="0" w:color="auto"/>
            </w:tcBorders>
            <w:shd w:val="clear" w:color="000000" w:fill="FFFF99"/>
            <w:noWrap/>
            <w:vAlign w:val="bottom"/>
            <w:hideMark/>
          </w:tcPr>
          <w:p w14:paraId="15F1E093"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399 037,54</w:t>
            </w:r>
          </w:p>
        </w:tc>
        <w:tc>
          <w:tcPr>
            <w:tcW w:w="2126" w:type="dxa"/>
            <w:tcBorders>
              <w:top w:val="nil"/>
              <w:left w:val="nil"/>
              <w:bottom w:val="single" w:sz="8" w:space="0" w:color="auto"/>
              <w:right w:val="single" w:sz="4" w:space="0" w:color="auto"/>
            </w:tcBorders>
            <w:shd w:val="clear" w:color="000000" w:fill="FFFF99"/>
            <w:noWrap/>
            <w:vAlign w:val="bottom"/>
            <w:hideMark/>
          </w:tcPr>
          <w:p w14:paraId="7B41206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6 905 888,69</w:t>
            </w:r>
          </w:p>
        </w:tc>
        <w:tc>
          <w:tcPr>
            <w:tcW w:w="2268" w:type="dxa"/>
            <w:tcBorders>
              <w:top w:val="nil"/>
              <w:left w:val="nil"/>
              <w:bottom w:val="single" w:sz="8" w:space="0" w:color="auto"/>
              <w:right w:val="single" w:sz="4" w:space="0" w:color="auto"/>
            </w:tcBorders>
            <w:shd w:val="clear" w:color="000000" w:fill="FFFF99"/>
            <w:noWrap/>
            <w:vAlign w:val="bottom"/>
            <w:hideMark/>
          </w:tcPr>
          <w:p w14:paraId="0C85C8D9"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3 555 307,90</w:t>
            </w:r>
          </w:p>
        </w:tc>
      </w:tr>
      <w:tr w:rsidR="00B74EF5" w:rsidRPr="00B74EF5" w14:paraId="2434A0D6"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0168954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2019  ---------------- 2019 ------------------ 2019</w:t>
            </w:r>
          </w:p>
        </w:tc>
      </w:tr>
      <w:tr w:rsidR="00B74EF5" w:rsidRPr="00B74EF5" w14:paraId="338BA886"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120B00DF"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4B2D22CC"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1D9CBBA6"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923 392,99</w:t>
            </w:r>
          </w:p>
        </w:tc>
        <w:tc>
          <w:tcPr>
            <w:tcW w:w="2126" w:type="dxa"/>
            <w:tcBorders>
              <w:top w:val="nil"/>
              <w:left w:val="nil"/>
              <w:bottom w:val="single" w:sz="4" w:space="0" w:color="auto"/>
              <w:right w:val="single" w:sz="4" w:space="0" w:color="auto"/>
            </w:tcBorders>
            <w:shd w:val="clear" w:color="000000" w:fill="CCFFCC"/>
            <w:noWrap/>
            <w:vAlign w:val="bottom"/>
            <w:hideMark/>
          </w:tcPr>
          <w:p w14:paraId="20D78EB2"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15 084 877,50</w:t>
            </w:r>
          </w:p>
        </w:tc>
        <w:tc>
          <w:tcPr>
            <w:tcW w:w="2268" w:type="dxa"/>
            <w:tcBorders>
              <w:top w:val="nil"/>
              <w:left w:val="nil"/>
              <w:bottom w:val="single" w:sz="4" w:space="0" w:color="auto"/>
              <w:right w:val="single" w:sz="4" w:space="0" w:color="auto"/>
            </w:tcBorders>
            <w:shd w:val="clear" w:color="000000" w:fill="FFCC99"/>
            <w:noWrap/>
            <w:vAlign w:val="bottom"/>
            <w:hideMark/>
          </w:tcPr>
          <w:p w14:paraId="088A0FC5"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11 542 412,42</w:t>
            </w:r>
          </w:p>
        </w:tc>
      </w:tr>
      <w:tr w:rsidR="00B74EF5" w:rsidRPr="00B74EF5" w14:paraId="3D277E10"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FCCD9C0"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40CA4FA6"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2C5E7649"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3EECA65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908 640,00</w:t>
            </w:r>
          </w:p>
        </w:tc>
        <w:tc>
          <w:tcPr>
            <w:tcW w:w="2268" w:type="dxa"/>
            <w:tcBorders>
              <w:top w:val="nil"/>
              <w:left w:val="nil"/>
              <w:bottom w:val="single" w:sz="4" w:space="0" w:color="auto"/>
              <w:right w:val="single" w:sz="4" w:space="0" w:color="auto"/>
            </w:tcBorders>
            <w:shd w:val="clear" w:color="000000" w:fill="FFCC99"/>
            <w:noWrap/>
            <w:vAlign w:val="bottom"/>
            <w:hideMark/>
          </w:tcPr>
          <w:p w14:paraId="17B60697"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788 870,00</w:t>
            </w:r>
          </w:p>
        </w:tc>
      </w:tr>
      <w:tr w:rsidR="00B74EF5" w:rsidRPr="00B74EF5" w14:paraId="491E09BE" w14:textId="77777777" w:rsidTr="00B74EF5">
        <w:trPr>
          <w:trHeight w:val="285"/>
        </w:trPr>
        <w:tc>
          <w:tcPr>
            <w:tcW w:w="1960" w:type="dxa"/>
            <w:tcBorders>
              <w:top w:val="nil"/>
              <w:left w:val="single" w:sz="8" w:space="0" w:color="auto"/>
              <w:bottom w:val="single" w:sz="8" w:space="0" w:color="auto"/>
              <w:right w:val="single" w:sz="4" w:space="0" w:color="auto"/>
            </w:tcBorders>
            <w:shd w:val="clear" w:color="auto" w:fill="auto"/>
            <w:noWrap/>
            <w:vAlign w:val="bottom"/>
            <w:hideMark/>
          </w:tcPr>
          <w:p w14:paraId="2F1BEFE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2019</w:t>
            </w:r>
          </w:p>
        </w:tc>
        <w:tc>
          <w:tcPr>
            <w:tcW w:w="2166" w:type="dxa"/>
            <w:tcBorders>
              <w:top w:val="nil"/>
              <w:left w:val="nil"/>
              <w:bottom w:val="single" w:sz="8" w:space="0" w:color="auto"/>
              <w:right w:val="single" w:sz="4" w:space="0" w:color="auto"/>
            </w:tcBorders>
            <w:shd w:val="clear" w:color="000000" w:fill="FFFF99"/>
            <w:vAlign w:val="bottom"/>
            <w:hideMark/>
          </w:tcPr>
          <w:p w14:paraId="5DD00ED8"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9 241 417,00</w:t>
            </w:r>
          </w:p>
        </w:tc>
        <w:tc>
          <w:tcPr>
            <w:tcW w:w="1843" w:type="dxa"/>
            <w:tcBorders>
              <w:top w:val="nil"/>
              <w:left w:val="nil"/>
              <w:bottom w:val="single" w:sz="8" w:space="0" w:color="auto"/>
              <w:right w:val="single" w:sz="4" w:space="0" w:color="auto"/>
            </w:tcBorders>
            <w:shd w:val="clear" w:color="000000" w:fill="FFFF99"/>
            <w:noWrap/>
            <w:vAlign w:val="bottom"/>
            <w:hideMark/>
          </w:tcPr>
          <w:p w14:paraId="11D653B5"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1 073 093,10</w:t>
            </w:r>
          </w:p>
        </w:tc>
        <w:tc>
          <w:tcPr>
            <w:tcW w:w="2126" w:type="dxa"/>
            <w:tcBorders>
              <w:top w:val="nil"/>
              <w:left w:val="nil"/>
              <w:bottom w:val="single" w:sz="8" w:space="0" w:color="auto"/>
              <w:right w:val="single" w:sz="4" w:space="0" w:color="auto"/>
            </w:tcBorders>
            <w:shd w:val="clear" w:color="000000" w:fill="FFFF99"/>
            <w:noWrap/>
            <w:vAlign w:val="bottom"/>
            <w:hideMark/>
          </w:tcPr>
          <w:p w14:paraId="6655F50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15 993 517,50</w:t>
            </w:r>
          </w:p>
        </w:tc>
        <w:tc>
          <w:tcPr>
            <w:tcW w:w="2268" w:type="dxa"/>
            <w:tcBorders>
              <w:top w:val="nil"/>
              <w:left w:val="nil"/>
              <w:bottom w:val="single" w:sz="8" w:space="0" w:color="auto"/>
              <w:right w:val="single" w:sz="4" w:space="0" w:color="auto"/>
            </w:tcBorders>
            <w:shd w:val="clear" w:color="000000" w:fill="FFFF99"/>
            <w:noWrap/>
            <w:vAlign w:val="bottom"/>
            <w:hideMark/>
          </w:tcPr>
          <w:p w14:paraId="0AA72408"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12 331 282,42</w:t>
            </w:r>
          </w:p>
        </w:tc>
      </w:tr>
      <w:tr w:rsidR="00B74EF5" w:rsidRPr="00B74EF5" w14:paraId="67B94967"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000000" w:fill="99FF99"/>
            <w:noWrap/>
            <w:vAlign w:val="center"/>
            <w:hideMark/>
          </w:tcPr>
          <w:p w14:paraId="206898C4"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2020  ---------------- 2020 ------------------ 2020</w:t>
            </w:r>
          </w:p>
        </w:tc>
      </w:tr>
      <w:tr w:rsidR="00B74EF5" w:rsidRPr="00B74EF5" w14:paraId="219DF09D"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4A41E915"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5D979D59"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1C7C4D8E"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704 062,66</w:t>
            </w:r>
          </w:p>
        </w:tc>
        <w:tc>
          <w:tcPr>
            <w:tcW w:w="2126" w:type="dxa"/>
            <w:tcBorders>
              <w:top w:val="nil"/>
              <w:left w:val="nil"/>
              <w:bottom w:val="single" w:sz="4" w:space="0" w:color="auto"/>
              <w:right w:val="single" w:sz="4" w:space="0" w:color="auto"/>
            </w:tcBorders>
            <w:shd w:val="clear" w:color="000000" w:fill="CCFFCC"/>
            <w:noWrap/>
            <w:vAlign w:val="bottom"/>
            <w:hideMark/>
          </w:tcPr>
          <w:p w14:paraId="67B7FB7A"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6 464 947,50</w:t>
            </w:r>
          </w:p>
        </w:tc>
        <w:tc>
          <w:tcPr>
            <w:tcW w:w="2268" w:type="dxa"/>
            <w:tcBorders>
              <w:top w:val="nil"/>
              <w:left w:val="nil"/>
              <w:bottom w:val="single" w:sz="4" w:space="0" w:color="auto"/>
              <w:right w:val="single" w:sz="4" w:space="0" w:color="auto"/>
            </w:tcBorders>
            <w:shd w:val="clear" w:color="000000" w:fill="FFCC99"/>
            <w:noWrap/>
            <w:vAlign w:val="bottom"/>
            <w:hideMark/>
          </w:tcPr>
          <w:p w14:paraId="18376EAF"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8 800 783,22</w:t>
            </w:r>
          </w:p>
        </w:tc>
      </w:tr>
      <w:tr w:rsidR="00B74EF5" w:rsidRPr="00B74EF5" w14:paraId="026EEA3D"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432483FD"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6AE8494A"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6C50878D"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686D2D2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135 815,00</w:t>
            </w:r>
          </w:p>
        </w:tc>
        <w:tc>
          <w:tcPr>
            <w:tcW w:w="2268" w:type="dxa"/>
            <w:tcBorders>
              <w:top w:val="nil"/>
              <w:left w:val="nil"/>
              <w:bottom w:val="single" w:sz="4" w:space="0" w:color="auto"/>
              <w:right w:val="single" w:sz="4" w:space="0" w:color="auto"/>
            </w:tcBorders>
            <w:shd w:val="clear" w:color="000000" w:fill="FFCC99"/>
            <w:noWrap/>
            <w:vAlign w:val="bottom"/>
            <w:hideMark/>
          </w:tcPr>
          <w:p w14:paraId="3F6AE20D"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514 865,00</w:t>
            </w:r>
          </w:p>
        </w:tc>
      </w:tr>
      <w:tr w:rsidR="00B74EF5" w:rsidRPr="00B74EF5" w14:paraId="1395D255" w14:textId="77777777" w:rsidTr="00B74EF5">
        <w:trPr>
          <w:trHeight w:val="285"/>
        </w:trPr>
        <w:tc>
          <w:tcPr>
            <w:tcW w:w="1960" w:type="dxa"/>
            <w:tcBorders>
              <w:top w:val="nil"/>
              <w:left w:val="single" w:sz="8" w:space="0" w:color="auto"/>
              <w:bottom w:val="single" w:sz="8" w:space="0" w:color="auto"/>
              <w:right w:val="single" w:sz="4" w:space="0" w:color="auto"/>
            </w:tcBorders>
            <w:shd w:val="clear" w:color="000000" w:fill="99FF99"/>
            <w:noWrap/>
            <w:vAlign w:val="bottom"/>
            <w:hideMark/>
          </w:tcPr>
          <w:p w14:paraId="741CCDA5"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2020</w:t>
            </w:r>
          </w:p>
        </w:tc>
        <w:tc>
          <w:tcPr>
            <w:tcW w:w="2166" w:type="dxa"/>
            <w:tcBorders>
              <w:top w:val="nil"/>
              <w:left w:val="nil"/>
              <w:bottom w:val="single" w:sz="8" w:space="0" w:color="auto"/>
              <w:right w:val="single" w:sz="4" w:space="0" w:color="auto"/>
            </w:tcBorders>
            <w:shd w:val="clear" w:color="000000" w:fill="FFFF99"/>
            <w:vAlign w:val="bottom"/>
            <w:hideMark/>
          </w:tcPr>
          <w:p w14:paraId="100A2896" w14:textId="77777777" w:rsidR="00B74EF5" w:rsidRPr="00B74EF5" w:rsidRDefault="00B74EF5" w:rsidP="00B74EF5">
            <w:pPr>
              <w:spacing w:after="0" w:line="240" w:lineRule="auto"/>
              <w:jc w:val="center"/>
              <w:rPr>
                <w:rFonts w:ascii="Arial" w:eastAsia="Times New Roman" w:hAnsi="Arial" w:cs="Arial"/>
                <w:b/>
                <w:bCs/>
                <w:i/>
                <w:iCs/>
                <w:sz w:val="18"/>
                <w:szCs w:val="18"/>
              </w:rPr>
            </w:pPr>
            <w:r w:rsidRPr="00B74EF5">
              <w:rPr>
                <w:rFonts w:ascii="Arial" w:eastAsia="Times New Roman" w:hAnsi="Arial" w:cs="Arial"/>
                <w:b/>
                <w:bCs/>
                <w:i/>
                <w:iCs/>
                <w:sz w:val="18"/>
                <w:szCs w:val="18"/>
              </w:rPr>
              <w:t>9 354 704,00</w:t>
            </w:r>
          </w:p>
        </w:tc>
        <w:tc>
          <w:tcPr>
            <w:tcW w:w="1843" w:type="dxa"/>
            <w:tcBorders>
              <w:top w:val="nil"/>
              <w:left w:val="nil"/>
              <w:bottom w:val="single" w:sz="8" w:space="0" w:color="auto"/>
              <w:right w:val="single" w:sz="4" w:space="0" w:color="auto"/>
            </w:tcBorders>
            <w:shd w:val="clear" w:color="000000" w:fill="FFFF99"/>
            <w:noWrap/>
            <w:vAlign w:val="bottom"/>
            <w:hideMark/>
          </w:tcPr>
          <w:p w14:paraId="70C3AD6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853 762,77</w:t>
            </w:r>
          </w:p>
        </w:tc>
        <w:tc>
          <w:tcPr>
            <w:tcW w:w="2126" w:type="dxa"/>
            <w:tcBorders>
              <w:top w:val="nil"/>
              <w:left w:val="nil"/>
              <w:bottom w:val="single" w:sz="8" w:space="0" w:color="auto"/>
              <w:right w:val="single" w:sz="4" w:space="0" w:color="auto"/>
            </w:tcBorders>
            <w:shd w:val="clear" w:color="000000" w:fill="FFFF99"/>
            <w:noWrap/>
            <w:vAlign w:val="bottom"/>
            <w:hideMark/>
          </w:tcPr>
          <w:p w14:paraId="1DE10B83"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6 600 762,50</w:t>
            </w:r>
          </w:p>
        </w:tc>
        <w:tc>
          <w:tcPr>
            <w:tcW w:w="2268" w:type="dxa"/>
            <w:tcBorders>
              <w:top w:val="nil"/>
              <w:left w:val="nil"/>
              <w:bottom w:val="single" w:sz="8" w:space="0" w:color="auto"/>
              <w:right w:val="single" w:sz="4" w:space="0" w:color="auto"/>
            </w:tcBorders>
            <w:shd w:val="clear" w:color="000000" w:fill="FFFF99"/>
            <w:noWrap/>
            <w:vAlign w:val="bottom"/>
            <w:hideMark/>
          </w:tcPr>
          <w:p w14:paraId="5D835D0E"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9 315 648,22</w:t>
            </w:r>
          </w:p>
        </w:tc>
      </w:tr>
      <w:tr w:rsidR="00B74EF5" w:rsidRPr="00B74EF5" w14:paraId="6533C043"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75B2BE19"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2021  ---------------- 2021 ------------------ 2021</w:t>
            </w:r>
          </w:p>
        </w:tc>
      </w:tr>
      <w:tr w:rsidR="00B74EF5" w:rsidRPr="00B74EF5" w14:paraId="12AB521B"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0D63BBDC"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462AA184"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6C832070"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523 737,55</w:t>
            </w:r>
          </w:p>
        </w:tc>
        <w:tc>
          <w:tcPr>
            <w:tcW w:w="2126" w:type="dxa"/>
            <w:tcBorders>
              <w:top w:val="nil"/>
              <w:left w:val="nil"/>
              <w:bottom w:val="single" w:sz="4" w:space="0" w:color="auto"/>
              <w:right w:val="single" w:sz="4" w:space="0" w:color="auto"/>
            </w:tcBorders>
            <w:shd w:val="clear" w:color="000000" w:fill="CCFFCC"/>
            <w:noWrap/>
            <w:vAlign w:val="bottom"/>
            <w:hideMark/>
          </w:tcPr>
          <w:p w14:paraId="7D806092"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4105B2DB"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6 546 719,40</w:t>
            </w:r>
          </w:p>
        </w:tc>
      </w:tr>
      <w:tr w:rsidR="00B74EF5" w:rsidRPr="00B74EF5" w14:paraId="325E3869"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179816B"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3D66B4C5"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2831CDA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19AC0CBD"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1 135 167,50</w:t>
            </w:r>
          </w:p>
        </w:tc>
        <w:tc>
          <w:tcPr>
            <w:tcW w:w="2268" w:type="dxa"/>
            <w:tcBorders>
              <w:top w:val="nil"/>
              <w:left w:val="nil"/>
              <w:bottom w:val="single" w:sz="4" w:space="0" w:color="auto"/>
              <w:right w:val="single" w:sz="4" w:space="0" w:color="auto"/>
            </w:tcBorders>
            <w:shd w:val="clear" w:color="000000" w:fill="FFCC99"/>
            <w:noWrap/>
            <w:vAlign w:val="bottom"/>
            <w:hideMark/>
          </w:tcPr>
          <w:p w14:paraId="78716C8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573 765,75</w:t>
            </w:r>
          </w:p>
        </w:tc>
      </w:tr>
      <w:tr w:rsidR="00B74EF5" w:rsidRPr="00B74EF5" w14:paraId="6EEF2E7E" w14:textId="77777777" w:rsidTr="00B74EF5">
        <w:trPr>
          <w:trHeight w:val="285"/>
        </w:trPr>
        <w:tc>
          <w:tcPr>
            <w:tcW w:w="1960" w:type="dxa"/>
            <w:tcBorders>
              <w:top w:val="nil"/>
              <w:left w:val="single" w:sz="8" w:space="0" w:color="auto"/>
              <w:bottom w:val="single" w:sz="8" w:space="0" w:color="auto"/>
              <w:right w:val="single" w:sz="4" w:space="0" w:color="auto"/>
            </w:tcBorders>
            <w:shd w:val="clear" w:color="auto" w:fill="auto"/>
            <w:noWrap/>
            <w:vAlign w:val="bottom"/>
            <w:hideMark/>
          </w:tcPr>
          <w:p w14:paraId="63A6F03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2021</w:t>
            </w:r>
          </w:p>
        </w:tc>
        <w:tc>
          <w:tcPr>
            <w:tcW w:w="2166" w:type="dxa"/>
            <w:tcBorders>
              <w:top w:val="nil"/>
              <w:left w:val="nil"/>
              <w:bottom w:val="single" w:sz="8" w:space="0" w:color="auto"/>
              <w:right w:val="single" w:sz="4" w:space="0" w:color="auto"/>
            </w:tcBorders>
            <w:shd w:val="clear" w:color="000000" w:fill="FFFF99"/>
            <w:noWrap/>
            <w:vAlign w:val="bottom"/>
            <w:hideMark/>
          </w:tcPr>
          <w:p w14:paraId="165AEA58"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 </w:t>
            </w:r>
          </w:p>
        </w:tc>
        <w:tc>
          <w:tcPr>
            <w:tcW w:w="1843" w:type="dxa"/>
            <w:tcBorders>
              <w:top w:val="nil"/>
              <w:left w:val="nil"/>
              <w:bottom w:val="single" w:sz="8" w:space="0" w:color="auto"/>
              <w:right w:val="single" w:sz="4" w:space="0" w:color="auto"/>
            </w:tcBorders>
            <w:shd w:val="clear" w:color="000000" w:fill="FFFF99"/>
            <w:noWrap/>
            <w:vAlign w:val="bottom"/>
            <w:hideMark/>
          </w:tcPr>
          <w:p w14:paraId="38DCDC74"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673 437,66</w:t>
            </w:r>
          </w:p>
        </w:tc>
        <w:tc>
          <w:tcPr>
            <w:tcW w:w="2126" w:type="dxa"/>
            <w:tcBorders>
              <w:top w:val="nil"/>
              <w:left w:val="nil"/>
              <w:bottom w:val="single" w:sz="8" w:space="0" w:color="auto"/>
              <w:right w:val="single" w:sz="4" w:space="0" w:color="auto"/>
            </w:tcBorders>
            <w:shd w:val="clear" w:color="000000" w:fill="FFFF99"/>
            <w:noWrap/>
            <w:vAlign w:val="bottom"/>
            <w:hideMark/>
          </w:tcPr>
          <w:p w14:paraId="0C02279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1 135 167,50</w:t>
            </w:r>
          </w:p>
        </w:tc>
        <w:tc>
          <w:tcPr>
            <w:tcW w:w="2268" w:type="dxa"/>
            <w:tcBorders>
              <w:top w:val="nil"/>
              <w:left w:val="nil"/>
              <w:bottom w:val="single" w:sz="8" w:space="0" w:color="auto"/>
              <w:right w:val="single" w:sz="4" w:space="0" w:color="auto"/>
            </w:tcBorders>
            <w:shd w:val="clear" w:color="000000" w:fill="FFFF99"/>
            <w:noWrap/>
            <w:vAlign w:val="bottom"/>
            <w:hideMark/>
          </w:tcPr>
          <w:p w14:paraId="49B63A80"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7 120 485,15</w:t>
            </w:r>
          </w:p>
        </w:tc>
      </w:tr>
      <w:tr w:rsidR="00B74EF5" w:rsidRPr="00B74EF5" w14:paraId="2FE8BAD9" w14:textId="77777777" w:rsidTr="00B74EF5">
        <w:trPr>
          <w:trHeight w:val="300"/>
        </w:trPr>
        <w:tc>
          <w:tcPr>
            <w:tcW w:w="10363" w:type="dxa"/>
            <w:gridSpan w:val="5"/>
            <w:tcBorders>
              <w:top w:val="single" w:sz="8" w:space="0" w:color="auto"/>
              <w:left w:val="single" w:sz="8" w:space="0" w:color="auto"/>
              <w:bottom w:val="single" w:sz="4" w:space="0" w:color="000000"/>
              <w:right w:val="single" w:sz="4" w:space="0" w:color="auto"/>
            </w:tcBorders>
            <w:shd w:val="clear" w:color="000000" w:fill="99FF99"/>
            <w:noWrap/>
            <w:vAlign w:val="center"/>
            <w:hideMark/>
          </w:tcPr>
          <w:p w14:paraId="68D78A7D"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2022  ---------------- 2022 ------------------ 2022</w:t>
            </w:r>
          </w:p>
        </w:tc>
      </w:tr>
      <w:tr w:rsidR="00B74EF5" w:rsidRPr="00B74EF5" w14:paraId="3694F4E9" w14:textId="77777777" w:rsidTr="00B74EF5">
        <w:trPr>
          <w:trHeight w:val="285"/>
        </w:trPr>
        <w:tc>
          <w:tcPr>
            <w:tcW w:w="1960" w:type="dxa"/>
            <w:tcBorders>
              <w:top w:val="nil"/>
              <w:left w:val="nil"/>
              <w:bottom w:val="single" w:sz="4" w:space="0" w:color="auto"/>
              <w:right w:val="single" w:sz="4" w:space="0" w:color="auto"/>
            </w:tcBorders>
            <w:shd w:val="clear" w:color="000000" w:fill="99FF99"/>
            <w:noWrap/>
            <w:vAlign w:val="bottom"/>
            <w:hideMark/>
          </w:tcPr>
          <w:p w14:paraId="0E54DDB8"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68CA88E0"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3CF1D995"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444 788,39</w:t>
            </w:r>
          </w:p>
        </w:tc>
        <w:tc>
          <w:tcPr>
            <w:tcW w:w="2126" w:type="dxa"/>
            <w:tcBorders>
              <w:top w:val="nil"/>
              <w:left w:val="nil"/>
              <w:bottom w:val="single" w:sz="4" w:space="0" w:color="auto"/>
              <w:right w:val="single" w:sz="4" w:space="0" w:color="auto"/>
            </w:tcBorders>
            <w:shd w:val="clear" w:color="000000" w:fill="CCFFCC"/>
            <w:noWrap/>
            <w:vAlign w:val="bottom"/>
            <w:hideMark/>
          </w:tcPr>
          <w:p w14:paraId="25350BA9"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7F0D26C3"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5 559 854,85</w:t>
            </w:r>
          </w:p>
        </w:tc>
      </w:tr>
      <w:tr w:rsidR="00B74EF5" w:rsidRPr="00B74EF5" w14:paraId="5FE28F9B"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0B84620B"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70B1F9D7"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CCFFFF"/>
            <w:noWrap/>
            <w:vAlign w:val="bottom"/>
            <w:hideMark/>
          </w:tcPr>
          <w:p w14:paraId="76CA8FA2"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53F534A8"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110 565,00</w:t>
            </w:r>
          </w:p>
        </w:tc>
        <w:tc>
          <w:tcPr>
            <w:tcW w:w="2268" w:type="dxa"/>
            <w:tcBorders>
              <w:top w:val="nil"/>
              <w:left w:val="nil"/>
              <w:bottom w:val="single" w:sz="4" w:space="0" w:color="auto"/>
              <w:right w:val="single" w:sz="4" w:space="0" w:color="auto"/>
            </w:tcBorders>
            <w:shd w:val="clear" w:color="000000" w:fill="FFCC99"/>
            <w:noWrap/>
            <w:vAlign w:val="bottom"/>
            <w:hideMark/>
          </w:tcPr>
          <w:p w14:paraId="00F20626"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416 145,75</w:t>
            </w:r>
          </w:p>
        </w:tc>
      </w:tr>
      <w:tr w:rsidR="00B74EF5" w:rsidRPr="00B74EF5" w14:paraId="6C2DDA2A" w14:textId="77777777" w:rsidTr="00B74EF5">
        <w:trPr>
          <w:trHeight w:val="285"/>
        </w:trPr>
        <w:tc>
          <w:tcPr>
            <w:tcW w:w="1960" w:type="dxa"/>
            <w:tcBorders>
              <w:top w:val="nil"/>
              <w:left w:val="single" w:sz="8" w:space="0" w:color="auto"/>
              <w:bottom w:val="single" w:sz="8" w:space="0" w:color="auto"/>
              <w:right w:val="single" w:sz="4" w:space="0" w:color="auto"/>
            </w:tcBorders>
            <w:shd w:val="clear" w:color="000000" w:fill="99FF99"/>
            <w:noWrap/>
            <w:vAlign w:val="bottom"/>
            <w:hideMark/>
          </w:tcPr>
          <w:p w14:paraId="11AC292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2022</w:t>
            </w:r>
          </w:p>
        </w:tc>
        <w:tc>
          <w:tcPr>
            <w:tcW w:w="2166" w:type="dxa"/>
            <w:tcBorders>
              <w:top w:val="nil"/>
              <w:left w:val="nil"/>
              <w:bottom w:val="single" w:sz="8" w:space="0" w:color="auto"/>
              <w:right w:val="single" w:sz="4" w:space="0" w:color="auto"/>
            </w:tcBorders>
            <w:shd w:val="clear" w:color="000000" w:fill="FFFF99"/>
            <w:noWrap/>
            <w:vAlign w:val="bottom"/>
            <w:hideMark/>
          </w:tcPr>
          <w:p w14:paraId="14B41F3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 </w:t>
            </w:r>
          </w:p>
        </w:tc>
        <w:tc>
          <w:tcPr>
            <w:tcW w:w="1843" w:type="dxa"/>
            <w:tcBorders>
              <w:top w:val="nil"/>
              <w:left w:val="nil"/>
              <w:bottom w:val="single" w:sz="8" w:space="0" w:color="auto"/>
              <w:right w:val="single" w:sz="4" w:space="0" w:color="auto"/>
            </w:tcBorders>
            <w:shd w:val="clear" w:color="000000" w:fill="FFFF99"/>
            <w:noWrap/>
            <w:vAlign w:val="bottom"/>
            <w:hideMark/>
          </w:tcPr>
          <w:p w14:paraId="5D1ECE48"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594 488,50</w:t>
            </w:r>
          </w:p>
        </w:tc>
        <w:tc>
          <w:tcPr>
            <w:tcW w:w="2126" w:type="dxa"/>
            <w:tcBorders>
              <w:top w:val="nil"/>
              <w:left w:val="nil"/>
              <w:bottom w:val="single" w:sz="8" w:space="0" w:color="auto"/>
              <w:right w:val="single" w:sz="4" w:space="0" w:color="auto"/>
            </w:tcBorders>
            <w:shd w:val="clear" w:color="000000" w:fill="FFFF99"/>
            <w:noWrap/>
            <w:vAlign w:val="bottom"/>
            <w:hideMark/>
          </w:tcPr>
          <w:p w14:paraId="01DC94AD"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110 565,00</w:t>
            </w:r>
          </w:p>
        </w:tc>
        <w:tc>
          <w:tcPr>
            <w:tcW w:w="2268" w:type="dxa"/>
            <w:tcBorders>
              <w:top w:val="nil"/>
              <w:left w:val="nil"/>
              <w:bottom w:val="single" w:sz="8" w:space="0" w:color="auto"/>
              <w:right w:val="single" w:sz="4" w:space="0" w:color="auto"/>
            </w:tcBorders>
            <w:shd w:val="clear" w:color="000000" w:fill="FFFF99"/>
            <w:noWrap/>
            <w:vAlign w:val="bottom"/>
            <w:hideMark/>
          </w:tcPr>
          <w:p w14:paraId="06404F46"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5 976 000,60</w:t>
            </w:r>
          </w:p>
        </w:tc>
      </w:tr>
      <w:tr w:rsidR="00B74EF5" w:rsidRPr="00B74EF5" w14:paraId="3CE71C9B" w14:textId="77777777" w:rsidTr="00B74EF5">
        <w:trPr>
          <w:trHeight w:val="300"/>
        </w:trPr>
        <w:tc>
          <w:tcPr>
            <w:tcW w:w="10363" w:type="dxa"/>
            <w:gridSpan w:val="5"/>
            <w:tcBorders>
              <w:top w:val="nil"/>
              <w:left w:val="single" w:sz="8" w:space="0" w:color="auto"/>
              <w:bottom w:val="single" w:sz="4" w:space="0" w:color="000000"/>
              <w:right w:val="nil"/>
            </w:tcBorders>
            <w:shd w:val="clear" w:color="auto" w:fill="auto"/>
            <w:noWrap/>
            <w:vAlign w:val="center"/>
            <w:hideMark/>
          </w:tcPr>
          <w:p w14:paraId="361774C3"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2023  ---------------- 2023 ------------------ 2023</w:t>
            </w:r>
          </w:p>
        </w:tc>
      </w:tr>
      <w:tr w:rsidR="00B74EF5" w:rsidRPr="00B74EF5" w14:paraId="3B05897D" w14:textId="77777777" w:rsidTr="00B74EF5">
        <w:trPr>
          <w:trHeight w:val="285"/>
        </w:trPr>
        <w:tc>
          <w:tcPr>
            <w:tcW w:w="1960" w:type="dxa"/>
            <w:tcBorders>
              <w:top w:val="nil"/>
              <w:left w:val="nil"/>
              <w:bottom w:val="single" w:sz="4" w:space="0" w:color="auto"/>
              <w:right w:val="single" w:sz="4" w:space="0" w:color="auto"/>
            </w:tcBorders>
            <w:shd w:val="clear" w:color="auto" w:fill="auto"/>
            <w:noWrap/>
            <w:vAlign w:val="bottom"/>
            <w:hideMark/>
          </w:tcPr>
          <w:p w14:paraId="09412FE4"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24D6FF8B"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6716366F"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136 194,89</w:t>
            </w:r>
          </w:p>
        </w:tc>
        <w:tc>
          <w:tcPr>
            <w:tcW w:w="2126" w:type="dxa"/>
            <w:tcBorders>
              <w:top w:val="nil"/>
              <w:left w:val="nil"/>
              <w:bottom w:val="single" w:sz="4" w:space="0" w:color="auto"/>
              <w:right w:val="single" w:sz="4" w:space="0" w:color="auto"/>
            </w:tcBorders>
            <w:shd w:val="clear" w:color="000000" w:fill="CCFFCC"/>
            <w:noWrap/>
            <w:vAlign w:val="bottom"/>
            <w:hideMark/>
          </w:tcPr>
          <w:p w14:paraId="5A333057"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78D268A5"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1 702 436,18</w:t>
            </w:r>
          </w:p>
        </w:tc>
      </w:tr>
      <w:tr w:rsidR="00B74EF5" w:rsidRPr="00B74EF5" w14:paraId="68B15FA4" w14:textId="77777777" w:rsidTr="00B74EF5">
        <w:trPr>
          <w:trHeight w:val="285"/>
        </w:trPr>
        <w:tc>
          <w:tcPr>
            <w:tcW w:w="1960" w:type="dxa"/>
            <w:tcBorders>
              <w:top w:val="nil"/>
              <w:left w:val="single" w:sz="8" w:space="0" w:color="auto"/>
              <w:bottom w:val="single" w:sz="4" w:space="0" w:color="auto"/>
              <w:right w:val="single" w:sz="4" w:space="0" w:color="auto"/>
            </w:tcBorders>
            <w:shd w:val="clear" w:color="auto" w:fill="auto"/>
            <w:noWrap/>
            <w:vAlign w:val="bottom"/>
            <w:hideMark/>
          </w:tcPr>
          <w:p w14:paraId="5E784A83"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47CF7615"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7CF1CC15"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149 700,11</w:t>
            </w:r>
          </w:p>
        </w:tc>
        <w:tc>
          <w:tcPr>
            <w:tcW w:w="2126" w:type="dxa"/>
            <w:tcBorders>
              <w:top w:val="nil"/>
              <w:left w:val="nil"/>
              <w:bottom w:val="single" w:sz="4" w:space="0" w:color="auto"/>
              <w:right w:val="single" w:sz="4" w:space="0" w:color="auto"/>
            </w:tcBorders>
            <w:shd w:val="clear" w:color="000000" w:fill="CCFFCC"/>
            <w:noWrap/>
            <w:vAlign w:val="bottom"/>
            <w:hideMark/>
          </w:tcPr>
          <w:p w14:paraId="632F3444"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110 065,00</w:t>
            </w:r>
          </w:p>
        </w:tc>
        <w:tc>
          <w:tcPr>
            <w:tcW w:w="2268" w:type="dxa"/>
            <w:tcBorders>
              <w:top w:val="nil"/>
              <w:left w:val="nil"/>
              <w:bottom w:val="single" w:sz="4" w:space="0" w:color="auto"/>
              <w:right w:val="single" w:sz="4" w:space="0" w:color="auto"/>
            </w:tcBorders>
            <w:shd w:val="clear" w:color="000000" w:fill="FFCC99"/>
            <w:noWrap/>
            <w:vAlign w:val="bottom"/>
            <w:hideMark/>
          </w:tcPr>
          <w:p w14:paraId="24F5119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415 645,75</w:t>
            </w:r>
          </w:p>
        </w:tc>
      </w:tr>
      <w:tr w:rsidR="00B74EF5" w:rsidRPr="00B74EF5" w14:paraId="38CCC3D2" w14:textId="77777777" w:rsidTr="00B74EF5">
        <w:trPr>
          <w:trHeight w:val="285"/>
        </w:trPr>
        <w:tc>
          <w:tcPr>
            <w:tcW w:w="1960" w:type="dxa"/>
            <w:tcBorders>
              <w:top w:val="nil"/>
              <w:left w:val="single" w:sz="8" w:space="0" w:color="auto"/>
              <w:bottom w:val="single" w:sz="8" w:space="0" w:color="auto"/>
              <w:right w:val="single" w:sz="4" w:space="0" w:color="auto"/>
            </w:tcBorders>
            <w:shd w:val="clear" w:color="auto" w:fill="auto"/>
            <w:noWrap/>
            <w:vAlign w:val="bottom"/>
            <w:hideMark/>
          </w:tcPr>
          <w:p w14:paraId="77AF0BD6"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2023</w:t>
            </w:r>
          </w:p>
        </w:tc>
        <w:tc>
          <w:tcPr>
            <w:tcW w:w="2166" w:type="dxa"/>
            <w:tcBorders>
              <w:top w:val="nil"/>
              <w:left w:val="nil"/>
              <w:bottom w:val="single" w:sz="8" w:space="0" w:color="auto"/>
              <w:right w:val="single" w:sz="4" w:space="0" w:color="auto"/>
            </w:tcBorders>
            <w:shd w:val="clear" w:color="000000" w:fill="FFFF99"/>
            <w:noWrap/>
            <w:vAlign w:val="bottom"/>
            <w:hideMark/>
          </w:tcPr>
          <w:p w14:paraId="11661B36"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N.A.</w:t>
            </w:r>
          </w:p>
        </w:tc>
        <w:tc>
          <w:tcPr>
            <w:tcW w:w="1843" w:type="dxa"/>
            <w:tcBorders>
              <w:top w:val="nil"/>
              <w:left w:val="nil"/>
              <w:bottom w:val="single" w:sz="8" w:space="0" w:color="auto"/>
              <w:right w:val="single" w:sz="4" w:space="0" w:color="auto"/>
            </w:tcBorders>
            <w:shd w:val="clear" w:color="000000" w:fill="FFFF99"/>
            <w:noWrap/>
            <w:vAlign w:val="bottom"/>
            <w:hideMark/>
          </w:tcPr>
          <w:p w14:paraId="152EB3D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285 895,00</w:t>
            </w:r>
          </w:p>
        </w:tc>
        <w:tc>
          <w:tcPr>
            <w:tcW w:w="2126" w:type="dxa"/>
            <w:tcBorders>
              <w:top w:val="nil"/>
              <w:left w:val="nil"/>
              <w:bottom w:val="single" w:sz="8" w:space="0" w:color="auto"/>
              <w:right w:val="single" w:sz="4" w:space="0" w:color="auto"/>
            </w:tcBorders>
            <w:shd w:val="clear" w:color="000000" w:fill="FFFF99"/>
            <w:noWrap/>
            <w:vAlign w:val="bottom"/>
            <w:hideMark/>
          </w:tcPr>
          <w:p w14:paraId="3BB72FE7"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110 065,00</w:t>
            </w:r>
          </w:p>
        </w:tc>
        <w:tc>
          <w:tcPr>
            <w:tcW w:w="2268" w:type="dxa"/>
            <w:tcBorders>
              <w:top w:val="nil"/>
              <w:left w:val="nil"/>
              <w:bottom w:val="single" w:sz="8" w:space="0" w:color="auto"/>
              <w:right w:val="single" w:sz="4" w:space="0" w:color="auto"/>
            </w:tcBorders>
            <w:shd w:val="clear" w:color="000000" w:fill="FFFF99"/>
            <w:noWrap/>
            <w:vAlign w:val="bottom"/>
            <w:hideMark/>
          </w:tcPr>
          <w:p w14:paraId="7DB58C1A"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2 118 081,93</w:t>
            </w:r>
          </w:p>
        </w:tc>
      </w:tr>
      <w:tr w:rsidR="00B74EF5" w:rsidRPr="00B74EF5" w14:paraId="5064250A" w14:textId="77777777" w:rsidTr="00B74EF5">
        <w:trPr>
          <w:trHeight w:val="300"/>
        </w:trPr>
        <w:tc>
          <w:tcPr>
            <w:tcW w:w="10363" w:type="dxa"/>
            <w:gridSpan w:val="5"/>
            <w:tcBorders>
              <w:top w:val="nil"/>
              <w:left w:val="single" w:sz="8" w:space="0" w:color="auto"/>
              <w:bottom w:val="single" w:sz="4" w:space="0" w:color="000000"/>
              <w:right w:val="nil"/>
            </w:tcBorders>
            <w:shd w:val="clear" w:color="000000" w:fill="99FF99"/>
            <w:noWrap/>
            <w:vAlign w:val="center"/>
            <w:hideMark/>
          </w:tcPr>
          <w:p w14:paraId="22812B3A"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2024  ---------------- 2024 ------------------ 2024</w:t>
            </w:r>
          </w:p>
        </w:tc>
      </w:tr>
      <w:tr w:rsidR="00B74EF5" w:rsidRPr="00B74EF5" w14:paraId="1970A5F6" w14:textId="77777777" w:rsidTr="00B74EF5">
        <w:trPr>
          <w:trHeight w:val="285"/>
        </w:trPr>
        <w:tc>
          <w:tcPr>
            <w:tcW w:w="1960" w:type="dxa"/>
            <w:tcBorders>
              <w:top w:val="nil"/>
              <w:left w:val="nil"/>
              <w:bottom w:val="single" w:sz="4" w:space="0" w:color="auto"/>
              <w:right w:val="single" w:sz="4" w:space="0" w:color="auto"/>
            </w:tcBorders>
            <w:shd w:val="clear" w:color="000000" w:fill="99FF99"/>
            <w:noWrap/>
            <w:vAlign w:val="bottom"/>
            <w:hideMark/>
          </w:tcPr>
          <w:p w14:paraId="2CEDC9B9" w14:textId="77777777" w:rsidR="00B74EF5" w:rsidRPr="00B74EF5" w:rsidRDefault="00B74EF5" w:rsidP="00B74EF5">
            <w:pPr>
              <w:spacing w:after="0" w:line="240" w:lineRule="auto"/>
              <w:jc w:val="center"/>
              <w:rPr>
                <w:rFonts w:ascii="Arial" w:eastAsia="Times New Roman" w:hAnsi="Arial" w:cs="Arial"/>
                <w:b/>
                <w:bCs/>
                <w:sz w:val="16"/>
                <w:szCs w:val="16"/>
              </w:rPr>
            </w:pPr>
            <w:proofErr w:type="spellStart"/>
            <w:r w:rsidRPr="00B74EF5">
              <w:rPr>
                <w:rFonts w:ascii="Arial" w:eastAsia="Times New Roman" w:hAnsi="Arial" w:cs="Arial"/>
                <w:b/>
                <w:bCs/>
                <w:sz w:val="16"/>
                <w:szCs w:val="16"/>
              </w:rPr>
              <w:t>Projects</w:t>
            </w:r>
            <w:proofErr w:type="spellEnd"/>
          </w:p>
        </w:tc>
        <w:tc>
          <w:tcPr>
            <w:tcW w:w="2166" w:type="dxa"/>
            <w:tcBorders>
              <w:top w:val="nil"/>
              <w:left w:val="nil"/>
              <w:bottom w:val="nil"/>
              <w:right w:val="nil"/>
            </w:tcBorders>
            <w:shd w:val="clear" w:color="000000" w:fill="4EE257"/>
            <w:noWrap/>
            <w:vAlign w:val="bottom"/>
            <w:hideMark/>
          </w:tcPr>
          <w:p w14:paraId="396096EC" w14:textId="77777777" w:rsidR="00B74EF5" w:rsidRPr="00B74EF5" w:rsidRDefault="00B74EF5" w:rsidP="00B74EF5">
            <w:pPr>
              <w:spacing w:after="0" w:line="240" w:lineRule="auto"/>
              <w:rPr>
                <w:rFonts w:ascii="Arial" w:eastAsia="Times New Roman" w:hAnsi="Arial" w:cs="Arial"/>
                <w:b/>
                <w:bCs/>
                <w:sz w:val="16"/>
                <w:szCs w:val="16"/>
              </w:rPr>
            </w:pPr>
            <w:r w:rsidRPr="00B74EF5">
              <w:rPr>
                <w:rFonts w:ascii="Arial" w:eastAsia="Times New Roman" w:hAnsi="Arial" w:cs="Arial"/>
                <w:b/>
                <w:b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498AB7F9" w14:textId="77777777" w:rsidR="00B74EF5" w:rsidRPr="00B74EF5" w:rsidRDefault="00B74EF5" w:rsidP="00B74EF5">
            <w:pPr>
              <w:spacing w:after="0" w:line="240" w:lineRule="auto"/>
              <w:jc w:val="center"/>
              <w:rPr>
                <w:rFonts w:ascii="Arial" w:eastAsia="Times New Roman" w:hAnsi="Arial" w:cs="Arial"/>
                <w:color w:val="000000"/>
                <w:sz w:val="16"/>
                <w:szCs w:val="16"/>
              </w:rPr>
            </w:pPr>
            <w:r w:rsidRPr="00B74EF5">
              <w:rPr>
                <w:rFonts w:ascii="Arial" w:eastAsia="Times New Roman" w:hAnsi="Arial" w:cs="Arial"/>
                <w:color w:val="000000"/>
                <w:sz w:val="16"/>
                <w:szCs w:val="16"/>
              </w:rPr>
              <w:t>0,00</w:t>
            </w:r>
          </w:p>
        </w:tc>
        <w:tc>
          <w:tcPr>
            <w:tcW w:w="2126" w:type="dxa"/>
            <w:tcBorders>
              <w:top w:val="nil"/>
              <w:left w:val="nil"/>
              <w:bottom w:val="single" w:sz="4" w:space="0" w:color="auto"/>
              <w:right w:val="single" w:sz="4" w:space="0" w:color="auto"/>
            </w:tcBorders>
            <w:shd w:val="clear" w:color="000000" w:fill="CCFFCC"/>
            <w:noWrap/>
            <w:vAlign w:val="bottom"/>
            <w:hideMark/>
          </w:tcPr>
          <w:p w14:paraId="69C095EF"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c>
          <w:tcPr>
            <w:tcW w:w="2268" w:type="dxa"/>
            <w:tcBorders>
              <w:top w:val="nil"/>
              <w:left w:val="nil"/>
              <w:bottom w:val="single" w:sz="4" w:space="0" w:color="auto"/>
              <w:right w:val="single" w:sz="4" w:space="0" w:color="auto"/>
            </w:tcBorders>
            <w:shd w:val="clear" w:color="000000" w:fill="FFCC99"/>
            <w:noWrap/>
            <w:vAlign w:val="bottom"/>
            <w:hideMark/>
          </w:tcPr>
          <w:p w14:paraId="1C44E0CC"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0,00</w:t>
            </w:r>
          </w:p>
        </w:tc>
      </w:tr>
      <w:tr w:rsidR="00B74EF5" w:rsidRPr="00B74EF5" w14:paraId="24B2D4AB" w14:textId="77777777" w:rsidTr="00B74EF5">
        <w:trPr>
          <w:trHeight w:val="285"/>
        </w:trPr>
        <w:tc>
          <w:tcPr>
            <w:tcW w:w="1960" w:type="dxa"/>
            <w:tcBorders>
              <w:top w:val="nil"/>
              <w:left w:val="single" w:sz="8" w:space="0" w:color="auto"/>
              <w:bottom w:val="single" w:sz="4" w:space="0" w:color="auto"/>
              <w:right w:val="single" w:sz="4" w:space="0" w:color="auto"/>
            </w:tcBorders>
            <w:shd w:val="clear" w:color="000000" w:fill="99FF99"/>
            <w:noWrap/>
            <w:vAlign w:val="bottom"/>
            <w:hideMark/>
          </w:tcPr>
          <w:p w14:paraId="119B9C85" w14:textId="77777777" w:rsidR="00B74EF5" w:rsidRPr="00B74EF5" w:rsidRDefault="00B74EF5" w:rsidP="00B74EF5">
            <w:pPr>
              <w:spacing w:after="0" w:line="240" w:lineRule="auto"/>
              <w:jc w:val="center"/>
              <w:rPr>
                <w:rFonts w:ascii="Arial" w:eastAsia="Times New Roman" w:hAnsi="Arial" w:cs="Arial"/>
                <w:b/>
                <w:bCs/>
                <w:i/>
                <w:iCs/>
                <w:sz w:val="16"/>
                <w:szCs w:val="16"/>
              </w:rPr>
            </w:pPr>
            <w:r w:rsidRPr="00B74EF5">
              <w:rPr>
                <w:rFonts w:ascii="Arial" w:eastAsia="Times New Roman" w:hAnsi="Arial" w:cs="Arial"/>
                <w:b/>
                <w:bCs/>
                <w:i/>
                <w:iCs/>
                <w:sz w:val="16"/>
                <w:szCs w:val="16"/>
              </w:rPr>
              <w:t>TA</w:t>
            </w:r>
          </w:p>
        </w:tc>
        <w:tc>
          <w:tcPr>
            <w:tcW w:w="2166" w:type="dxa"/>
            <w:tcBorders>
              <w:top w:val="nil"/>
              <w:left w:val="nil"/>
              <w:bottom w:val="single" w:sz="4" w:space="0" w:color="auto"/>
              <w:right w:val="nil"/>
            </w:tcBorders>
            <w:shd w:val="clear" w:color="000000" w:fill="4EE257"/>
            <w:noWrap/>
            <w:vAlign w:val="bottom"/>
            <w:hideMark/>
          </w:tcPr>
          <w:p w14:paraId="19D05F1A" w14:textId="77777777" w:rsidR="00B74EF5" w:rsidRPr="00B74EF5" w:rsidRDefault="00B74EF5" w:rsidP="00B74EF5">
            <w:pPr>
              <w:spacing w:after="0" w:line="240" w:lineRule="auto"/>
              <w:rPr>
                <w:rFonts w:ascii="Arial" w:eastAsia="Times New Roman" w:hAnsi="Arial" w:cs="Arial"/>
                <w:b/>
                <w:bCs/>
                <w:i/>
                <w:iCs/>
                <w:sz w:val="16"/>
                <w:szCs w:val="16"/>
              </w:rPr>
            </w:pPr>
            <w:r w:rsidRPr="00B74EF5">
              <w:rPr>
                <w:rFonts w:ascii="Arial" w:eastAsia="Times New Roman" w:hAnsi="Arial" w:cs="Arial"/>
                <w:b/>
                <w:bCs/>
                <w:i/>
                <w:iCs/>
                <w:sz w:val="16"/>
                <w:szCs w:val="16"/>
              </w:rPr>
              <w:t> </w:t>
            </w:r>
          </w:p>
        </w:tc>
        <w:tc>
          <w:tcPr>
            <w:tcW w:w="1843" w:type="dxa"/>
            <w:tcBorders>
              <w:top w:val="nil"/>
              <w:left w:val="single" w:sz="4" w:space="0" w:color="auto"/>
              <w:bottom w:val="single" w:sz="4" w:space="0" w:color="auto"/>
              <w:right w:val="single" w:sz="4" w:space="0" w:color="auto"/>
            </w:tcBorders>
            <w:shd w:val="clear" w:color="000000" w:fill="4EE257"/>
            <w:noWrap/>
            <w:vAlign w:val="bottom"/>
            <w:hideMark/>
          </w:tcPr>
          <w:p w14:paraId="69DD388B"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115 097,52</w:t>
            </w:r>
          </w:p>
        </w:tc>
        <w:tc>
          <w:tcPr>
            <w:tcW w:w="2126" w:type="dxa"/>
            <w:tcBorders>
              <w:top w:val="nil"/>
              <w:left w:val="nil"/>
              <w:bottom w:val="single" w:sz="4" w:space="0" w:color="auto"/>
              <w:right w:val="single" w:sz="4" w:space="0" w:color="auto"/>
            </w:tcBorders>
            <w:shd w:val="clear" w:color="000000" w:fill="CCFFCC"/>
            <w:noWrap/>
            <w:vAlign w:val="bottom"/>
            <w:hideMark/>
          </w:tcPr>
          <w:p w14:paraId="66CF0D00"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130 982,50</w:t>
            </w:r>
          </w:p>
        </w:tc>
        <w:tc>
          <w:tcPr>
            <w:tcW w:w="2268" w:type="dxa"/>
            <w:tcBorders>
              <w:top w:val="nil"/>
              <w:left w:val="nil"/>
              <w:bottom w:val="single" w:sz="4" w:space="0" w:color="auto"/>
              <w:right w:val="single" w:sz="4" w:space="0" w:color="auto"/>
            </w:tcBorders>
            <w:shd w:val="clear" w:color="000000" w:fill="FFCC99"/>
            <w:noWrap/>
            <w:vAlign w:val="bottom"/>
            <w:hideMark/>
          </w:tcPr>
          <w:p w14:paraId="3032B768" w14:textId="77777777" w:rsidR="00B74EF5" w:rsidRPr="00B74EF5" w:rsidRDefault="00B74EF5" w:rsidP="00B74EF5">
            <w:pPr>
              <w:spacing w:after="0" w:line="240" w:lineRule="auto"/>
              <w:jc w:val="center"/>
              <w:rPr>
                <w:rFonts w:ascii="Arial" w:eastAsia="Times New Roman" w:hAnsi="Arial" w:cs="Arial"/>
                <w:i/>
                <w:iCs/>
                <w:sz w:val="16"/>
                <w:szCs w:val="16"/>
              </w:rPr>
            </w:pPr>
            <w:r w:rsidRPr="00B74EF5">
              <w:rPr>
                <w:rFonts w:ascii="Arial" w:eastAsia="Times New Roman" w:hAnsi="Arial" w:cs="Arial"/>
                <w:i/>
                <w:iCs/>
                <w:sz w:val="16"/>
                <w:szCs w:val="16"/>
              </w:rPr>
              <w:t>232 842,75</w:t>
            </w:r>
          </w:p>
        </w:tc>
      </w:tr>
      <w:tr w:rsidR="00B74EF5" w:rsidRPr="00B74EF5" w14:paraId="59C83484" w14:textId="77777777" w:rsidTr="00B74EF5">
        <w:trPr>
          <w:trHeight w:val="285"/>
        </w:trPr>
        <w:tc>
          <w:tcPr>
            <w:tcW w:w="1960" w:type="dxa"/>
            <w:tcBorders>
              <w:top w:val="nil"/>
              <w:left w:val="single" w:sz="8" w:space="0" w:color="auto"/>
              <w:bottom w:val="single" w:sz="8" w:space="0" w:color="auto"/>
              <w:right w:val="single" w:sz="4" w:space="0" w:color="auto"/>
            </w:tcBorders>
            <w:shd w:val="clear" w:color="000000" w:fill="99FF99"/>
            <w:noWrap/>
            <w:vAlign w:val="bottom"/>
            <w:hideMark/>
          </w:tcPr>
          <w:p w14:paraId="7B956D53"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lastRenderedPageBreak/>
              <w:t>TOTAL 2024</w:t>
            </w:r>
          </w:p>
        </w:tc>
        <w:tc>
          <w:tcPr>
            <w:tcW w:w="2166" w:type="dxa"/>
            <w:tcBorders>
              <w:top w:val="nil"/>
              <w:left w:val="nil"/>
              <w:bottom w:val="single" w:sz="8" w:space="0" w:color="auto"/>
              <w:right w:val="single" w:sz="4" w:space="0" w:color="auto"/>
            </w:tcBorders>
            <w:shd w:val="clear" w:color="000000" w:fill="FFFF99"/>
            <w:noWrap/>
            <w:vAlign w:val="bottom"/>
            <w:hideMark/>
          </w:tcPr>
          <w:p w14:paraId="2E8FF4C0"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N.A.</w:t>
            </w:r>
          </w:p>
        </w:tc>
        <w:tc>
          <w:tcPr>
            <w:tcW w:w="1843" w:type="dxa"/>
            <w:tcBorders>
              <w:top w:val="nil"/>
              <w:left w:val="nil"/>
              <w:bottom w:val="single" w:sz="8" w:space="0" w:color="auto"/>
              <w:right w:val="single" w:sz="4" w:space="0" w:color="auto"/>
            </w:tcBorders>
            <w:shd w:val="clear" w:color="000000" w:fill="FFFF99"/>
            <w:noWrap/>
            <w:vAlign w:val="bottom"/>
            <w:hideMark/>
          </w:tcPr>
          <w:p w14:paraId="63AD3D4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115 097,52</w:t>
            </w:r>
          </w:p>
        </w:tc>
        <w:tc>
          <w:tcPr>
            <w:tcW w:w="2126" w:type="dxa"/>
            <w:tcBorders>
              <w:top w:val="nil"/>
              <w:left w:val="nil"/>
              <w:bottom w:val="single" w:sz="8" w:space="0" w:color="auto"/>
              <w:right w:val="single" w:sz="4" w:space="0" w:color="auto"/>
            </w:tcBorders>
            <w:shd w:val="clear" w:color="000000" w:fill="FFFF99"/>
            <w:noWrap/>
            <w:vAlign w:val="bottom"/>
            <w:hideMark/>
          </w:tcPr>
          <w:p w14:paraId="08155465"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130 982,50</w:t>
            </w:r>
          </w:p>
        </w:tc>
        <w:tc>
          <w:tcPr>
            <w:tcW w:w="2268" w:type="dxa"/>
            <w:tcBorders>
              <w:top w:val="nil"/>
              <w:left w:val="nil"/>
              <w:bottom w:val="single" w:sz="8" w:space="0" w:color="auto"/>
              <w:right w:val="single" w:sz="4" w:space="0" w:color="auto"/>
            </w:tcBorders>
            <w:shd w:val="clear" w:color="000000" w:fill="FFFF99"/>
            <w:noWrap/>
            <w:vAlign w:val="bottom"/>
            <w:hideMark/>
          </w:tcPr>
          <w:p w14:paraId="35535A9E"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232 842,75</w:t>
            </w:r>
          </w:p>
        </w:tc>
      </w:tr>
      <w:tr w:rsidR="00B74EF5" w:rsidRPr="00B74EF5" w14:paraId="341085E1" w14:textId="77777777" w:rsidTr="00B74EF5">
        <w:trPr>
          <w:trHeight w:val="150"/>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14:paraId="709392FA" w14:textId="77777777" w:rsidR="00B74EF5" w:rsidRPr="00B74EF5" w:rsidRDefault="00B74EF5" w:rsidP="00B74EF5">
            <w:pPr>
              <w:spacing w:after="0" w:line="240" w:lineRule="auto"/>
              <w:rPr>
                <w:rFonts w:ascii="Arial" w:eastAsia="Times New Roman" w:hAnsi="Arial" w:cs="Arial"/>
                <w:b/>
                <w:bCs/>
                <w:sz w:val="18"/>
                <w:szCs w:val="18"/>
              </w:rPr>
            </w:pPr>
            <w:r w:rsidRPr="00B74EF5">
              <w:rPr>
                <w:rFonts w:ascii="Arial" w:eastAsia="Times New Roman" w:hAnsi="Arial" w:cs="Arial"/>
                <w:b/>
                <w:bCs/>
                <w:sz w:val="18"/>
                <w:szCs w:val="18"/>
              </w:rPr>
              <w:t> </w:t>
            </w:r>
          </w:p>
        </w:tc>
        <w:tc>
          <w:tcPr>
            <w:tcW w:w="2166" w:type="dxa"/>
            <w:tcBorders>
              <w:top w:val="nil"/>
              <w:left w:val="nil"/>
              <w:bottom w:val="single" w:sz="4" w:space="0" w:color="auto"/>
              <w:right w:val="single" w:sz="4" w:space="0" w:color="auto"/>
            </w:tcBorders>
            <w:shd w:val="clear" w:color="000000" w:fill="000000"/>
            <w:noWrap/>
            <w:vAlign w:val="bottom"/>
            <w:hideMark/>
          </w:tcPr>
          <w:p w14:paraId="687A77A8" w14:textId="77777777" w:rsidR="00B74EF5" w:rsidRPr="00B74EF5" w:rsidRDefault="00B74EF5" w:rsidP="00B74EF5">
            <w:pPr>
              <w:spacing w:after="0" w:line="240" w:lineRule="auto"/>
              <w:rPr>
                <w:rFonts w:ascii="Arial" w:eastAsia="Times New Roman" w:hAnsi="Arial" w:cs="Arial"/>
                <w:b/>
                <w:bCs/>
                <w:sz w:val="18"/>
                <w:szCs w:val="18"/>
              </w:rPr>
            </w:pPr>
            <w:r w:rsidRPr="00B74EF5">
              <w:rPr>
                <w:rFonts w:ascii="Arial" w:eastAsia="Times New Roman" w:hAnsi="Arial" w:cs="Arial"/>
                <w:b/>
                <w:bCs/>
                <w:sz w:val="18"/>
                <w:szCs w:val="18"/>
              </w:rPr>
              <w:t> </w:t>
            </w:r>
          </w:p>
        </w:tc>
        <w:tc>
          <w:tcPr>
            <w:tcW w:w="1843" w:type="dxa"/>
            <w:tcBorders>
              <w:top w:val="nil"/>
              <w:left w:val="nil"/>
              <w:bottom w:val="single" w:sz="4" w:space="0" w:color="auto"/>
              <w:right w:val="single" w:sz="4" w:space="0" w:color="auto"/>
            </w:tcBorders>
            <w:shd w:val="clear" w:color="000000" w:fill="000000"/>
            <w:noWrap/>
            <w:vAlign w:val="bottom"/>
            <w:hideMark/>
          </w:tcPr>
          <w:p w14:paraId="3D4D452B"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X</w:t>
            </w:r>
          </w:p>
        </w:tc>
        <w:tc>
          <w:tcPr>
            <w:tcW w:w="2126" w:type="dxa"/>
            <w:tcBorders>
              <w:top w:val="nil"/>
              <w:left w:val="nil"/>
              <w:bottom w:val="single" w:sz="4" w:space="0" w:color="auto"/>
              <w:right w:val="single" w:sz="4" w:space="0" w:color="auto"/>
            </w:tcBorders>
            <w:shd w:val="clear" w:color="000000" w:fill="000000"/>
            <w:noWrap/>
            <w:vAlign w:val="bottom"/>
            <w:hideMark/>
          </w:tcPr>
          <w:p w14:paraId="586353FE"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X</w:t>
            </w:r>
          </w:p>
        </w:tc>
        <w:tc>
          <w:tcPr>
            <w:tcW w:w="2268" w:type="dxa"/>
            <w:tcBorders>
              <w:top w:val="nil"/>
              <w:left w:val="nil"/>
              <w:bottom w:val="single" w:sz="4" w:space="0" w:color="auto"/>
              <w:right w:val="single" w:sz="4" w:space="0" w:color="auto"/>
            </w:tcBorders>
            <w:shd w:val="clear" w:color="000000" w:fill="000000"/>
            <w:noWrap/>
            <w:vAlign w:val="bottom"/>
            <w:hideMark/>
          </w:tcPr>
          <w:p w14:paraId="759A1B26" w14:textId="77777777" w:rsidR="00B74EF5" w:rsidRPr="00B74EF5" w:rsidRDefault="00B74EF5" w:rsidP="00B74EF5">
            <w:pPr>
              <w:spacing w:after="0" w:line="240" w:lineRule="auto"/>
              <w:jc w:val="center"/>
              <w:rPr>
                <w:rFonts w:ascii="Arial" w:eastAsia="Times New Roman" w:hAnsi="Arial" w:cs="Arial"/>
                <w:sz w:val="18"/>
                <w:szCs w:val="18"/>
              </w:rPr>
            </w:pPr>
            <w:r w:rsidRPr="00B74EF5">
              <w:rPr>
                <w:rFonts w:ascii="Arial" w:eastAsia="Times New Roman" w:hAnsi="Arial" w:cs="Arial"/>
                <w:sz w:val="18"/>
                <w:szCs w:val="18"/>
              </w:rPr>
              <w:t> </w:t>
            </w:r>
          </w:p>
        </w:tc>
      </w:tr>
      <w:tr w:rsidR="00B74EF5" w:rsidRPr="00B74EF5" w14:paraId="0F28C2E4" w14:textId="77777777" w:rsidTr="00B74EF5">
        <w:trPr>
          <w:trHeight w:val="440"/>
        </w:trPr>
        <w:tc>
          <w:tcPr>
            <w:tcW w:w="1960" w:type="dxa"/>
            <w:tcBorders>
              <w:top w:val="nil"/>
              <w:left w:val="single" w:sz="4" w:space="0" w:color="auto"/>
              <w:bottom w:val="single" w:sz="4" w:space="0" w:color="auto"/>
              <w:right w:val="single" w:sz="4" w:space="0" w:color="auto"/>
            </w:tcBorders>
            <w:shd w:val="clear" w:color="000000" w:fill="FFFF99"/>
            <w:vAlign w:val="bottom"/>
            <w:hideMark/>
          </w:tcPr>
          <w:p w14:paraId="78ECD2FD"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 xml:space="preserve">TOTAL 2014-2024 </w:t>
            </w:r>
            <w:proofErr w:type="spellStart"/>
            <w:r w:rsidRPr="00B74EF5">
              <w:rPr>
                <w:rFonts w:ascii="Arial" w:eastAsia="Times New Roman" w:hAnsi="Arial" w:cs="Arial"/>
                <w:b/>
                <w:bCs/>
                <w:sz w:val="18"/>
                <w:szCs w:val="18"/>
              </w:rPr>
              <w:t>Projects</w:t>
            </w:r>
            <w:proofErr w:type="spellEnd"/>
          </w:p>
        </w:tc>
        <w:tc>
          <w:tcPr>
            <w:tcW w:w="2166" w:type="dxa"/>
            <w:vMerge w:val="restart"/>
            <w:tcBorders>
              <w:top w:val="nil"/>
              <w:left w:val="single" w:sz="4" w:space="0" w:color="auto"/>
              <w:bottom w:val="single" w:sz="4" w:space="0" w:color="000000"/>
              <w:right w:val="single" w:sz="4" w:space="0" w:color="auto"/>
            </w:tcBorders>
            <w:shd w:val="clear" w:color="000000" w:fill="FFFF99"/>
            <w:noWrap/>
            <w:vAlign w:val="center"/>
            <w:hideMark/>
          </w:tcPr>
          <w:p w14:paraId="30673457"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49 038 597</w:t>
            </w:r>
          </w:p>
        </w:tc>
        <w:tc>
          <w:tcPr>
            <w:tcW w:w="1843" w:type="dxa"/>
            <w:tcBorders>
              <w:top w:val="nil"/>
              <w:left w:val="nil"/>
              <w:bottom w:val="single" w:sz="4" w:space="0" w:color="auto"/>
              <w:right w:val="single" w:sz="4" w:space="0" w:color="auto"/>
            </w:tcBorders>
            <w:shd w:val="clear" w:color="000000" w:fill="FFFF99"/>
            <w:noWrap/>
            <w:vAlign w:val="center"/>
            <w:hideMark/>
          </w:tcPr>
          <w:p w14:paraId="024FADF9"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3 530 778,98</w:t>
            </w:r>
          </w:p>
        </w:tc>
        <w:tc>
          <w:tcPr>
            <w:tcW w:w="2126" w:type="dxa"/>
            <w:tcBorders>
              <w:top w:val="nil"/>
              <w:left w:val="nil"/>
              <w:bottom w:val="single" w:sz="4" w:space="0" w:color="auto"/>
              <w:right w:val="single" w:sz="4" w:space="0" w:color="auto"/>
            </w:tcBorders>
            <w:shd w:val="clear" w:color="000000" w:fill="FFFF99"/>
            <w:noWrap/>
            <w:vAlign w:val="center"/>
            <w:hideMark/>
          </w:tcPr>
          <w:p w14:paraId="45D1DE0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44 134 737,30</w:t>
            </w:r>
          </w:p>
        </w:tc>
        <w:tc>
          <w:tcPr>
            <w:tcW w:w="2268" w:type="dxa"/>
            <w:tcBorders>
              <w:top w:val="nil"/>
              <w:left w:val="nil"/>
              <w:bottom w:val="single" w:sz="4" w:space="0" w:color="auto"/>
              <w:right w:val="single" w:sz="4" w:space="0" w:color="auto"/>
            </w:tcBorders>
            <w:shd w:val="clear" w:color="000000" w:fill="FFFF99"/>
            <w:noWrap/>
            <w:vAlign w:val="center"/>
            <w:hideMark/>
          </w:tcPr>
          <w:p w14:paraId="1F40AC90"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44 134 737,30</w:t>
            </w:r>
          </w:p>
        </w:tc>
      </w:tr>
      <w:tr w:rsidR="00B74EF5" w:rsidRPr="00B74EF5" w14:paraId="30DB451F" w14:textId="77777777" w:rsidTr="00B74EF5">
        <w:trPr>
          <w:trHeight w:val="240"/>
        </w:trPr>
        <w:tc>
          <w:tcPr>
            <w:tcW w:w="1960" w:type="dxa"/>
            <w:tcBorders>
              <w:top w:val="nil"/>
              <w:left w:val="single" w:sz="4" w:space="0" w:color="auto"/>
              <w:bottom w:val="single" w:sz="4" w:space="0" w:color="auto"/>
              <w:right w:val="single" w:sz="4" w:space="0" w:color="auto"/>
            </w:tcBorders>
            <w:shd w:val="clear" w:color="000000" w:fill="FFFF99"/>
            <w:vAlign w:val="bottom"/>
            <w:hideMark/>
          </w:tcPr>
          <w:p w14:paraId="29C96F9C"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2014-2024 TA</w:t>
            </w:r>
          </w:p>
        </w:tc>
        <w:tc>
          <w:tcPr>
            <w:tcW w:w="2166" w:type="dxa"/>
            <w:vMerge/>
            <w:tcBorders>
              <w:top w:val="nil"/>
              <w:left w:val="single" w:sz="4" w:space="0" w:color="auto"/>
              <w:bottom w:val="single" w:sz="4" w:space="0" w:color="000000"/>
              <w:right w:val="single" w:sz="4" w:space="0" w:color="auto"/>
            </w:tcBorders>
            <w:vAlign w:val="center"/>
            <w:hideMark/>
          </w:tcPr>
          <w:p w14:paraId="2FCB71CA" w14:textId="77777777" w:rsidR="00B74EF5" w:rsidRPr="00B74EF5" w:rsidRDefault="00B74EF5" w:rsidP="00B74EF5">
            <w:pPr>
              <w:spacing w:after="0" w:line="240" w:lineRule="auto"/>
              <w:rPr>
                <w:rFonts w:ascii="Arial" w:eastAsia="Times New Roman" w:hAnsi="Arial" w:cs="Arial"/>
                <w:b/>
                <w:bCs/>
                <w:sz w:val="18"/>
                <w:szCs w:val="18"/>
              </w:rPr>
            </w:pPr>
          </w:p>
        </w:tc>
        <w:tc>
          <w:tcPr>
            <w:tcW w:w="1843" w:type="dxa"/>
            <w:tcBorders>
              <w:top w:val="nil"/>
              <w:left w:val="nil"/>
              <w:bottom w:val="single" w:sz="4" w:space="0" w:color="auto"/>
              <w:right w:val="single" w:sz="4" w:space="0" w:color="auto"/>
            </w:tcBorders>
            <w:shd w:val="clear" w:color="000000" w:fill="FFFF99"/>
            <w:noWrap/>
            <w:vAlign w:val="center"/>
            <w:hideMark/>
          </w:tcPr>
          <w:p w14:paraId="2AD91C1D"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1 373 080,72</w:t>
            </w:r>
          </w:p>
        </w:tc>
        <w:tc>
          <w:tcPr>
            <w:tcW w:w="2126" w:type="dxa"/>
            <w:tcBorders>
              <w:top w:val="nil"/>
              <w:left w:val="nil"/>
              <w:bottom w:val="single" w:sz="4" w:space="0" w:color="auto"/>
              <w:right w:val="single" w:sz="4" w:space="0" w:color="auto"/>
            </w:tcBorders>
            <w:shd w:val="clear" w:color="000000" w:fill="FFFF99"/>
            <w:noWrap/>
            <w:vAlign w:val="center"/>
            <w:hideMark/>
          </w:tcPr>
          <w:p w14:paraId="6618542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4 903 859,70</w:t>
            </w:r>
          </w:p>
        </w:tc>
        <w:tc>
          <w:tcPr>
            <w:tcW w:w="2268" w:type="dxa"/>
            <w:tcBorders>
              <w:top w:val="nil"/>
              <w:left w:val="nil"/>
              <w:bottom w:val="single" w:sz="4" w:space="0" w:color="auto"/>
              <w:right w:val="single" w:sz="4" w:space="0" w:color="auto"/>
            </w:tcBorders>
            <w:shd w:val="clear" w:color="000000" w:fill="FFFF99"/>
            <w:noWrap/>
            <w:vAlign w:val="center"/>
            <w:hideMark/>
          </w:tcPr>
          <w:p w14:paraId="4E626C22"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4 903 859,70</w:t>
            </w:r>
          </w:p>
        </w:tc>
      </w:tr>
      <w:tr w:rsidR="00B74EF5" w:rsidRPr="00B74EF5" w14:paraId="31050A4C" w14:textId="77777777" w:rsidTr="00B74EF5">
        <w:trPr>
          <w:trHeight w:val="135"/>
        </w:trPr>
        <w:tc>
          <w:tcPr>
            <w:tcW w:w="1960" w:type="dxa"/>
            <w:tcBorders>
              <w:top w:val="nil"/>
              <w:left w:val="single" w:sz="4" w:space="0" w:color="auto"/>
              <w:bottom w:val="single" w:sz="4" w:space="0" w:color="auto"/>
              <w:right w:val="single" w:sz="4" w:space="0" w:color="auto"/>
            </w:tcBorders>
            <w:shd w:val="clear" w:color="000000" w:fill="000000"/>
            <w:noWrap/>
            <w:vAlign w:val="bottom"/>
            <w:hideMark/>
          </w:tcPr>
          <w:p w14:paraId="66F777E6" w14:textId="77777777" w:rsidR="00B74EF5" w:rsidRPr="00B74EF5" w:rsidRDefault="00B74EF5" w:rsidP="00B74EF5">
            <w:pPr>
              <w:spacing w:after="0" w:line="240" w:lineRule="auto"/>
              <w:rPr>
                <w:rFonts w:ascii="Arial" w:eastAsia="Times New Roman" w:hAnsi="Arial" w:cs="Arial"/>
                <w:sz w:val="18"/>
                <w:szCs w:val="18"/>
              </w:rPr>
            </w:pPr>
            <w:r w:rsidRPr="00B74EF5">
              <w:rPr>
                <w:rFonts w:ascii="Arial" w:eastAsia="Times New Roman" w:hAnsi="Arial" w:cs="Arial"/>
                <w:sz w:val="18"/>
                <w:szCs w:val="18"/>
              </w:rPr>
              <w:t> </w:t>
            </w:r>
          </w:p>
        </w:tc>
        <w:tc>
          <w:tcPr>
            <w:tcW w:w="2166" w:type="dxa"/>
            <w:tcBorders>
              <w:top w:val="nil"/>
              <w:left w:val="nil"/>
              <w:bottom w:val="single" w:sz="4" w:space="0" w:color="auto"/>
              <w:right w:val="single" w:sz="4" w:space="0" w:color="auto"/>
            </w:tcBorders>
            <w:shd w:val="clear" w:color="000000" w:fill="000000"/>
            <w:noWrap/>
            <w:vAlign w:val="bottom"/>
            <w:hideMark/>
          </w:tcPr>
          <w:p w14:paraId="3EBF90E4" w14:textId="77777777" w:rsidR="00B74EF5" w:rsidRPr="00B74EF5" w:rsidRDefault="00B74EF5" w:rsidP="00B74EF5">
            <w:pPr>
              <w:spacing w:after="0" w:line="240" w:lineRule="auto"/>
              <w:rPr>
                <w:rFonts w:ascii="Arial" w:eastAsia="Times New Roman" w:hAnsi="Arial" w:cs="Arial"/>
                <w:sz w:val="18"/>
                <w:szCs w:val="18"/>
              </w:rPr>
            </w:pPr>
            <w:r w:rsidRPr="00B74EF5">
              <w:rPr>
                <w:rFonts w:ascii="Arial" w:eastAsia="Times New Roman" w:hAnsi="Arial" w:cs="Arial"/>
                <w:sz w:val="18"/>
                <w:szCs w:val="18"/>
              </w:rPr>
              <w:t> </w:t>
            </w:r>
          </w:p>
        </w:tc>
        <w:tc>
          <w:tcPr>
            <w:tcW w:w="1843" w:type="dxa"/>
            <w:tcBorders>
              <w:top w:val="nil"/>
              <w:left w:val="nil"/>
              <w:bottom w:val="single" w:sz="4" w:space="0" w:color="auto"/>
              <w:right w:val="single" w:sz="4" w:space="0" w:color="auto"/>
            </w:tcBorders>
            <w:shd w:val="clear" w:color="000000" w:fill="000000"/>
            <w:noWrap/>
            <w:vAlign w:val="bottom"/>
            <w:hideMark/>
          </w:tcPr>
          <w:p w14:paraId="5626489A" w14:textId="77777777" w:rsidR="00B74EF5" w:rsidRPr="00B74EF5" w:rsidRDefault="00B74EF5" w:rsidP="00B74EF5">
            <w:pPr>
              <w:spacing w:after="0" w:line="240" w:lineRule="auto"/>
              <w:rPr>
                <w:rFonts w:ascii="Arial" w:eastAsia="Times New Roman" w:hAnsi="Arial" w:cs="Arial"/>
                <w:sz w:val="18"/>
                <w:szCs w:val="18"/>
              </w:rPr>
            </w:pPr>
            <w:r w:rsidRPr="00B74EF5">
              <w:rPr>
                <w:rFonts w:ascii="Arial" w:eastAsia="Times New Roman" w:hAnsi="Arial" w:cs="Arial"/>
                <w:sz w:val="18"/>
                <w:szCs w:val="18"/>
              </w:rPr>
              <w:t> </w:t>
            </w:r>
          </w:p>
        </w:tc>
        <w:tc>
          <w:tcPr>
            <w:tcW w:w="2126" w:type="dxa"/>
            <w:tcBorders>
              <w:top w:val="nil"/>
              <w:left w:val="nil"/>
              <w:bottom w:val="single" w:sz="4" w:space="0" w:color="auto"/>
              <w:right w:val="single" w:sz="4" w:space="0" w:color="auto"/>
            </w:tcBorders>
            <w:shd w:val="clear" w:color="000000" w:fill="000000"/>
            <w:noWrap/>
            <w:vAlign w:val="bottom"/>
            <w:hideMark/>
          </w:tcPr>
          <w:p w14:paraId="15BC2A9E" w14:textId="77777777" w:rsidR="00B74EF5" w:rsidRPr="00B74EF5" w:rsidRDefault="00B74EF5" w:rsidP="00B74EF5">
            <w:pPr>
              <w:spacing w:after="0" w:line="240" w:lineRule="auto"/>
              <w:rPr>
                <w:rFonts w:ascii="Arial" w:eastAsia="Times New Roman" w:hAnsi="Arial" w:cs="Arial"/>
                <w:sz w:val="18"/>
                <w:szCs w:val="18"/>
              </w:rPr>
            </w:pPr>
            <w:r w:rsidRPr="00B74EF5">
              <w:rPr>
                <w:rFonts w:ascii="Arial" w:eastAsia="Times New Roman" w:hAnsi="Arial" w:cs="Arial"/>
                <w:sz w:val="18"/>
                <w:szCs w:val="18"/>
              </w:rPr>
              <w:t> </w:t>
            </w:r>
          </w:p>
        </w:tc>
        <w:tc>
          <w:tcPr>
            <w:tcW w:w="2268" w:type="dxa"/>
            <w:tcBorders>
              <w:top w:val="nil"/>
              <w:left w:val="nil"/>
              <w:bottom w:val="single" w:sz="4" w:space="0" w:color="auto"/>
              <w:right w:val="single" w:sz="4" w:space="0" w:color="auto"/>
            </w:tcBorders>
            <w:shd w:val="clear" w:color="000000" w:fill="000000"/>
            <w:noWrap/>
            <w:vAlign w:val="bottom"/>
            <w:hideMark/>
          </w:tcPr>
          <w:p w14:paraId="6EBBADBC" w14:textId="77777777" w:rsidR="00B74EF5" w:rsidRPr="00B74EF5" w:rsidRDefault="00B74EF5" w:rsidP="00B74EF5">
            <w:pPr>
              <w:spacing w:after="0" w:line="240" w:lineRule="auto"/>
              <w:rPr>
                <w:rFonts w:ascii="Arial" w:eastAsia="Times New Roman" w:hAnsi="Arial" w:cs="Arial"/>
                <w:sz w:val="18"/>
                <w:szCs w:val="18"/>
              </w:rPr>
            </w:pPr>
            <w:r w:rsidRPr="00B74EF5">
              <w:rPr>
                <w:rFonts w:ascii="Arial" w:eastAsia="Times New Roman" w:hAnsi="Arial" w:cs="Arial"/>
                <w:sz w:val="18"/>
                <w:szCs w:val="18"/>
              </w:rPr>
              <w:t> </w:t>
            </w:r>
          </w:p>
        </w:tc>
      </w:tr>
      <w:tr w:rsidR="00B74EF5" w:rsidRPr="00B74EF5" w14:paraId="4C3D9DE3" w14:textId="77777777" w:rsidTr="00B74EF5">
        <w:trPr>
          <w:trHeight w:val="240"/>
        </w:trPr>
        <w:tc>
          <w:tcPr>
            <w:tcW w:w="4126"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68C8F9"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TOTAL COFINANCING RATE:</w:t>
            </w:r>
          </w:p>
        </w:tc>
        <w:tc>
          <w:tcPr>
            <w:tcW w:w="1843" w:type="dxa"/>
            <w:tcBorders>
              <w:top w:val="nil"/>
              <w:left w:val="nil"/>
              <w:bottom w:val="single" w:sz="4" w:space="0" w:color="auto"/>
              <w:right w:val="single" w:sz="4" w:space="0" w:color="auto"/>
            </w:tcBorders>
            <w:shd w:val="clear" w:color="000000" w:fill="FFFF99"/>
            <w:noWrap/>
            <w:vAlign w:val="center"/>
            <w:hideMark/>
          </w:tcPr>
          <w:p w14:paraId="33F2B73F"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4 903 859,70</w:t>
            </w:r>
          </w:p>
        </w:tc>
        <w:tc>
          <w:tcPr>
            <w:tcW w:w="2126" w:type="dxa"/>
            <w:tcBorders>
              <w:top w:val="nil"/>
              <w:left w:val="nil"/>
              <w:bottom w:val="single" w:sz="4" w:space="0" w:color="auto"/>
              <w:right w:val="single" w:sz="4" w:space="0" w:color="auto"/>
            </w:tcBorders>
            <w:shd w:val="clear" w:color="000000" w:fill="FFFF99"/>
            <w:noWrap/>
            <w:vAlign w:val="bottom"/>
            <w:hideMark/>
          </w:tcPr>
          <w:p w14:paraId="016CCDF9" w14:textId="77777777" w:rsidR="00B74EF5" w:rsidRPr="00B74EF5" w:rsidRDefault="00B74EF5" w:rsidP="00B74EF5">
            <w:pPr>
              <w:spacing w:after="0" w:line="240" w:lineRule="auto"/>
              <w:jc w:val="center"/>
              <w:rPr>
                <w:rFonts w:ascii="Arial" w:eastAsia="Times New Roman" w:hAnsi="Arial" w:cs="Arial"/>
                <w:b/>
                <w:bCs/>
                <w:sz w:val="18"/>
                <w:szCs w:val="18"/>
              </w:rPr>
            </w:pPr>
            <w:r w:rsidRPr="00B74EF5">
              <w:rPr>
                <w:rFonts w:ascii="Arial" w:eastAsia="Times New Roman" w:hAnsi="Arial" w:cs="Arial"/>
                <w:b/>
                <w:bCs/>
                <w:sz w:val="18"/>
                <w:szCs w:val="18"/>
              </w:rPr>
              <w:t>10,00%</w:t>
            </w:r>
          </w:p>
        </w:tc>
        <w:tc>
          <w:tcPr>
            <w:tcW w:w="2268" w:type="dxa"/>
            <w:tcBorders>
              <w:top w:val="nil"/>
              <w:left w:val="nil"/>
              <w:bottom w:val="single" w:sz="4" w:space="0" w:color="auto"/>
              <w:right w:val="single" w:sz="4" w:space="0" w:color="auto"/>
            </w:tcBorders>
            <w:shd w:val="clear" w:color="000000" w:fill="FFFF99"/>
            <w:noWrap/>
            <w:vAlign w:val="bottom"/>
            <w:hideMark/>
          </w:tcPr>
          <w:p w14:paraId="46267404" w14:textId="77777777" w:rsidR="00B74EF5" w:rsidRPr="00B74EF5" w:rsidRDefault="00B74EF5" w:rsidP="00B74EF5">
            <w:pPr>
              <w:spacing w:after="0" w:line="240" w:lineRule="auto"/>
              <w:jc w:val="right"/>
              <w:rPr>
                <w:rFonts w:ascii="Arial" w:eastAsia="Times New Roman" w:hAnsi="Arial" w:cs="Arial"/>
                <w:b/>
                <w:bCs/>
                <w:sz w:val="18"/>
                <w:szCs w:val="18"/>
              </w:rPr>
            </w:pPr>
            <w:r w:rsidRPr="00B74EF5">
              <w:rPr>
                <w:rFonts w:ascii="Arial" w:eastAsia="Times New Roman" w:hAnsi="Arial" w:cs="Arial"/>
                <w:b/>
                <w:bCs/>
                <w:sz w:val="18"/>
                <w:szCs w:val="18"/>
              </w:rPr>
              <w:t> </w:t>
            </w:r>
          </w:p>
        </w:tc>
      </w:tr>
    </w:tbl>
    <w:p w14:paraId="1A2F17C8" w14:textId="77777777" w:rsidR="00973A1C" w:rsidRDefault="00973A1C">
      <w:pPr>
        <w:rPr>
          <w:sz w:val="22"/>
          <w:szCs w:val="22"/>
          <w:lang w:val="en-GB"/>
        </w:rPr>
      </w:pPr>
      <w:r>
        <w:rPr>
          <w:sz w:val="22"/>
          <w:szCs w:val="22"/>
          <w:lang w:val="en-GB"/>
        </w:rPr>
        <w:br w:type="page"/>
      </w:r>
    </w:p>
    <w:p w14:paraId="2FA6CEFC" w14:textId="77777777" w:rsidR="00EE745F" w:rsidRPr="00DD6103" w:rsidRDefault="004816B7" w:rsidP="0073410E">
      <w:pPr>
        <w:pStyle w:val="Heading3"/>
        <w:spacing w:before="480" w:after="240" w:line="264" w:lineRule="auto"/>
        <w:rPr>
          <w:b/>
          <w:sz w:val="28"/>
          <w:szCs w:val="28"/>
          <w:lang w:val="en-GB"/>
        </w:rPr>
      </w:pPr>
      <w:bookmarkStart w:id="129" w:name="RANGE!A1:E50"/>
      <w:bookmarkStart w:id="130" w:name="_Toc423436315"/>
      <w:bookmarkEnd w:id="129"/>
      <w:r>
        <w:rPr>
          <w:b/>
          <w:sz w:val="28"/>
          <w:szCs w:val="28"/>
          <w:lang w:val="en-GB"/>
        </w:rPr>
        <w:lastRenderedPageBreak/>
        <w:t xml:space="preserve">8.8 </w:t>
      </w:r>
      <w:r w:rsidR="00CB0FDC">
        <w:rPr>
          <w:b/>
          <w:sz w:val="28"/>
          <w:szCs w:val="28"/>
          <w:lang w:val="en-GB"/>
        </w:rPr>
        <w:t>Rules on e</w:t>
      </w:r>
      <w:r w:rsidR="00EE745F" w:rsidRPr="00DD6103">
        <w:rPr>
          <w:b/>
          <w:sz w:val="28"/>
          <w:szCs w:val="28"/>
          <w:lang w:val="en-GB"/>
        </w:rPr>
        <w:t>ligibility of expenditure</w:t>
      </w:r>
      <w:bookmarkEnd w:id="128"/>
      <w:bookmarkEnd w:id="130"/>
    </w:p>
    <w:p w14:paraId="2D5F62D4" w14:textId="77777777" w:rsidR="007F4E20" w:rsidRPr="002E0E65" w:rsidRDefault="00EE745F" w:rsidP="002E0E65">
      <w:pPr>
        <w:spacing w:before="240" w:after="120"/>
        <w:jc w:val="both"/>
        <w:rPr>
          <w:b/>
          <w:lang w:val="en-GB"/>
        </w:rPr>
      </w:pPr>
      <w:r w:rsidRPr="005917AB">
        <w:rPr>
          <w:b/>
          <w:lang w:val="en-GB"/>
        </w:rPr>
        <w:t>No profit principle</w:t>
      </w:r>
    </w:p>
    <w:p w14:paraId="3F5F2B38" w14:textId="77777777" w:rsidR="00D83AF5" w:rsidRPr="008E396A" w:rsidRDefault="00EE745F"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 xml:space="preserve">Grants shall not have the purpose or effect of producing a profit within the framework of the project. </w:t>
      </w:r>
    </w:p>
    <w:p w14:paraId="4109D2C5" w14:textId="77777777" w:rsidR="008E396A" w:rsidRPr="008E396A" w:rsidRDefault="00EE745F"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Where a profit is made, the Managing Authority shall be entitled to recover the percentage of the profit corresponding to the Union contribution to the eligible costs actually incurred by the beneficiary to carry out the project.</w:t>
      </w:r>
    </w:p>
    <w:p w14:paraId="30E797B9" w14:textId="77777777" w:rsidR="00EE745F" w:rsidRDefault="00EE745F"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For this purpose, profit shall be defined as a surplus of the receipts over the eligible costs incurred by the beneficiaries (Lead Beneficiary and partners), when the request is made for payment of the balance.</w:t>
      </w:r>
    </w:p>
    <w:p w14:paraId="3FB46AF9" w14:textId="77777777" w:rsidR="00780B6F" w:rsidRPr="008E396A" w:rsidRDefault="00780B6F" w:rsidP="008E396A">
      <w:pPr>
        <w:spacing w:before="120" w:after="0" w:line="252" w:lineRule="auto"/>
        <w:jc w:val="both"/>
        <w:rPr>
          <w:rFonts w:ascii="Calisto MT" w:hAnsi="Calisto MT"/>
          <w:sz w:val="22"/>
          <w:szCs w:val="22"/>
          <w:lang w:val="en-GB"/>
        </w:rPr>
      </w:pPr>
      <w:r>
        <w:rPr>
          <w:rFonts w:ascii="Calisto MT" w:hAnsi="Calisto MT"/>
          <w:sz w:val="22"/>
          <w:szCs w:val="22"/>
          <w:lang w:val="en-GB"/>
        </w:rPr>
        <w:t>Forms of grant will be defined in the guidelines for applicants, in accord</w:t>
      </w:r>
      <w:r w:rsidR="001555DC">
        <w:rPr>
          <w:rFonts w:ascii="Calisto MT" w:hAnsi="Calisto MT"/>
          <w:sz w:val="22"/>
          <w:szCs w:val="22"/>
          <w:lang w:val="en-GB"/>
        </w:rPr>
        <w:t xml:space="preserve">ance with article 47 of the ENI </w:t>
      </w:r>
      <w:r>
        <w:rPr>
          <w:rFonts w:ascii="Calisto MT" w:hAnsi="Calisto MT"/>
          <w:sz w:val="22"/>
          <w:szCs w:val="22"/>
          <w:lang w:val="en-GB"/>
        </w:rPr>
        <w:t>CBC Implementing Regulation.</w:t>
      </w:r>
    </w:p>
    <w:p w14:paraId="0778B956" w14:textId="77777777" w:rsidR="00EE745F" w:rsidRPr="002D6D94" w:rsidRDefault="00EE745F" w:rsidP="00EE745F">
      <w:pPr>
        <w:spacing w:before="120"/>
        <w:contextualSpacing/>
        <w:rPr>
          <w:rFonts w:cs="ArialMT"/>
          <w:bCs/>
          <w:sz w:val="22"/>
          <w:szCs w:val="22"/>
          <w:lang w:val="en-GB" w:eastAsia="ar-SA"/>
        </w:rPr>
      </w:pPr>
    </w:p>
    <w:p w14:paraId="3D6ADAC7" w14:textId="77777777" w:rsidR="00EE745F" w:rsidRDefault="00EE745F" w:rsidP="00D83AF5">
      <w:pPr>
        <w:spacing w:before="240" w:after="120"/>
        <w:jc w:val="both"/>
        <w:rPr>
          <w:b/>
          <w:lang w:val="en-GB"/>
        </w:rPr>
      </w:pPr>
      <w:r w:rsidRPr="005917AB">
        <w:rPr>
          <w:b/>
          <w:lang w:val="en-GB"/>
        </w:rPr>
        <w:t>Eligibility of costs</w:t>
      </w:r>
    </w:p>
    <w:p w14:paraId="0561A482" w14:textId="6A24F125" w:rsidR="00507E82" w:rsidRPr="00507E82" w:rsidRDefault="00507E82" w:rsidP="00D83AF5">
      <w:pPr>
        <w:spacing w:before="240" w:after="120"/>
        <w:jc w:val="both"/>
        <w:rPr>
          <w:b/>
          <w:sz w:val="22"/>
          <w:szCs w:val="22"/>
          <w:lang w:val="en-GB"/>
        </w:rPr>
      </w:pPr>
      <w:r w:rsidRPr="00781503">
        <w:rPr>
          <w:sz w:val="22"/>
          <w:szCs w:val="22"/>
          <w:lang w:val="en-GB"/>
        </w:rPr>
        <w:t>Grants shall not exceed an overall ceiling expressed as a percentage and an absolute value which is to be established on the basis of estimated eligible costs. Grants shall not exceed the eligible costs.</w:t>
      </w:r>
    </w:p>
    <w:p w14:paraId="12A67C5E" w14:textId="5B2340A5" w:rsidR="00E44D55" w:rsidRDefault="00EE745F" w:rsidP="00B22C26">
      <w:pPr>
        <w:spacing w:before="120" w:after="0" w:line="252" w:lineRule="auto"/>
        <w:jc w:val="both"/>
        <w:rPr>
          <w:rFonts w:ascii="Calisto MT" w:hAnsi="Calisto MT"/>
          <w:sz w:val="22"/>
          <w:szCs w:val="22"/>
          <w:lang w:val="en-GB"/>
        </w:rPr>
      </w:pPr>
      <w:r w:rsidRPr="008E396A">
        <w:rPr>
          <w:rFonts w:ascii="Calisto MT" w:hAnsi="Calisto MT"/>
          <w:sz w:val="22"/>
          <w:szCs w:val="22"/>
          <w:lang w:val="en-GB"/>
        </w:rPr>
        <w:t>The eligible costs will be defined in detail in the Guidelines for Applicants and in the Grant Contract, in line with articles 48, 49</w:t>
      </w:r>
      <w:r w:rsidR="00E756E0" w:rsidRPr="008E396A">
        <w:rPr>
          <w:rFonts w:ascii="Calisto MT" w:hAnsi="Calisto MT"/>
          <w:sz w:val="22"/>
          <w:szCs w:val="22"/>
          <w:lang w:val="en-GB"/>
        </w:rPr>
        <w:t>, 50</w:t>
      </w:r>
      <w:r w:rsidRPr="008E396A">
        <w:rPr>
          <w:rFonts w:ascii="Calisto MT" w:hAnsi="Calisto MT"/>
          <w:sz w:val="22"/>
          <w:szCs w:val="22"/>
          <w:lang w:val="en-GB"/>
        </w:rPr>
        <w:t xml:space="preserve"> and </w:t>
      </w:r>
      <w:r w:rsidR="008E396A" w:rsidRPr="008E396A">
        <w:rPr>
          <w:rFonts w:ascii="Calisto MT" w:hAnsi="Calisto MT"/>
          <w:sz w:val="22"/>
          <w:szCs w:val="22"/>
          <w:lang w:val="en-GB"/>
        </w:rPr>
        <w:t>51 of ENI-CBC Implementing Regulation</w:t>
      </w:r>
      <w:r w:rsidRPr="008E396A">
        <w:rPr>
          <w:rFonts w:ascii="Calisto MT" w:hAnsi="Calisto MT"/>
          <w:sz w:val="22"/>
          <w:szCs w:val="22"/>
          <w:lang w:val="en-GB"/>
        </w:rPr>
        <w:t>.</w:t>
      </w:r>
    </w:p>
    <w:p w14:paraId="1A232B00"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Eligible costs are costs actually incurred by the beneficiary which meet all of the following criteria: </w:t>
      </w:r>
    </w:p>
    <w:p w14:paraId="6292E506"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(a)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are incurred during the implementation period of the project. In particular: </w:t>
      </w:r>
    </w:p>
    <w:p w14:paraId="31D2A65D" w14:textId="77777777" w:rsidR="00507E82" w:rsidRDefault="00507E82" w:rsidP="00781503">
      <w:pPr>
        <w:spacing w:before="120" w:after="0" w:line="252" w:lineRule="auto"/>
        <w:ind w:left="720"/>
        <w:jc w:val="both"/>
        <w:rPr>
          <w:rFonts w:ascii="Calisto MT" w:hAnsi="Calisto MT"/>
          <w:sz w:val="22"/>
          <w:szCs w:val="22"/>
          <w:lang w:val="en-GB"/>
        </w:rPr>
      </w:pPr>
      <w:r w:rsidRPr="00507E82">
        <w:rPr>
          <w:rFonts w:ascii="Calisto MT" w:hAnsi="Calisto MT"/>
          <w:sz w:val="22"/>
          <w:szCs w:val="22"/>
          <w:lang w:val="en-GB"/>
        </w:rPr>
        <w:t>(</w:t>
      </w:r>
      <w:proofErr w:type="spellStart"/>
      <w:r w:rsidRPr="00507E82">
        <w:rPr>
          <w:rFonts w:ascii="Calisto MT" w:hAnsi="Calisto MT"/>
          <w:sz w:val="22"/>
          <w:szCs w:val="22"/>
          <w:lang w:val="en-GB"/>
        </w:rPr>
        <w:t>i</w:t>
      </w:r>
      <w:proofErr w:type="spellEnd"/>
      <w:r w:rsidRPr="00507E82">
        <w:rPr>
          <w:rFonts w:ascii="Calisto MT" w:hAnsi="Calisto MT"/>
          <w:sz w:val="22"/>
          <w:szCs w:val="22"/>
          <w:lang w:val="en-GB"/>
        </w:rPr>
        <w:t xml:space="preserve">) </w:t>
      </w:r>
      <w:proofErr w:type="gramStart"/>
      <w:r w:rsidRPr="00507E82">
        <w:rPr>
          <w:rFonts w:ascii="Calisto MT" w:hAnsi="Calisto MT"/>
          <w:sz w:val="22"/>
          <w:szCs w:val="22"/>
          <w:lang w:val="en-GB"/>
        </w:rPr>
        <w:t>costs</w:t>
      </w:r>
      <w:proofErr w:type="gramEnd"/>
      <w:r w:rsidRPr="00507E82">
        <w:rPr>
          <w:rFonts w:ascii="Calisto MT" w:hAnsi="Calisto MT"/>
          <w:sz w:val="22"/>
          <w:szCs w:val="22"/>
          <w:lang w:val="en-GB"/>
        </w:rPr>
        <w:t xml:space="preserve"> relating to services and works shall relate to activities performed during the implementation period. Costs relating to supplies shall relate to delivery and installation of items during the implementation period. Signature of a contract, placing of an order, or entering into any commitment for expenditure within the implementation period for future delivery of services, works or supplies after expiry of the implementation period do not meet this requirement; cash transfers between the lead beneficiary and the other beneficiaries may not be considered as costs incurred; </w:t>
      </w:r>
    </w:p>
    <w:p w14:paraId="6704D0B2" w14:textId="77777777" w:rsidR="00507E82" w:rsidRDefault="00507E82" w:rsidP="00781503">
      <w:pPr>
        <w:spacing w:before="120" w:after="0" w:line="252" w:lineRule="auto"/>
        <w:ind w:left="720"/>
        <w:jc w:val="both"/>
        <w:rPr>
          <w:rFonts w:ascii="Calisto MT" w:hAnsi="Calisto MT"/>
          <w:sz w:val="22"/>
          <w:szCs w:val="22"/>
          <w:lang w:val="en-GB"/>
        </w:rPr>
      </w:pPr>
      <w:r w:rsidRPr="00507E82">
        <w:rPr>
          <w:rFonts w:ascii="Calisto MT" w:hAnsi="Calisto MT"/>
          <w:sz w:val="22"/>
          <w:szCs w:val="22"/>
          <w:lang w:val="en-GB"/>
        </w:rPr>
        <w:t xml:space="preserve">(ii) </w:t>
      </w:r>
      <w:proofErr w:type="gramStart"/>
      <w:r w:rsidRPr="00507E82">
        <w:rPr>
          <w:rFonts w:ascii="Calisto MT" w:hAnsi="Calisto MT"/>
          <w:sz w:val="22"/>
          <w:szCs w:val="22"/>
          <w:lang w:val="en-GB"/>
        </w:rPr>
        <w:t>costs</w:t>
      </w:r>
      <w:proofErr w:type="gramEnd"/>
      <w:r w:rsidRPr="00507E82">
        <w:rPr>
          <w:rFonts w:ascii="Calisto MT" w:hAnsi="Calisto MT"/>
          <w:sz w:val="22"/>
          <w:szCs w:val="22"/>
          <w:lang w:val="en-GB"/>
        </w:rPr>
        <w:t xml:space="preserve"> incurred should be paid before the submission of the final reports. They may be paid afterwards, provided they are listed in the final report together with the estimated date of payment; </w:t>
      </w:r>
    </w:p>
    <w:p w14:paraId="7B463007" w14:textId="77777777" w:rsidR="00507E82" w:rsidRDefault="00507E82" w:rsidP="00781503">
      <w:pPr>
        <w:spacing w:before="120" w:after="0" w:line="252" w:lineRule="auto"/>
        <w:ind w:left="720"/>
        <w:jc w:val="both"/>
        <w:rPr>
          <w:rFonts w:ascii="Calisto MT" w:hAnsi="Calisto MT"/>
          <w:sz w:val="22"/>
          <w:szCs w:val="22"/>
          <w:lang w:val="en-GB"/>
        </w:rPr>
      </w:pPr>
      <w:r w:rsidRPr="00507E82">
        <w:rPr>
          <w:rFonts w:ascii="Calisto MT" w:hAnsi="Calisto MT"/>
          <w:sz w:val="22"/>
          <w:szCs w:val="22"/>
          <w:lang w:val="en-GB"/>
        </w:rPr>
        <w:t>(iii</w:t>
      </w:r>
      <w:proofErr w:type="gramStart"/>
      <w:r w:rsidRPr="00507E82">
        <w:rPr>
          <w:rFonts w:ascii="Calisto MT" w:hAnsi="Calisto MT"/>
          <w:sz w:val="22"/>
          <w:szCs w:val="22"/>
          <w:lang w:val="en-GB"/>
        </w:rPr>
        <w:t>)an</w:t>
      </w:r>
      <w:proofErr w:type="gramEnd"/>
      <w:r w:rsidRPr="00507E82">
        <w:rPr>
          <w:rFonts w:ascii="Calisto MT" w:hAnsi="Calisto MT"/>
          <w:sz w:val="22"/>
          <w:szCs w:val="22"/>
          <w:lang w:val="en-GB"/>
        </w:rPr>
        <w:t xml:space="preserve"> exception is made for costs relating to final reports, including expenditure verification, audit and final evaluation of the project, which may be incurred after the implementation period of the project;</w:t>
      </w:r>
    </w:p>
    <w:p w14:paraId="24C8D9E0" w14:textId="439BF6DD" w:rsidR="00BB07A3" w:rsidRDefault="00507E82" w:rsidP="00781503">
      <w:pPr>
        <w:spacing w:before="120" w:after="0" w:line="252" w:lineRule="auto"/>
        <w:ind w:left="720"/>
        <w:jc w:val="both"/>
        <w:rPr>
          <w:rFonts w:ascii="Calisto MT" w:hAnsi="Calisto MT"/>
          <w:sz w:val="22"/>
          <w:szCs w:val="22"/>
          <w:lang w:val="en-GB"/>
        </w:rPr>
      </w:pPr>
      <w:r w:rsidRPr="00507E82">
        <w:rPr>
          <w:rFonts w:ascii="Calisto MT" w:hAnsi="Calisto MT"/>
          <w:sz w:val="22"/>
          <w:szCs w:val="22"/>
          <w:lang w:val="en-GB"/>
        </w:rPr>
        <w:t xml:space="preserve"> (iv) procedures to award contracts, as referred to in Article 52 </w:t>
      </w:r>
      <w:r w:rsidR="00D06983">
        <w:rPr>
          <w:rFonts w:ascii="Calisto MT" w:hAnsi="Calisto MT"/>
          <w:sz w:val="22"/>
          <w:szCs w:val="22"/>
          <w:lang w:val="en-GB"/>
        </w:rPr>
        <w:t xml:space="preserve"> </w:t>
      </w:r>
      <w:r w:rsidR="00D06983" w:rsidRPr="008E396A">
        <w:rPr>
          <w:rFonts w:ascii="Calisto MT" w:hAnsi="Calisto MT"/>
          <w:sz w:val="22"/>
          <w:szCs w:val="22"/>
          <w:lang w:val="en-GB"/>
        </w:rPr>
        <w:t>of ENI-CBC Implementing Regulation</w:t>
      </w:r>
      <w:r w:rsidR="00D06983" w:rsidRPr="00507E82">
        <w:rPr>
          <w:rFonts w:ascii="Calisto MT" w:hAnsi="Calisto MT"/>
          <w:sz w:val="22"/>
          <w:szCs w:val="22"/>
          <w:lang w:val="en-GB"/>
        </w:rPr>
        <w:t xml:space="preserve"> </w:t>
      </w:r>
      <w:r w:rsidRPr="00507E82">
        <w:rPr>
          <w:rFonts w:ascii="Calisto MT" w:hAnsi="Calisto MT"/>
          <w:sz w:val="22"/>
          <w:szCs w:val="22"/>
          <w:lang w:val="en-GB"/>
        </w:rPr>
        <w:t>and following, may have been initiated and contracts may be concluded by the beneficiary(</w:t>
      </w:r>
      <w:proofErr w:type="spellStart"/>
      <w:r w:rsidRPr="00507E82">
        <w:rPr>
          <w:rFonts w:ascii="Calisto MT" w:hAnsi="Calisto MT"/>
          <w:sz w:val="22"/>
          <w:szCs w:val="22"/>
          <w:lang w:val="en-GB"/>
        </w:rPr>
        <w:t>ies</w:t>
      </w:r>
      <w:proofErr w:type="spellEnd"/>
      <w:r w:rsidRPr="00507E82">
        <w:rPr>
          <w:rFonts w:ascii="Calisto MT" w:hAnsi="Calisto MT"/>
          <w:sz w:val="22"/>
          <w:szCs w:val="22"/>
          <w:lang w:val="en-GB"/>
        </w:rPr>
        <w:t xml:space="preserve">) before the start of the implementation period of the project, provided the provisions of Article 52 and following have been respected; </w:t>
      </w:r>
    </w:p>
    <w:p w14:paraId="7D550C55" w14:textId="17D150AA" w:rsidR="00507E82" w:rsidRDefault="00D06983" w:rsidP="00B22C26">
      <w:pPr>
        <w:spacing w:before="120" w:after="0" w:line="252" w:lineRule="auto"/>
        <w:jc w:val="both"/>
        <w:rPr>
          <w:rFonts w:ascii="Calisto MT" w:hAnsi="Calisto MT"/>
          <w:sz w:val="22"/>
          <w:szCs w:val="22"/>
          <w:lang w:val="en-GB"/>
        </w:rPr>
      </w:pPr>
      <w:r>
        <w:rPr>
          <w:rFonts w:ascii="Calisto MT" w:hAnsi="Calisto MT"/>
          <w:sz w:val="22"/>
          <w:szCs w:val="22"/>
          <w:lang w:val="en-GB"/>
        </w:rPr>
        <w:t xml:space="preserve">(b) </w:t>
      </w:r>
      <w:proofErr w:type="gramStart"/>
      <w:r w:rsidR="00507E82" w:rsidRPr="00507E82">
        <w:rPr>
          <w:rFonts w:ascii="Calisto MT" w:hAnsi="Calisto MT"/>
          <w:sz w:val="22"/>
          <w:szCs w:val="22"/>
          <w:lang w:val="en-GB"/>
        </w:rPr>
        <w:t>they</w:t>
      </w:r>
      <w:proofErr w:type="gramEnd"/>
      <w:r w:rsidR="00507E82" w:rsidRPr="00507E82">
        <w:rPr>
          <w:rFonts w:ascii="Calisto MT" w:hAnsi="Calisto MT"/>
          <w:sz w:val="22"/>
          <w:szCs w:val="22"/>
          <w:lang w:val="en-GB"/>
        </w:rPr>
        <w:t xml:space="preserve"> are indicated in the project's estimated overall budget; </w:t>
      </w:r>
    </w:p>
    <w:p w14:paraId="6B33EB22"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(c)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are necessary for the project implementation;</w:t>
      </w:r>
    </w:p>
    <w:p w14:paraId="20BECE2A"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(d)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are identifiable and verifiable, in particular being recorded in the accounting records of the beneficiary and determined according to the accounting standards and the usual cost accounting practices applicable to the beneficiary; </w:t>
      </w:r>
    </w:p>
    <w:p w14:paraId="0D494CB1"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(e)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comply with the requirements of applicable tax and social legislation; </w:t>
      </w:r>
    </w:p>
    <w:p w14:paraId="08FC56D1" w14:textId="77777777"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(f)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are reasonable, justified, and comply with the requirements of sound financial management, in particular regarding economy and efficiency; </w:t>
      </w:r>
    </w:p>
    <w:p w14:paraId="0EFDCE7B" w14:textId="539B3C35"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lastRenderedPageBreak/>
        <w:t xml:space="preserve">(g) </w:t>
      </w:r>
      <w:proofErr w:type="gramStart"/>
      <w:r w:rsidRPr="00507E82">
        <w:rPr>
          <w:rFonts w:ascii="Calisto MT" w:hAnsi="Calisto MT"/>
          <w:sz w:val="22"/>
          <w:szCs w:val="22"/>
          <w:lang w:val="en-GB"/>
        </w:rPr>
        <w:t>they</w:t>
      </w:r>
      <w:proofErr w:type="gramEnd"/>
      <w:r w:rsidRPr="00507E82">
        <w:rPr>
          <w:rFonts w:ascii="Calisto MT" w:hAnsi="Calisto MT"/>
          <w:sz w:val="22"/>
          <w:szCs w:val="22"/>
          <w:lang w:val="en-GB"/>
        </w:rPr>
        <w:t xml:space="preserve"> are supported by invoices or documents of equivalent probative value;</w:t>
      </w:r>
    </w:p>
    <w:p w14:paraId="60CBC01F"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Subject to </w:t>
      </w:r>
      <w:r w:rsidR="00D06983">
        <w:rPr>
          <w:rFonts w:ascii="Calisto MT" w:hAnsi="Calisto MT"/>
          <w:sz w:val="22"/>
          <w:szCs w:val="22"/>
          <w:lang w:val="en-GB"/>
        </w:rPr>
        <w:t>the conditions above</w:t>
      </w:r>
      <w:r w:rsidRPr="00507E82">
        <w:rPr>
          <w:rFonts w:ascii="Calisto MT" w:hAnsi="Calisto MT"/>
          <w:sz w:val="22"/>
          <w:szCs w:val="22"/>
          <w:lang w:val="en-GB"/>
        </w:rPr>
        <w:t xml:space="preserve">, the following direct costs of the beneficiary shall be eligible: </w:t>
      </w:r>
    </w:p>
    <w:p w14:paraId="7FEC87EE" w14:textId="418CD646" w:rsidR="00D06983" w:rsidRPr="006803AC" w:rsidRDefault="006803AC" w:rsidP="006803AC">
      <w:pPr>
        <w:spacing w:before="120" w:after="0" w:line="252" w:lineRule="auto"/>
        <w:jc w:val="both"/>
        <w:rPr>
          <w:rFonts w:ascii="Calisto MT" w:hAnsi="Calisto MT"/>
          <w:sz w:val="22"/>
          <w:szCs w:val="22"/>
          <w:lang w:val="en-GB"/>
        </w:rPr>
      </w:pPr>
      <w:r>
        <w:rPr>
          <w:rFonts w:ascii="Calisto MT" w:hAnsi="Calisto MT"/>
          <w:sz w:val="22"/>
          <w:szCs w:val="22"/>
          <w:lang w:val="en-GB"/>
        </w:rPr>
        <w:t>(a</w:t>
      </w:r>
      <w:proofErr w:type="gramStart"/>
      <w:r>
        <w:rPr>
          <w:rFonts w:ascii="Calisto MT" w:hAnsi="Calisto MT"/>
          <w:sz w:val="22"/>
          <w:szCs w:val="22"/>
          <w:lang w:val="en-GB"/>
        </w:rPr>
        <w:t>)</w:t>
      </w:r>
      <w:r w:rsidR="00507E82" w:rsidRPr="006803AC">
        <w:rPr>
          <w:rFonts w:ascii="Calisto MT" w:hAnsi="Calisto MT"/>
          <w:sz w:val="22"/>
          <w:szCs w:val="22"/>
          <w:lang w:val="en-GB"/>
        </w:rPr>
        <w:t>the</w:t>
      </w:r>
      <w:proofErr w:type="gramEnd"/>
      <w:r w:rsidR="00507E82" w:rsidRPr="006803AC">
        <w:rPr>
          <w:rFonts w:ascii="Calisto MT" w:hAnsi="Calisto MT"/>
          <w:sz w:val="22"/>
          <w:szCs w:val="22"/>
          <w:lang w:val="en-GB"/>
        </w:rPr>
        <w:t xml:space="preserve"> costs of staff assigned to the project under the following cumulative conditions:</w:t>
      </w:r>
    </w:p>
    <w:p w14:paraId="36A8E0E3" w14:textId="77777777" w:rsidR="00D06983" w:rsidRDefault="00507E82" w:rsidP="00D06983">
      <w:pPr>
        <w:pStyle w:val="ListParagraph"/>
        <w:spacing w:before="120" w:after="0" w:line="252" w:lineRule="auto"/>
        <w:jc w:val="both"/>
        <w:rPr>
          <w:rFonts w:ascii="Calisto MT" w:hAnsi="Calisto MT"/>
          <w:sz w:val="22"/>
          <w:szCs w:val="22"/>
          <w:lang w:val="en-GB"/>
        </w:rPr>
      </w:pPr>
      <w:r w:rsidRPr="00D06983">
        <w:rPr>
          <w:rFonts w:ascii="Calisto MT" w:hAnsi="Calisto MT"/>
          <w:sz w:val="22"/>
          <w:szCs w:val="22"/>
          <w:lang w:val="en-GB"/>
        </w:rPr>
        <w:t xml:space="preserve"> — </w:t>
      </w:r>
      <w:proofErr w:type="gramStart"/>
      <w:r w:rsidRPr="00D06983">
        <w:rPr>
          <w:rFonts w:ascii="Calisto MT" w:hAnsi="Calisto MT"/>
          <w:sz w:val="22"/>
          <w:szCs w:val="22"/>
          <w:lang w:val="en-GB"/>
        </w:rPr>
        <w:t>they</w:t>
      </w:r>
      <w:proofErr w:type="gramEnd"/>
      <w:r w:rsidRPr="00D06983">
        <w:rPr>
          <w:rFonts w:ascii="Calisto MT" w:hAnsi="Calisto MT"/>
          <w:sz w:val="22"/>
          <w:szCs w:val="22"/>
          <w:lang w:val="en-GB"/>
        </w:rPr>
        <w:t xml:space="preserve"> relate to the costs of activities which the beneficiary would not carry out if the project was not undertaken, </w:t>
      </w:r>
    </w:p>
    <w:p w14:paraId="258724FB" w14:textId="77777777" w:rsidR="00D06983" w:rsidRDefault="00507E82" w:rsidP="00D06983">
      <w:pPr>
        <w:pStyle w:val="ListParagraph"/>
        <w:spacing w:before="120" w:after="0" w:line="252" w:lineRule="auto"/>
        <w:jc w:val="both"/>
        <w:rPr>
          <w:rFonts w:ascii="Calisto MT" w:hAnsi="Calisto MT"/>
          <w:sz w:val="22"/>
          <w:szCs w:val="22"/>
          <w:lang w:val="en-GB"/>
        </w:rPr>
      </w:pPr>
      <w:r w:rsidRPr="00D06983">
        <w:rPr>
          <w:rFonts w:ascii="Calisto MT" w:hAnsi="Calisto MT"/>
          <w:sz w:val="22"/>
          <w:szCs w:val="22"/>
          <w:lang w:val="en-GB"/>
        </w:rPr>
        <w:t xml:space="preserve">— </w:t>
      </w:r>
      <w:proofErr w:type="gramStart"/>
      <w:r w:rsidRPr="00D06983">
        <w:rPr>
          <w:rFonts w:ascii="Calisto MT" w:hAnsi="Calisto MT"/>
          <w:sz w:val="22"/>
          <w:szCs w:val="22"/>
          <w:lang w:val="en-GB"/>
        </w:rPr>
        <w:t>they</w:t>
      </w:r>
      <w:proofErr w:type="gramEnd"/>
      <w:r w:rsidRPr="00D06983">
        <w:rPr>
          <w:rFonts w:ascii="Calisto MT" w:hAnsi="Calisto MT"/>
          <w:sz w:val="22"/>
          <w:szCs w:val="22"/>
          <w:lang w:val="en-GB"/>
        </w:rPr>
        <w:t xml:space="preserve"> must not exceed those normally borne by the beneficiary unless it is demonstrated that this is essential to carry out the project,</w:t>
      </w:r>
    </w:p>
    <w:p w14:paraId="0D4735B5" w14:textId="77777777" w:rsidR="00D06983" w:rsidRDefault="00507E82" w:rsidP="00D06983">
      <w:pPr>
        <w:pStyle w:val="ListParagraph"/>
        <w:spacing w:before="120" w:after="0" w:line="252" w:lineRule="auto"/>
        <w:jc w:val="both"/>
        <w:rPr>
          <w:rFonts w:ascii="Calisto MT" w:hAnsi="Calisto MT"/>
          <w:sz w:val="22"/>
          <w:szCs w:val="22"/>
          <w:lang w:val="en-GB"/>
        </w:rPr>
      </w:pPr>
      <w:r w:rsidRPr="00D06983">
        <w:rPr>
          <w:rFonts w:ascii="Calisto MT" w:hAnsi="Calisto MT"/>
          <w:sz w:val="22"/>
          <w:szCs w:val="22"/>
          <w:lang w:val="en-GB"/>
        </w:rPr>
        <w:t xml:space="preserve"> — </w:t>
      </w:r>
      <w:proofErr w:type="gramStart"/>
      <w:r w:rsidRPr="00D06983">
        <w:rPr>
          <w:rFonts w:ascii="Calisto MT" w:hAnsi="Calisto MT"/>
          <w:sz w:val="22"/>
          <w:szCs w:val="22"/>
          <w:lang w:val="en-GB"/>
        </w:rPr>
        <w:t>they</w:t>
      </w:r>
      <w:proofErr w:type="gramEnd"/>
      <w:r w:rsidRPr="00D06983">
        <w:rPr>
          <w:rFonts w:ascii="Calisto MT" w:hAnsi="Calisto MT"/>
          <w:sz w:val="22"/>
          <w:szCs w:val="22"/>
          <w:lang w:val="en-GB"/>
        </w:rPr>
        <w:t xml:space="preserve"> relate to actual gross salaries including social security charges and other remuneration-related costs;</w:t>
      </w:r>
    </w:p>
    <w:p w14:paraId="05DDBB8D" w14:textId="4D8842E0" w:rsidR="00D06983" w:rsidRDefault="00507E82" w:rsidP="006803AC">
      <w:pPr>
        <w:spacing w:before="120" w:after="0" w:line="252" w:lineRule="auto"/>
        <w:jc w:val="both"/>
        <w:rPr>
          <w:rFonts w:ascii="Calisto MT" w:hAnsi="Calisto MT"/>
          <w:sz w:val="22"/>
          <w:szCs w:val="22"/>
          <w:lang w:val="en-GB"/>
        </w:rPr>
      </w:pPr>
      <w:r w:rsidRPr="006803AC">
        <w:rPr>
          <w:rFonts w:ascii="Calisto MT" w:hAnsi="Calisto MT"/>
          <w:sz w:val="22"/>
          <w:szCs w:val="22"/>
          <w:lang w:val="en-GB"/>
        </w:rPr>
        <w:t xml:space="preserve">(b) travel and subsistence costs of staff and other persons taking part in the project, provided they exceed neither the costs normally paid by the beneficiary according to its rules and regulations nor the rates published by the Commission at the time of the mission if reimbursed on the basis of lump sums, unit costs or flat rate financing; </w:t>
      </w:r>
    </w:p>
    <w:p w14:paraId="4E612396" w14:textId="77777777" w:rsidR="00D06983" w:rsidRDefault="00507E82" w:rsidP="006803AC">
      <w:pPr>
        <w:spacing w:before="120" w:after="0" w:line="252" w:lineRule="auto"/>
        <w:jc w:val="both"/>
        <w:rPr>
          <w:rFonts w:ascii="Calisto MT" w:hAnsi="Calisto MT"/>
          <w:sz w:val="22"/>
          <w:szCs w:val="22"/>
          <w:lang w:val="en-GB"/>
        </w:rPr>
      </w:pPr>
      <w:r w:rsidRPr="006803AC">
        <w:rPr>
          <w:rFonts w:ascii="Calisto MT" w:hAnsi="Calisto MT"/>
          <w:sz w:val="22"/>
          <w:szCs w:val="22"/>
          <w:lang w:val="en-GB"/>
        </w:rPr>
        <w:t>(</w:t>
      </w:r>
      <w:proofErr w:type="gramStart"/>
      <w:r w:rsidRPr="006803AC">
        <w:rPr>
          <w:rFonts w:ascii="Calisto MT" w:hAnsi="Calisto MT"/>
          <w:sz w:val="22"/>
          <w:szCs w:val="22"/>
          <w:lang w:val="en-GB"/>
        </w:rPr>
        <w:t>c</w:t>
      </w:r>
      <w:proofErr w:type="gramEnd"/>
      <w:r w:rsidRPr="006803AC">
        <w:rPr>
          <w:rFonts w:ascii="Calisto MT" w:hAnsi="Calisto MT"/>
          <w:sz w:val="22"/>
          <w:szCs w:val="22"/>
          <w:lang w:val="en-GB"/>
        </w:rPr>
        <w:t xml:space="preserve">) purchase or rental costs for equipment (new or used) and supplies specifically for the purpose of the project, provided they correspond to market prices; </w:t>
      </w:r>
    </w:p>
    <w:p w14:paraId="64ADC766" w14:textId="77777777" w:rsidR="00D06983" w:rsidRDefault="00507E82" w:rsidP="00B22C26">
      <w:pPr>
        <w:spacing w:before="120" w:after="0" w:line="252" w:lineRule="auto"/>
        <w:jc w:val="both"/>
        <w:rPr>
          <w:rFonts w:ascii="Calisto MT" w:hAnsi="Calisto MT"/>
          <w:sz w:val="22"/>
          <w:szCs w:val="22"/>
          <w:lang w:val="en-GB"/>
        </w:rPr>
      </w:pPr>
      <w:r w:rsidRPr="006803AC">
        <w:rPr>
          <w:rFonts w:ascii="Calisto MT" w:hAnsi="Calisto MT"/>
          <w:sz w:val="22"/>
          <w:szCs w:val="22"/>
          <w:lang w:val="en-GB"/>
        </w:rPr>
        <w:t xml:space="preserve">(d) </w:t>
      </w:r>
      <w:proofErr w:type="gramStart"/>
      <w:r w:rsidRPr="006803AC">
        <w:rPr>
          <w:rFonts w:ascii="Calisto MT" w:hAnsi="Calisto MT"/>
          <w:sz w:val="22"/>
          <w:szCs w:val="22"/>
          <w:lang w:val="en-GB"/>
        </w:rPr>
        <w:t>the</w:t>
      </w:r>
      <w:proofErr w:type="gramEnd"/>
      <w:r w:rsidRPr="006803AC">
        <w:rPr>
          <w:rFonts w:ascii="Calisto MT" w:hAnsi="Calisto MT"/>
          <w:sz w:val="22"/>
          <w:szCs w:val="22"/>
          <w:lang w:val="en-GB"/>
        </w:rPr>
        <w:t xml:space="preserve"> cost of consumables specifically purchased for the project;</w:t>
      </w:r>
    </w:p>
    <w:p w14:paraId="66FFD340" w14:textId="77777777" w:rsidR="00D06983" w:rsidRDefault="00D06983" w:rsidP="00B22C26">
      <w:pPr>
        <w:spacing w:before="120" w:after="0" w:line="252" w:lineRule="auto"/>
        <w:jc w:val="both"/>
        <w:rPr>
          <w:rFonts w:ascii="Calisto MT" w:hAnsi="Calisto MT"/>
          <w:sz w:val="22"/>
          <w:szCs w:val="22"/>
          <w:lang w:val="en-GB"/>
        </w:rPr>
      </w:pPr>
      <w:r>
        <w:rPr>
          <w:rFonts w:ascii="Calisto MT" w:hAnsi="Calisto MT"/>
          <w:sz w:val="22"/>
          <w:szCs w:val="22"/>
          <w:lang w:val="en-GB"/>
        </w:rPr>
        <w:t xml:space="preserve">(e) </w:t>
      </w:r>
      <w:proofErr w:type="gramStart"/>
      <w:r w:rsidR="00507E82" w:rsidRPr="00507E82">
        <w:rPr>
          <w:rFonts w:ascii="Calisto MT" w:hAnsi="Calisto MT"/>
          <w:sz w:val="22"/>
          <w:szCs w:val="22"/>
          <w:lang w:val="en-GB"/>
        </w:rPr>
        <w:t>costs</w:t>
      </w:r>
      <w:proofErr w:type="gramEnd"/>
      <w:r w:rsidR="00507E82" w:rsidRPr="00507E82">
        <w:rPr>
          <w:rFonts w:ascii="Calisto MT" w:hAnsi="Calisto MT"/>
          <w:sz w:val="22"/>
          <w:szCs w:val="22"/>
          <w:lang w:val="en-GB"/>
        </w:rPr>
        <w:t xml:space="preserve"> entailed by contracts awarded by the beneficiaries for the purposes of the project; </w:t>
      </w:r>
    </w:p>
    <w:p w14:paraId="743F8CD6" w14:textId="5A52E29F"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(f</w:t>
      </w:r>
      <w:proofErr w:type="gramStart"/>
      <w:r w:rsidRPr="00507E82">
        <w:rPr>
          <w:rFonts w:ascii="Calisto MT" w:hAnsi="Calisto MT"/>
          <w:sz w:val="22"/>
          <w:szCs w:val="22"/>
          <w:lang w:val="en-GB"/>
        </w:rPr>
        <w:t>)costs</w:t>
      </w:r>
      <w:proofErr w:type="gramEnd"/>
      <w:r w:rsidRPr="00507E82">
        <w:rPr>
          <w:rFonts w:ascii="Calisto MT" w:hAnsi="Calisto MT"/>
          <w:sz w:val="22"/>
          <w:szCs w:val="22"/>
          <w:lang w:val="en-GB"/>
        </w:rPr>
        <w:t xml:space="preserve"> deriving directly from requirements imposed by </w:t>
      </w:r>
      <w:r w:rsidR="00D06983" w:rsidRPr="00D06983">
        <w:rPr>
          <w:rFonts w:ascii="Calisto MT" w:hAnsi="Calisto MT"/>
          <w:sz w:val="22"/>
          <w:szCs w:val="22"/>
          <w:lang w:val="en-GB"/>
        </w:rPr>
        <w:t xml:space="preserve">ENI-CBC Implementing Regulation </w:t>
      </w:r>
      <w:r w:rsidRPr="00507E82">
        <w:rPr>
          <w:rFonts w:ascii="Calisto MT" w:hAnsi="Calisto MT"/>
          <w:sz w:val="22"/>
          <w:szCs w:val="22"/>
          <w:lang w:val="en-GB"/>
        </w:rPr>
        <w:t>and the project (such as information and visibility operations, evaluations, external audits, translations) including financial service costs (such as costs of bank transfers and financial guarantees).</w:t>
      </w:r>
    </w:p>
    <w:p w14:paraId="38CCDA7C"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The following costs relating to the implementation of the project shall not be considered eligible: </w:t>
      </w:r>
    </w:p>
    <w:p w14:paraId="1930333D"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(a) </w:t>
      </w:r>
      <w:proofErr w:type="gramStart"/>
      <w:r w:rsidRPr="00507E82">
        <w:rPr>
          <w:rFonts w:ascii="Calisto MT" w:hAnsi="Calisto MT"/>
          <w:sz w:val="22"/>
          <w:szCs w:val="22"/>
          <w:lang w:val="en-GB"/>
        </w:rPr>
        <w:t>debts</w:t>
      </w:r>
      <w:proofErr w:type="gramEnd"/>
      <w:r w:rsidRPr="00507E82">
        <w:rPr>
          <w:rFonts w:ascii="Calisto MT" w:hAnsi="Calisto MT"/>
          <w:sz w:val="22"/>
          <w:szCs w:val="22"/>
          <w:lang w:val="en-GB"/>
        </w:rPr>
        <w:t xml:space="preserve"> and debt service charges (interest); </w:t>
      </w:r>
    </w:p>
    <w:p w14:paraId="1A663A6A"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(b) </w:t>
      </w:r>
      <w:proofErr w:type="gramStart"/>
      <w:r w:rsidRPr="00507E82">
        <w:rPr>
          <w:rFonts w:ascii="Calisto MT" w:hAnsi="Calisto MT"/>
          <w:sz w:val="22"/>
          <w:szCs w:val="22"/>
          <w:lang w:val="en-GB"/>
        </w:rPr>
        <w:t>provisions</w:t>
      </w:r>
      <w:proofErr w:type="gramEnd"/>
      <w:r w:rsidRPr="00507E82">
        <w:rPr>
          <w:rFonts w:ascii="Calisto MT" w:hAnsi="Calisto MT"/>
          <w:sz w:val="22"/>
          <w:szCs w:val="22"/>
          <w:lang w:val="en-GB"/>
        </w:rPr>
        <w:t xml:space="preserve"> for losses or liabilities; </w:t>
      </w:r>
    </w:p>
    <w:p w14:paraId="2D6ECD36"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(c) </w:t>
      </w:r>
      <w:proofErr w:type="gramStart"/>
      <w:r w:rsidRPr="00507E82">
        <w:rPr>
          <w:rFonts w:ascii="Calisto MT" w:hAnsi="Calisto MT"/>
          <w:sz w:val="22"/>
          <w:szCs w:val="22"/>
          <w:lang w:val="en-GB"/>
        </w:rPr>
        <w:t>costs</w:t>
      </w:r>
      <w:proofErr w:type="gramEnd"/>
      <w:r w:rsidRPr="00507E82">
        <w:rPr>
          <w:rFonts w:ascii="Calisto MT" w:hAnsi="Calisto MT"/>
          <w:sz w:val="22"/>
          <w:szCs w:val="22"/>
          <w:lang w:val="en-GB"/>
        </w:rPr>
        <w:t xml:space="preserve"> declared by the beneficiary and already financed by the Union budget; </w:t>
      </w:r>
    </w:p>
    <w:p w14:paraId="753A7153"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(d) </w:t>
      </w:r>
      <w:proofErr w:type="gramStart"/>
      <w:r w:rsidRPr="00507E82">
        <w:rPr>
          <w:rFonts w:ascii="Calisto MT" w:hAnsi="Calisto MT"/>
          <w:sz w:val="22"/>
          <w:szCs w:val="22"/>
          <w:lang w:val="en-GB"/>
        </w:rPr>
        <w:t>purchases</w:t>
      </w:r>
      <w:proofErr w:type="gramEnd"/>
      <w:r w:rsidRPr="00507E82">
        <w:rPr>
          <w:rFonts w:ascii="Calisto MT" w:hAnsi="Calisto MT"/>
          <w:sz w:val="22"/>
          <w:szCs w:val="22"/>
          <w:lang w:val="en-GB"/>
        </w:rPr>
        <w:t xml:space="preserve"> of land or buildings for an amount exceeding 10 % of the eligible expenditure of the project concerned; </w:t>
      </w:r>
    </w:p>
    <w:p w14:paraId="3A13F48D"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(e) exchange-rate losses; </w:t>
      </w:r>
    </w:p>
    <w:p w14:paraId="5ECC04C6"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(f) </w:t>
      </w:r>
      <w:proofErr w:type="gramStart"/>
      <w:r w:rsidRPr="00507E82">
        <w:rPr>
          <w:rFonts w:ascii="Calisto MT" w:hAnsi="Calisto MT"/>
          <w:sz w:val="22"/>
          <w:szCs w:val="22"/>
          <w:lang w:val="en-GB"/>
        </w:rPr>
        <w:t>duties</w:t>
      </w:r>
      <w:proofErr w:type="gramEnd"/>
      <w:r w:rsidRPr="00507E82">
        <w:rPr>
          <w:rFonts w:ascii="Calisto MT" w:hAnsi="Calisto MT"/>
          <w:sz w:val="22"/>
          <w:szCs w:val="22"/>
          <w:lang w:val="en-GB"/>
        </w:rPr>
        <w:t xml:space="preserve">, taxes and charges, including VAT, except where non-recoverable under the relevant national tax legislation, unless otherwise provided in appropriate provisions negotiated with CBC partner countries; </w:t>
      </w:r>
    </w:p>
    <w:p w14:paraId="5327649B"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(g) </w:t>
      </w:r>
      <w:proofErr w:type="gramStart"/>
      <w:r w:rsidRPr="00507E82">
        <w:rPr>
          <w:rFonts w:ascii="Calisto MT" w:hAnsi="Calisto MT"/>
          <w:sz w:val="22"/>
          <w:szCs w:val="22"/>
          <w:lang w:val="en-GB"/>
        </w:rPr>
        <w:t>loans</w:t>
      </w:r>
      <w:proofErr w:type="gramEnd"/>
      <w:r w:rsidRPr="00507E82">
        <w:rPr>
          <w:rFonts w:ascii="Calisto MT" w:hAnsi="Calisto MT"/>
          <w:sz w:val="22"/>
          <w:szCs w:val="22"/>
          <w:lang w:val="en-GB"/>
        </w:rPr>
        <w:t xml:space="preserve"> to third parties; </w:t>
      </w:r>
    </w:p>
    <w:p w14:paraId="50A48069" w14:textId="77777777" w:rsidR="00D06983"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 xml:space="preserve">(h) </w:t>
      </w:r>
      <w:proofErr w:type="gramStart"/>
      <w:r w:rsidRPr="00507E82">
        <w:rPr>
          <w:rFonts w:ascii="Calisto MT" w:hAnsi="Calisto MT"/>
          <w:sz w:val="22"/>
          <w:szCs w:val="22"/>
          <w:lang w:val="en-GB"/>
        </w:rPr>
        <w:t>fines</w:t>
      </w:r>
      <w:proofErr w:type="gramEnd"/>
      <w:r w:rsidRPr="00507E82">
        <w:rPr>
          <w:rFonts w:ascii="Calisto MT" w:hAnsi="Calisto MT"/>
          <w:sz w:val="22"/>
          <w:szCs w:val="22"/>
          <w:lang w:val="en-GB"/>
        </w:rPr>
        <w:t xml:space="preserve">, financial penalties and expenses of litigation; </w:t>
      </w:r>
    </w:p>
    <w:p w14:paraId="246D4916" w14:textId="768B0776" w:rsidR="00507E82" w:rsidRDefault="00507E82" w:rsidP="00B22C26">
      <w:pPr>
        <w:spacing w:before="120" w:after="0" w:line="252" w:lineRule="auto"/>
        <w:jc w:val="both"/>
        <w:rPr>
          <w:rFonts w:ascii="Calisto MT" w:hAnsi="Calisto MT"/>
          <w:sz w:val="22"/>
          <w:szCs w:val="22"/>
          <w:lang w:val="en-GB"/>
        </w:rPr>
      </w:pPr>
      <w:r w:rsidRPr="00507E82">
        <w:rPr>
          <w:rFonts w:ascii="Calisto MT" w:hAnsi="Calisto MT"/>
          <w:sz w:val="22"/>
          <w:szCs w:val="22"/>
          <w:lang w:val="en-GB"/>
        </w:rPr>
        <w:t>(</w:t>
      </w:r>
      <w:proofErr w:type="spellStart"/>
      <w:r w:rsidRPr="00507E82">
        <w:rPr>
          <w:rFonts w:ascii="Calisto MT" w:hAnsi="Calisto MT"/>
          <w:sz w:val="22"/>
          <w:szCs w:val="22"/>
          <w:lang w:val="en-GB"/>
        </w:rPr>
        <w:t>i</w:t>
      </w:r>
      <w:proofErr w:type="spellEnd"/>
      <w:r w:rsidRPr="00507E82">
        <w:rPr>
          <w:rFonts w:ascii="Calisto MT" w:hAnsi="Calisto MT"/>
          <w:sz w:val="22"/>
          <w:szCs w:val="22"/>
          <w:lang w:val="en-GB"/>
        </w:rPr>
        <w:t xml:space="preserve">) </w:t>
      </w:r>
      <w:proofErr w:type="gramStart"/>
      <w:r w:rsidRPr="00507E82">
        <w:rPr>
          <w:rFonts w:ascii="Calisto MT" w:hAnsi="Calisto MT"/>
          <w:sz w:val="22"/>
          <w:szCs w:val="22"/>
          <w:lang w:val="en-GB"/>
        </w:rPr>
        <w:t>contributions</w:t>
      </w:r>
      <w:proofErr w:type="gramEnd"/>
      <w:r w:rsidRPr="00507E82">
        <w:rPr>
          <w:rFonts w:ascii="Calisto MT" w:hAnsi="Calisto MT"/>
          <w:sz w:val="22"/>
          <w:szCs w:val="22"/>
          <w:lang w:val="en-GB"/>
        </w:rPr>
        <w:t xml:space="preserve"> in kind as defined in Article 14(1)</w:t>
      </w:r>
      <w:r w:rsidR="00D06983">
        <w:rPr>
          <w:rFonts w:ascii="Calisto MT" w:hAnsi="Calisto MT"/>
          <w:sz w:val="22"/>
          <w:szCs w:val="22"/>
          <w:lang w:val="en-GB"/>
        </w:rPr>
        <w:t xml:space="preserve"> of </w:t>
      </w:r>
      <w:r w:rsidR="00D06983" w:rsidRPr="00D06983">
        <w:rPr>
          <w:rFonts w:ascii="Calisto MT" w:hAnsi="Calisto MT"/>
          <w:sz w:val="22"/>
          <w:szCs w:val="22"/>
          <w:lang w:val="en-GB"/>
        </w:rPr>
        <w:t>ENI-CBC Implementing Regulation</w:t>
      </w:r>
      <w:r w:rsidRPr="00507E82">
        <w:rPr>
          <w:rFonts w:ascii="Calisto MT" w:hAnsi="Calisto MT"/>
          <w:sz w:val="22"/>
          <w:szCs w:val="22"/>
          <w:lang w:val="en-GB"/>
        </w:rPr>
        <w:t>.</w:t>
      </w:r>
    </w:p>
    <w:p w14:paraId="17FDEEF4" w14:textId="77777777" w:rsidR="001555DC" w:rsidRDefault="004816B7" w:rsidP="001555DC">
      <w:pPr>
        <w:pStyle w:val="Heading3"/>
        <w:spacing w:before="480" w:after="240" w:line="264" w:lineRule="auto"/>
        <w:rPr>
          <w:b/>
          <w:sz w:val="28"/>
          <w:szCs w:val="28"/>
          <w:lang w:val="en-GB"/>
        </w:rPr>
      </w:pPr>
      <w:bookmarkStart w:id="131" w:name="_Toc423436316"/>
      <w:r w:rsidRPr="005C78F9">
        <w:rPr>
          <w:b/>
          <w:sz w:val="28"/>
          <w:szCs w:val="28"/>
          <w:lang w:val="en-GB"/>
        </w:rPr>
        <w:t xml:space="preserve">8.9 </w:t>
      </w:r>
      <w:r w:rsidR="001555DC" w:rsidRPr="005C78F9">
        <w:rPr>
          <w:b/>
          <w:sz w:val="28"/>
          <w:szCs w:val="28"/>
          <w:lang w:val="en-GB"/>
        </w:rPr>
        <w:t>Use of euro</w:t>
      </w:r>
      <w:bookmarkEnd w:id="131"/>
      <w:r w:rsidR="001555DC" w:rsidRPr="001555DC">
        <w:rPr>
          <w:b/>
          <w:sz w:val="28"/>
          <w:szCs w:val="28"/>
          <w:lang w:val="en-GB"/>
        </w:rPr>
        <w:t xml:space="preserve"> </w:t>
      </w:r>
    </w:p>
    <w:p w14:paraId="03C4C117" w14:textId="77777777" w:rsidR="001555DC" w:rsidRPr="001555DC" w:rsidRDefault="001555DC" w:rsidP="001555DC">
      <w:pPr>
        <w:spacing w:before="120" w:after="0" w:line="252" w:lineRule="auto"/>
        <w:jc w:val="both"/>
        <w:rPr>
          <w:rFonts w:ascii="Calisto MT" w:hAnsi="Calisto MT"/>
          <w:sz w:val="22"/>
          <w:szCs w:val="22"/>
          <w:lang w:val="en-GB"/>
        </w:rPr>
      </w:pPr>
      <w:r w:rsidRPr="001555DC">
        <w:rPr>
          <w:rFonts w:ascii="Calisto MT" w:hAnsi="Calisto MT"/>
          <w:sz w:val="22"/>
          <w:szCs w:val="22"/>
          <w:lang w:val="en-GB"/>
        </w:rPr>
        <w:t xml:space="preserve">Expenditure incurred in a currency other than the euro shall be converted into euro by the Managing Authority and by the beneficiaries using the monthly accounting exchange rate of the Commission of the </w:t>
      </w:r>
      <w:r w:rsidRPr="00326F06">
        <w:rPr>
          <w:rFonts w:ascii="Calisto MT" w:hAnsi="Calisto MT"/>
          <w:sz w:val="22"/>
          <w:szCs w:val="22"/>
          <w:lang w:val="en-GB"/>
        </w:rPr>
        <w:t>month during which the expenditure was submitted for examination in accordance with Article 32(1) of the</w:t>
      </w:r>
      <w:r>
        <w:rPr>
          <w:rFonts w:ascii="Calisto MT" w:hAnsi="Calisto MT"/>
          <w:sz w:val="22"/>
          <w:szCs w:val="22"/>
          <w:lang w:val="en-GB"/>
        </w:rPr>
        <w:t xml:space="preserve"> ENI CBC Implementing Regulation.</w:t>
      </w:r>
    </w:p>
    <w:p w14:paraId="2E30368B" w14:textId="77777777" w:rsidR="00C43D18" w:rsidRPr="00F62747" w:rsidRDefault="004816B7" w:rsidP="00173BE5">
      <w:pPr>
        <w:pStyle w:val="Heading3"/>
        <w:spacing w:before="360" w:after="120" w:line="264" w:lineRule="auto"/>
        <w:rPr>
          <w:b/>
          <w:sz w:val="28"/>
          <w:szCs w:val="28"/>
          <w:lang w:val="en-GB"/>
        </w:rPr>
      </w:pPr>
      <w:bookmarkStart w:id="132" w:name="_Toc423436317"/>
      <w:bookmarkStart w:id="133" w:name="_Toc402864396"/>
      <w:r>
        <w:rPr>
          <w:b/>
          <w:sz w:val="28"/>
          <w:szCs w:val="28"/>
          <w:lang w:val="en-GB"/>
        </w:rPr>
        <w:lastRenderedPageBreak/>
        <w:t xml:space="preserve">8.10 </w:t>
      </w:r>
      <w:r w:rsidR="000B3CA2" w:rsidRPr="00F62747">
        <w:rPr>
          <w:b/>
          <w:sz w:val="28"/>
          <w:szCs w:val="28"/>
          <w:lang w:val="en-GB"/>
        </w:rPr>
        <w:t>Apportionment</w:t>
      </w:r>
      <w:r w:rsidR="00EE745F" w:rsidRPr="00F62747">
        <w:rPr>
          <w:b/>
          <w:sz w:val="28"/>
          <w:szCs w:val="28"/>
          <w:lang w:val="en-GB"/>
        </w:rPr>
        <w:t xml:space="preserve"> of liabilities</w:t>
      </w:r>
      <w:r w:rsidR="00173BE5" w:rsidRPr="00F62747">
        <w:rPr>
          <w:b/>
          <w:sz w:val="28"/>
          <w:szCs w:val="28"/>
          <w:lang w:val="en-GB"/>
        </w:rPr>
        <w:t xml:space="preserve"> among participating countries</w:t>
      </w:r>
      <w:bookmarkEnd w:id="132"/>
      <w:r w:rsidR="00EE745F" w:rsidRPr="00F62747">
        <w:rPr>
          <w:b/>
          <w:sz w:val="28"/>
          <w:szCs w:val="28"/>
          <w:lang w:val="en-GB"/>
        </w:rPr>
        <w:t xml:space="preserve"> </w:t>
      </w:r>
      <w:bookmarkEnd w:id="133"/>
    </w:p>
    <w:p w14:paraId="0AA94C44" w14:textId="77777777" w:rsidR="00DC2B28" w:rsidRPr="00DC2B28" w:rsidRDefault="00DC2B28" w:rsidP="00DC2B28">
      <w:pPr>
        <w:tabs>
          <w:tab w:val="left" w:pos="0"/>
        </w:tabs>
        <w:spacing w:before="120" w:after="0" w:line="252" w:lineRule="auto"/>
        <w:jc w:val="both"/>
        <w:rPr>
          <w:rFonts w:cs="ArialMT"/>
          <w:bCs/>
          <w:sz w:val="22"/>
          <w:szCs w:val="22"/>
          <w:lang w:val="en-US"/>
        </w:rPr>
      </w:pPr>
      <w:bookmarkStart w:id="134" w:name="_Toc402864397"/>
      <w:r>
        <w:rPr>
          <w:rFonts w:cs="ArialMT"/>
          <w:bCs/>
          <w:sz w:val="22"/>
          <w:szCs w:val="22"/>
          <w:lang w:val="en-US"/>
        </w:rPr>
        <w:t>In accordance with article 74</w:t>
      </w:r>
      <w:r w:rsidRPr="00DC2B28">
        <w:rPr>
          <w:rFonts w:cs="ArialMT"/>
          <w:bCs/>
          <w:sz w:val="22"/>
          <w:szCs w:val="22"/>
          <w:lang w:val="en-US"/>
        </w:rPr>
        <w:t xml:space="preserve"> of the ENI-CBC Implementing Regulation, the Managing Authority shall be responsible for pursuing the recovery of amounts</w:t>
      </w:r>
      <w:r w:rsidR="004D5F09">
        <w:rPr>
          <w:rFonts w:cs="ArialMT"/>
          <w:bCs/>
          <w:sz w:val="22"/>
          <w:szCs w:val="22"/>
          <w:lang w:val="en-US"/>
        </w:rPr>
        <w:t xml:space="preserve"> unduly paid</w:t>
      </w:r>
      <w:r w:rsidRPr="00DC2B28">
        <w:rPr>
          <w:rFonts w:cs="ArialMT"/>
          <w:bCs/>
          <w:sz w:val="22"/>
          <w:szCs w:val="22"/>
          <w:lang w:val="en-US"/>
        </w:rPr>
        <w:t xml:space="preserve">. </w:t>
      </w:r>
    </w:p>
    <w:p w14:paraId="1BDF710C" w14:textId="77777777" w:rsidR="00DC2B28" w:rsidRPr="00DC2B28" w:rsidRDefault="00DC2B28" w:rsidP="00DC2B28">
      <w:pPr>
        <w:tabs>
          <w:tab w:val="left" w:pos="0"/>
        </w:tabs>
        <w:spacing w:before="120" w:after="0" w:line="252" w:lineRule="auto"/>
        <w:jc w:val="both"/>
        <w:rPr>
          <w:rFonts w:cs="ArialMT"/>
          <w:bCs/>
          <w:sz w:val="22"/>
          <w:szCs w:val="22"/>
          <w:lang w:val="en-US"/>
        </w:rPr>
      </w:pPr>
      <w:r w:rsidRPr="00DC2B28">
        <w:rPr>
          <w:rFonts w:cs="ArialMT"/>
          <w:bCs/>
          <w:sz w:val="22"/>
          <w:szCs w:val="22"/>
          <w:lang w:val="en-US"/>
        </w:rPr>
        <w:t xml:space="preserve">Where the recovery relates to a claim against a beneficiary established in a Member State and the Managing Authority is unable to recover the debt, the Member State in which the beneficiary is established shall pay the due amount to the Managing Authority and claim it back from the beneficiary. </w:t>
      </w:r>
    </w:p>
    <w:p w14:paraId="66009081" w14:textId="77777777" w:rsidR="00DC2B28" w:rsidRDefault="00DC2B28" w:rsidP="00DC2B28">
      <w:pPr>
        <w:tabs>
          <w:tab w:val="left" w:pos="0"/>
        </w:tabs>
        <w:spacing w:before="120" w:after="0" w:line="252" w:lineRule="auto"/>
        <w:jc w:val="both"/>
        <w:rPr>
          <w:rFonts w:cs="ArialMT"/>
          <w:bCs/>
          <w:sz w:val="22"/>
          <w:szCs w:val="22"/>
          <w:lang w:val="en-US"/>
        </w:rPr>
      </w:pPr>
      <w:r w:rsidRPr="00DC2B28">
        <w:rPr>
          <w:rFonts w:cs="ArialMT"/>
          <w:bCs/>
          <w:sz w:val="22"/>
          <w:szCs w:val="22"/>
          <w:lang w:val="en-US"/>
        </w:rPr>
        <w:t>Where the recovery relates to a claim against a beneficiary established in a CBC partner country and the Managing Authority is unable to recover the debt, the level of responsibility of the CBC partner country in which the beneficiary is established shall be such as it is laid down in the relevant financing agreement.</w:t>
      </w:r>
    </w:p>
    <w:p w14:paraId="3EB49914" w14:textId="77777777" w:rsidR="00173BE5" w:rsidRPr="00173BE5" w:rsidRDefault="00173BE5" w:rsidP="00173BE5">
      <w:pPr>
        <w:tabs>
          <w:tab w:val="left" w:pos="0"/>
        </w:tabs>
        <w:spacing w:before="120" w:after="0" w:line="252" w:lineRule="auto"/>
        <w:jc w:val="both"/>
        <w:rPr>
          <w:rFonts w:cs="ArialMT"/>
          <w:bCs/>
          <w:sz w:val="22"/>
          <w:szCs w:val="22"/>
          <w:lang w:val="en-US"/>
        </w:rPr>
      </w:pPr>
      <w:r w:rsidRPr="00173BE5">
        <w:rPr>
          <w:rFonts w:cs="ArialMT"/>
          <w:bCs/>
          <w:sz w:val="22"/>
          <w:szCs w:val="22"/>
          <w:lang w:val="en-US"/>
        </w:rPr>
        <w:t>In accordance with article 72 o</w:t>
      </w:r>
      <w:r w:rsidR="002534C5">
        <w:rPr>
          <w:rFonts w:cs="ArialMT"/>
          <w:bCs/>
          <w:sz w:val="22"/>
          <w:szCs w:val="22"/>
          <w:lang w:val="en-US"/>
        </w:rPr>
        <w:t>f the ENI-CBC Implementing Regulation</w:t>
      </w:r>
      <w:r w:rsidRPr="00173BE5">
        <w:rPr>
          <w:rFonts w:cs="ArialMT"/>
          <w:bCs/>
          <w:sz w:val="22"/>
          <w:szCs w:val="22"/>
          <w:lang w:val="en-US"/>
        </w:rPr>
        <w:t>, “</w:t>
      </w:r>
      <w:r w:rsidRPr="00173BE5">
        <w:rPr>
          <w:rFonts w:cs="ArialMT"/>
          <w:bCs/>
          <w:i/>
          <w:iCs/>
          <w:sz w:val="22"/>
          <w:szCs w:val="22"/>
          <w:lang w:val="en-US"/>
        </w:rPr>
        <w:t xml:space="preserve">the Commission shall make financial corrections by cancelling all or part of the Union contribution to a </w:t>
      </w:r>
      <w:proofErr w:type="spellStart"/>
      <w:r w:rsidRPr="00173BE5">
        <w:rPr>
          <w:rFonts w:cs="ArialMT"/>
          <w:bCs/>
          <w:i/>
          <w:iCs/>
          <w:sz w:val="22"/>
          <w:szCs w:val="22"/>
          <w:lang w:val="en-US"/>
        </w:rPr>
        <w:t>programme</w:t>
      </w:r>
      <w:proofErr w:type="spellEnd"/>
      <w:r w:rsidRPr="00173BE5">
        <w:rPr>
          <w:rFonts w:cs="ArialMT"/>
          <w:bCs/>
          <w:i/>
          <w:iCs/>
          <w:sz w:val="22"/>
          <w:szCs w:val="22"/>
          <w:lang w:val="en-US"/>
        </w:rPr>
        <w:t xml:space="preserve"> and effecting recovery from the Managing Authority in order to exclude from Union financing expenditure which is in breach of applicable law or related to deficiencies in the </w:t>
      </w:r>
      <w:proofErr w:type="spellStart"/>
      <w:r w:rsidRPr="00173BE5">
        <w:rPr>
          <w:rFonts w:cs="ArialMT"/>
          <w:bCs/>
          <w:i/>
          <w:iCs/>
          <w:sz w:val="22"/>
          <w:szCs w:val="22"/>
          <w:lang w:val="en-US"/>
        </w:rPr>
        <w:t>programme</w:t>
      </w:r>
      <w:proofErr w:type="spellEnd"/>
      <w:r w:rsidRPr="00173BE5">
        <w:rPr>
          <w:rFonts w:cs="ArialMT"/>
          <w:bCs/>
          <w:i/>
          <w:iCs/>
          <w:sz w:val="22"/>
          <w:szCs w:val="22"/>
          <w:lang w:val="en-US"/>
        </w:rPr>
        <w:t xml:space="preserve"> management and control systems which have been detected by the Commission or the European Court of Auditors</w:t>
      </w:r>
      <w:r w:rsidRPr="00173BE5">
        <w:rPr>
          <w:rFonts w:cs="ArialMT"/>
          <w:bCs/>
          <w:sz w:val="22"/>
          <w:szCs w:val="22"/>
          <w:lang w:val="en-US"/>
        </w:rPr>
        <w:t>”.</w:t>
      </w:r>
    </w:p>
    <w:p w14:paraId="3161638A" w14:textId="77777777" w:rsidR="00173BE5" w:rsidRPr="00173BE5" w:rsidRDefault="00173BE5" w:rsidP="00173BE5">
      <w:pPr>
        <w:tabs>
          <w:tab w:val="left" w:pos="0"/>
        </w:tabs>
        <w:spacing w:before="120" w:after="0" w:line="252" w:lineRule="auto"/>
        <w:jc w:val="both"/>
        <w:rPr>
          <w:rFonts w:cs="ArialMT"/>
          <w:bCs/>
          <w:sz w:val="22"/>
          <w:szCs w:val="22"/>
          <w:lang w:val="en-US"/>
        </w:rPr>
      </w:pPr>
      <w:r w:rsidRPr="00173BE5">
        <w:rPr>
          <w:rFonts w:cs="ArialMT"/>
          <w:bCs/>
          <w:sz w:val="22"/>
          <w:szCs w:val="22"/>
          <w:lang w:val="en-US"/>
        </w:rPr>
        <w:t>In accordance with article 74, “w</w:t>
      </w:r>
      <w:r w:rsidRPr="00173BE5">
        <w:rPr>
          <w:rFonts w:cs="ArialMT"/>
          <w:bCs/>
          <w:i/>
          <w:iCs/>
          <w:sz w:val="22"/>
          <w:szCs w:val="22"/>
          <w:lang w:val="en-US"/>
        </w:rPr>
        <w:t xml:space="preserve">here the recovery relates to systemic deficiencies in the </w:t>
      </w:r>
      <w:proofErr w:type="spellStart"/>
      <w:r w:rsidRPr="00173BE5">
        <w:rPr>
          <w:rFonts w:cs="ArialMT"/>
          <w:bCs/>
          <w:i/>
          <w:iCs/>
          <w:sz w:val="22"/>
          <w:szCs w:val="22"/>
          <w:lang w:val="en-US"/>
        </w:rPr>
        <w:t>programme</w:t>
      </w:r>
      <w:proofErr w:type="spellEnd"/>
      <w:r w:rsidRPr="00173BE5">
        <w:rPr>
          <w:rFonts w:cs="ArialMT"/>
          <w:bCs/>
          <w:i/>
          <w:iCs/>
          <w:sz w:val="22"/>
          <w:szCs w:val="22"/>
          <w:lang w:val="en-US"/>
        </w:rPr>
        <w:t xml:space="preserve"> management and control systems, the Managing Authority shall be responsible for reimbursing the amounts concerned to the Commission in accordance with the apportionment of liabilities among the participating countries as laid down in the </w:t>
      </w:r>
      <w:proofErr w:type="spellStart"/>
      <w:r w:rsidRPr="00173BE5">
        <w:rPr>
          <w:rFonts w:cs="ArialMT"/>
          <w:bCs/>
          <w:i/>
          <w:iCs/>
          <w:sz w:val="22"/>
          <w:szCs w:val="22"/>
          <w:lang w:val="en-US"/>
        </w:rPr>
        <w:t>programme</w:t>
      </w:r>
      <w:proofErr w:type="spellEnd"/>
      <w:r w:rsidRPr="00173BE5">
        <w:rPr>
          <w:rFonts w:cs="ArialMT"/>
          <w:bCs/>
          <w:sz w:val="22"/>
          <w:szCs w:val="22"/>
          <w:lang w:val="en-US"/>
        </w:rPr>
        <w:t xml:space="preserve">”. </w:t>
      </w:r>
    </w:p>
    <w:p w14:paraId="003485B8" w14:textId="77777777" w:rsidR="00173BE5" w:rsidRPr="00173BE5" w:rsidRDefault="00173BE5" w:rsidP="00173BE5">
      <w:pPr>
        <w:tabs>
          <w:tab w:val="left" w:pos="0"/>
        </w:tabs>
        <w:spacing w:before="120" w:after="0" w:line="252" w:lineRule="auto"/>
        <w:jc w:val="both"/>
        <w:rPr>
          <w:rFonts w:cs="ArialMT"/>
          <w:bCs/>
          <w:sz w:val="22"/>
          <w:szCs w:val="22"/>
          <w:lang w:val="en-US"/>
        </w:rPr>
      </w:pPr>
      <w:r w:rsidRPr="00173BE5">
        <w:rPr>
          <w:rFonts w:cs="ArialMT"/>
          <w:bCs/>
          <w:sz w:val="22"/>
          <w:szCs w:val="22"/>
          <w:lang w:val="en-US"/>
        </w:rPr>
        <w:t>The criteria for apportionment shall be the following:</w:t>
      </w:r>
    </w:p>
    <w:p w14:paraId="79FA9C7D" w14:textId="77777777" w:rsidR="00173BE5" w:rsidRPr="00173BE5" w:rsidRDefault="002534C5" w:rsidP="009D565C">
      <w:pPr>
        <w:pStyle w:val="ListParagraph"/>
        <w:numPr>
          <w:ilvl w:val="0"/>
          <w:numId w:val="71"/>
        </w:numPr>
        <w:tabs>
          <w:tab w:val="left" w:pos="0"/>
        </w:tabs>
        <w:spacing w:before="120" w:after="0" w:line="252" w:lineRule="auto"/>
        <w:jc w:val="both"/>
        <w:rPr>
          <w:rFonts w:cs="ArialMT"/>
          <w:bCs/>
          <w:sz w:val="22"/>
          <w:szCs w:val="22"/>
          <w:lang w:val="en-US"/>
        </w:rPr>
      </w:pPr>
      <w:r>
        <w:rPr>
          <w:rFonts w:cs="ArialMT"/>
          <w:bCs/>
          <w:sz w:val="22"/>
          <w:szCs w:val="22"/>
          <w:lang w:val="en-US"/>
        </w:rPr>
        <w:t>I</w:t>
      </w:r>
      <w:r w:rsidR="00173BE5" w:rsidRPr="00173BE5">
        <w:rPr>
          <w:rFonts w:cs="ArialMT"/>
          <w:bCs/>
          <w:sz w:val="22"/>
          <w:szCs w:val="22"/>
          <w:lang w:val="en-US"/>
        </w:rPr>
        <w:t>f the systemic deficiency concerns one specific country, this country shall be responsible for</w:t>
      </w:r>
      <w:r w:rsidR="00CA2264">
        <w:rPr>
          <w:rFonts w:cs="ArialMT"/>
          <w:bCs/>
          <w:sz w:val="22"/>
          <w:szCs w:val="22"/>
          <w:lang w:val="en-US"/>
        </w:rPr>
        <w:t xml:space="preserve"> reimbursing to the </w:t>
      </w:r>
      <w:proofErr w:type="spellStart"/>
      <w:r w:rsidR="00CA2264">
        <w:rPr>
          <w:rFonts w:cs="ArialMT"/>
          <w:bCs/>
          <w:sz w:val="22"/>
          <w:szCs w:val="22"/>
          <w:lang w:val="en-US"/>
        </w:rPr>
        <w:t>Programme</w:t>
      </w:r>
      <w:proofErr w:type="spellEnd"/>
      <w:r w:rsidR="00CA2264">
        <w:rPr>
          <w:rFonts w:cs="ArialMT"/>
          <w:bCs/>
          <w:sz w:val="22"/>
          <w:szCs w:val="22"/>
          <w:lang w:val="en-US"/>
        </w:rPr>
        <w:t xml:space="preserve"> accounts</w:t>
      </w:r>
      <w:r w:rsidR="00173BE5" w:rsidRPr="00173BE5">
        <w:rPr>
          <w:rFonts w:cs="ArialMT"/>
          <w:bCs/>
          <w:sz w:val="22"/>
          <w:szCs w:val="22"/>
          <w:lang w:val="en-US"/>
        </w:rPr>
        <w:t xml:space="preserve"> the amount </w:t>
      </w:r>
      <w:r w:rsidR="009D565C" w:rsidRPr="009D565C">
        <w:rPr>
          <w:rFonts w:cs="ArialMT"/>
          <w:bCs/>
          <w:sz w:val="22"/>
          <w:szCs w:val="22"/>
          <w:lang w:val="en-US"/>
        </w:rPr>
        <w:t xml:space="preserve">identified as a result of </w:t>
      </w:r>
      <w:r w:rsidR="009D565C">
        <w:rPr>
          <w:rFonts w:cs="ArialMT"/>
          <w:bCs/>
          <w:sz w:val="22"/>
          <w:szCs w:val="22"/>
          <w:lang w:val="en-US"/>
        </w:rPr>
        <w:t>the</w:t>
      </w:r>
      <w:r w:rsidR="00173BE5" w:rsidRPr="00173BE5">
        <w:rPr>
          <w:rFonts w:cs="ArialMT"/>
          <w:bCs/>
          <w:sz w:val="22"/>
          <w:szCs w:val="22"/>
          <w:lang w:val="en-US"/>
        </w:rPr>
        <w:t xml:space="preserve"> financial correction;</w:t>
      </w:r>
    </w:p>
    <w:p w14:paraId="1E524D8B" w14:textId="77777777" w:rsidR="00DC2B28" w:rsidRPr="0018000E" w:rsidRDefault="002534C5" w:rsidP="00173BE5">
      <w:pPr>
        <w:pStyle w:val="ListParagraph"/>
        <w:numPr>
          <w:ilvl w:val="0"/>
          <w:numId w:val="71"/>
        </w:numPr>
        <w:tabs>
          <w:tab w:val="left" w:pos="0"/>
        </w:tabs>
        <w:spacing w:before="120" w:after="0" w:line="252" w:lineRule="auto"/>
        <w:jc w:val="both"/>
        <w:rPr>
          <w:rFonts w:cs="ArialMT"/>
          <w:bCs/>
          <w:sz w:val="22"/>
          <w:szCs w:val="22"/>
          <w:lang w:val="en-US"/>
        </w:rPr>
      </w:pPr>
      <w:r>
        <w:rPr>
          <w:rFonts w:cs="ArialMT"/>
          <w:bCs/>
          <w:sz w:val="22"/>
          <w:szCs w:val="22"/>
          <w:lang w:val="en-US"/>
        </w:rPr>
        <w:t>If</w:t>
      </w:r>
      <w:r w:rsidR="00173BE5" w:rsidRPr="00173BE5">
        <w:rPr>
          <w:rFonts w:cs="ArialMT"/>
          <w:bCs/>
          <w:sz w:val="22"/>
          <w:szCs w:val="22"/>
          <w:lang w:val="en-US"/>
        </w:rPr>
        <w:t xml:space="preserve"> the systemic deficiency concerns the whole system, each country shall be responsible for </w:t>
      </w:r>
      <w:r w:rsidR="00CA2264" w:rsidRPr="00CA2264">
        <w:rPr>
          <w:rFonts w:cs="ArialMT"/>
          <w:bCs/>
          <w:sz w:val="22"/>
          <w:szCs w:val="22"/>
          <w:lang w:val="en-US"/>
        </w:rPr>
        <w:t xml:space="preserve">reimbursing to the </w:t>
      </w:r>
      <w:proofErr w:type="spellStart"/>
      <w:r w:rsidR="00CA2264" w:rsidRPr="00CA2264">
        <w:rPr>
          <w:rFonts w:cs="ArialMT"/>
          <w:bCs/>
          <w:sz w:val="22"/>
          <w:szCs w:val="22"/>
          <w:lang w:val="en-US"/>
        </w:rPr>
        <w:t>Programme</w:t>
      </w:r>
      <w:proofErr w:type="spellEnd"/>
      <w:r w:rsidR="00CA2264" w:rsidRPr="00CA2264">
        <w:rPr>
          <w:rFonts w:cs="ArialMT"/>
          <w:bCs/>
          <w:sz w:val="22"/>
          <w:szCs w:val="22"/>
          <w:lang w:val="en-US"/>
        </w:rPr>
        <w:t xml:space="preserve"> accounts </w:t>
      </w:r>
      <w:r w:rsidR="009D565C" w:rsidRPr="009D565C">
        <w:rPr>
          <w:rFonts w:cs="ArialMT"/>
          <w:bCs/>
          <w:sz w:val="22"/>
          <w:szCs w:val="22"/>
          <w:lang w:val="en-US"/>
        </w:rPr>
        <w:t xml:space="preserve">the amount representing the percentage of the financial correction applied to </w:t>
      </w:r>
      <w:r w:rsidR="009D565C">
        <w:rPr>
          <w:rFonts w:cs="ArialMT"/>
          <w:bCs/>
          <w:sz w:val="22"/>
          <w:szCs w:val="22"/>
          <w:lang w:val="en-US"/>
        </w:rPr>
        <w:t xml:space="preserve">the </w:t>
      </w:r>
      <w:r w:rsidR="00173BE5" w:rsidRPr="00173BE5">
        <w:rPr>
          <w:rFonts w:cs="ArialMT"/>
          <w:bCs/>
          <w:sz w:val="22"/>
          <w:szCs w:val="22"/>
          <w:lang w:val="en-US"/>
        </w:rPr>
        <w:t xml:space="preserve">expenditure incurred by the beneficiaries </w:t>
      </w:r>
      <w:r w:rsidR="00916356">
        <w:rPr>
          <w:rFonts w:cs="ArialMT"/>
          <w:bCs/>
          <w:sz w:val="22"/>
          <w:szCs w:val="22"/>
          <w:lang w:val="en-US"/>
        </w:rPr>
        <w:t>of the respective</w:t>
      </w:r>
      <w:r w:rsidR="00173BE5" w:rsidRPr="00173BE5">
        <w:rPr>
          <w:rFonts w:cs="ArialMT"/>
          <w:bCs/>
          <w:sz w:val="22"/>
          <w:szCs w:val="22"/>
          <w:lang w:val="en-US"/>
        </w:rPr>
        <w:t xml:space="preserve"> country and declared by the MA to the European Commission at the date of the decision to apply the financial correction. </w:t>
      </w:r>
    </w:p>
    <w:p w14:paraId="56757F2C" w14:textId="77777777" w:rsidR="00DD6103" w:rsidRPr="0018000E" w:rsidRDefault="004816B7" w:rsidP="0018000E">
      <w:pPr>
        <w:pStyle w:val="Heading3"/>
        <w:spacing w:before="480" w:after="240" w:line="264" w:lineRule="auto"/>
        <w:rPr>
          <w:b/>
          <w:sz w:val="28"/>
          <w:szCs w:val="28"/>
          <w:lang w:val="en-GB"/>
        </w:rPr>
      </w:pPr>
      <w:bookmarkStart w:id="135" w:name="_Toc423436318"/>
      <w:r>
        <w:rPr>
          <w:b/>
          <w:sz w:val="28"/>
          <w:szCs w:val="28"/>
          <w:lang w:val="en-GB"/>
        </w:rPr>
        <w:t xml:space="preserve">8.11 </w:t>
      </w:r>
      <w:r w:rsidR="00EE745F" w:rsidRPr="0018000E">
        <w:rPr>
          <w:b/>
          <w:sz w:val="28"/>
          <w:szCs w:val="28"/>
          <w:lang w:val="en-GB"/>
        </w:rPr>
        <w:t xml:space="preserve">Rules </w:t>
      </w:r>
      <w:r w:rsidR="00DD6103" w:rsidRPr="0018000E">
        <w:rPr>
          <w:b/>
          <w:sz w:val="28"/>
          <w:szCs w:val="28"/>
          <w:lang w:val="en-GB"/>
        </w:rPr>
        <w:t>of</w:t>
      </w:r>
      <w:r w:rsidR="00EE745F" w:rsidRPr="0018000E">
        <w:rPr>
          <w:b/>
          <w:sz w:val="28"/>
          <w:szCs w:val="28"/>
          <w:lang w:val="en-GB"/>
        </w:rPr>
        <w:t xml:space="preserve"> transfer, use and monitoring of co-financing</w:t>
      </w:r>
      <w:bookmarkEnd w:id="134"/>
      <w:bookmarkEnd w:id="135"/>
    </w:p>
    <w:p w14:paraId="749CA53B" w14:textId="77777777" w:rsidR="00DD6103" w:rsidRPr="007D3961" w:rsidRDefault="00DD6103" w:rsidP="00C144A2">
      <w:pPr>
        <w:spacing w:before="240" w:after="120"/>
        <w:rPr>
          <w:b/>
          <w:lang w:val="en-GB"/>
        </w:rPr>
      </w:pPr>
      <w:r w:rsidRPr="007D3961">
        <w:rPr>
          <w:b/>
          <w:lang w:val="en-GB"/>
        </w:rPr>
        <w:t>Co-financing principle</w:t>
      </w:r>
    </w:p>
    <w:p w14:paraId="387BB801" w14:textId="77777777" w:rsidR="007D3961" w:rsidRPr="008E396A" w:rsidRDefault="00DD6103"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 xml:space="preserve">Article 12 of ENI-CBC Implementing Rules states that co-financing shall amount to at least 10% of the Union contribution, that is 4.903.860 €. This minimum amount may come from the projects and from the contribution of the participating countries to the Technical Assistance. </w:t>
      </w:r>
    </w:p>
    <w:p w14:paraId="7D4EC3AB" w14:textId="77777777" w:rsidR="00DD6103" w:rsidRPr="008E396A" w:rsidRDefault="00DD6103"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 xml:space="preserve">Under the co-financing principle, as stated in article 183 of the Rules of Application (RAP) of the Financial Regulation (Commission Delegated Regulation (EU) No 1268/2012), the resources which are necessary to carry out the projects shall not be provided entirely by the Union contribution. </w:t>
      </w:r>
    </w:p>
    <w:p w14:paraId="51B577FF" w14:textId="77777777" w:rsidR="00DD6103" w:rsidRPr="008E396A" w:rsidRDefault="00DD6103"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The percentage of Union contribution to projects shall be defined in the calls for proposals and the grant contracts.</w:t>
      </w:r>
    </w:p>
    <w:p w14:paraId="39C95BA9" w14:textId="77777777" w:rsidR="00DD6103" w:rsidRPr="008E396A" w:rsidRDefault="00DD6103"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The co-financing may take the following forms:</w:t>
      </w:r>
    </w:p>
    <w:p w14:paraId="7CCE3D0E" w14:textId="77777777" w:rsidR="00DD6103" w:rsidRPr="007D3961" w:rsidRDefault="00DD6103" w:rsidP="00DF5D1F">
      <w:pPr>
        <w:numPr>
          <w:ilvl w:val="0"/>
          <w:numId w:val="29"/>
        </w:numPr>
        <w:spacing w:before="120" w:after="0" w:line="264" w:lineRule="auto"/>
        <w:contextualSpacing/>
        <w:jc w:val="both"/>
        <w:rPr>
          <w:rFonts w:cs="ArialMT"/>
          <w:bCs/>
          <w:sz w:val="22"/>
          <w:szCs w:val="22"/>
        </w:rPr>
      </w:pPr>
      <w:proofErr w:type="spellStart"/>
      <w:r w:rsidRPr="007D3961">
        <w:rPr>
          <w:rFonts w:cs="ArialMT"/>
          <w:bCs/>
          <w:sz w:val="22"/>
          <w:szCs w:val="22"/>
        </w:rPr>
        <w:t>Beneficiary’s</w:t>
      </w:r>
      <w:proofErr w:type="spellEnd"/>
      <w:r w:rsidRPr="007D3961">
        <w:rPr>
          <w:rFonts w:cs="ArialMT"/>
          <w:bCs/>
          <w:sz w:val="22"/>
          <w:szCs w:val="22"/>
        </w:rPr>
        <w:t xml:space="preserve"> </w:t>
      </w:r>
      <w:proofErr w:type="spellStart"/>
      <w:r w:rsidRPr="007D3961">
        <w:rPr>
          <w:rFonts w:cs="ArialMT"/>
          <w:bCs/>
          <w:sz w:val="22"/>
          <w:szCs w:val="22"/>
        </w:rPr>
        <w:t>own</w:t>
      </w:r>
      <w:proofErr w:type="spellEnd"/>
      <w:r w:rsidRPr="007D3961">
        <w:rPr>
          <w:rFonts w:cs="ArialMT"/>
          <w:bCs/>
          <w:sz w:val="22"/>
          <w:szCs w:val="22"/>
        </w:rPr>
        <w:t xml:space="preserve"> </w:t>
      </w:r>
      <w:proofErr w:type="spellStart"/>
      <w:r w:rsidRPr="007D3961">
        <w:rPr>
          <w:rFonts w:cs="ArialMT"/>
          <w:bCs/>
          <w:sz w:val="22"/>
          <w:szCs w:val="22"/>
        </w:rPr>
        <w:t>resources</w:t>
      </w:r>
      <w:proofErr w:type="spellEnd"/>
    </w:p>
    <w:p w14:paraId="0F093A0D" w14:textId="77777777" w:rsidR="00DD6103" w:rsidRPr="00CA3055" w:rsidRDefault="00DD6103" w:rsidP="00DF5D1F">
      <w:pPr>
        <w:numPr>
          <w:ilvl w:val="0"/>
          <w:numId w:val="29"/>
        </w:numPr>
        <w:spacing w:before="120" w:after="0" w:line="264" w:lineRule="auto"/>
        <w:contextualSpacing/>
        <w:jc w:val="both"/>
        <w:rPr>
          <w:rFonts w:cs="ArialMT"/>
          <w:bCs/>
          <w:sz w:val="22"/>
          <w:szCs w:val="22"/>
        </w:rPr>
      </w:pPr>
      <w:proofErr w:type="spellStart"/>
      <w:r w:rsidRPr="00CA3055">
        <w:rPr>
          <w:rFonts w:cs="ArialMT"/>
          <w:bCs/>
          <w:sz w:val="22"/>
          <w:szCs w:val="22"/>
        </w:rPr>
        <w:t>Income</w:t>
      </w:r>
      <w:proofErr w:type="spellEnd"/>
      <w:r w:rsidRPr="00CA3055">
        <w:rPr>
          <w:rFonts w:cs="ArialMT"/>
          <w:bCs/>
          <w:sz w:val="22"/>
          <w:szCs w:val="22"/>
        </w:rPr>
        <w:t xml:space="preserve"> </w:t>
      </w:r>
      <w:proofErr w:type="spellStart"/>
      <w:r w:rsidRPr="00CA3055">
        <w:rPr>
          <w:rFonts w:cs="ArialMT"/>
          <w:bCs/>
          <w:sz w:val="22"/>
          <w:szCs w:val="22"/>
        </w:rPr>
        <w:t>generated</w:t>
      </w:r>
      <w:proofErr w:type="spellEnd"/>
      <w:r w:rsidRPr="00CA3055">
        <w:rPr>
          <w:rFonts w:cs="ArialMT"/>
          <w:bCs/>
          <w:sz w:val="22"/>
          <w:szCs w:val="22"/>
        </w:rPr>
        <w:t xml:space="preserve"> by the </w:t>
      </w:r>
      <w:proofErr w:type="spellStart"/>
      <w:r w:rsidRPr="00CA3055">
        <w:rPr>
          <w:rFonts w:cs="ArialMT"/>
          <w:bCs/>
          <w:sz w:val="22"/>
          <w:szCs w:val="22"/>
        </w:rPr>
        <w:t>project</w:t>
      </w:r>
      <w:proofErr w:type="spellEnd"/>
    </w:p>
    <w:p w14:paraId="7004B0DA" w14:textId="77777777" w:rsidR="00DD6103" w:rsidRPr="00682784" w:rsidRDefault="00DD6103" w:rsidP="00DF5D1F">
      <w:pPr>
        <w:numPr>
          <w:ilvl w:val="0"/>
          <w:numId w:val="29"/>
        </w:numPr>
        <w:spacing w:before="120" w:after="0" w:line="264" w:lineRule="auto"/>
        <w:contextualSpacing/>
        <w:jc w:val="both"/>
        <w:rPr>
          <w:rFonts w:cs="ArialMT"/>
          <w:bCs/>
          <w:sz w:val="22"/>
          <w:szCs w:val="22"/>
          <w:lang w:val="en-GB"/>
        </w:rPr>
      </w:pPr>
      <w:r w:rsidRPr="00682784">
        <w:rPr>
          <w:rFonts w:cs="ArialMT"/>
          <w:bCs/>
          <w:sz w:val="22"/>
          <w:szCs w:val="22"/>
          <w:lang w:val="en-GB"/>
        </w:rPr>
        <w:t>Financial contributions by third parties, from sources other than the Union</w:t>
      </w:r>
      <w:r w:rsidR="004C45B4">
        <w:rPr>
          <w:rFonts w:cs="ArialMT"/>
          <w:bCs/>
          <w:sz w:val="22"/>
          <w:szCs w:val="22"/>
          <w:lang w:val="en-GB"/>
        </w:rPr>
        <w:t>.</w:t>
      </w:r>
    </w:p>
    <w:p w14:paraId="7F019ADF" w14:textId="77777777" w:rsidR="00DD6103" w:rsidRPr="008E396A" w:rsidRDefault="00DD6103" w:rsidP="008E396A">
      <w:pPr>
        <w:spacing w:before="120" w:after="0" w:line="252" w:lineRule="auto"/>
        <w:jc w:val="both"/>
        <w:rPr>
          <w:rFonts w:ascii="Calisto MT" w:hAnsi="Calisto MT"/>
          <w:sz w:val="22"/>
          <w:szCs w:val="22"/>
          <w:lang w:val="en-GB"/>
        </w:rPr>
      </w:pPr>
      <w:r w:rsidRPr="008E396A">
        <w:rPr>
          <w:rFonts w:ascii="Calisto MT" w:hAnsi="Calisto MT"/>
          <w:sz w:val="22"/>
          <w:szCs w:val="22"/>
          <w:lang w:val="en-GB"/>
        </w:rPr>
        <w:t xml:space="preserve">Together with the Union contribution, these sources of co-financing shall constitute the project receipts, as defined by the article 125(5) of the Financial Regulation (EU, </w:t>
      </w:r>
      <w:proofErr w:type="spellStart"/>
      <w:proofErr w:type="gramStart"/>
      <w:r w:rsidRPr="008E396A">
        <w:rPr>
          <w:rFonts w:ascii="Calisto MT" w:hAnsi="Calisto MT"/>
          <w:sz w:val="22"/>
          <w:szCs w:val="22"/>
          <w:lang w:val="en-GB"/>
        </w:rPr>
        <w:t>Euratom</w:t>
      </w:r>
      <w:proofErr w:type="spellEnd"/>
      <w:proofErr w:type="gramEnd"/>
      <w:r w:rsidRPr="008E396A">
        <w:rPr>
          <w:rFonts w:ascii="Calisto MT" w:hAnsi="Calisto MT"/>
          <w:sz w:val="22"/>
          <w:szCs w:val="22"/>
          <w:lang w:val="en-GB"/>
        </w:rPr>
        <w:t xml:space="preserve">) No 966/2012. </w:t>
      </w:r>
    </w:p>
    <w:p w14:paraId="7B9F4AA1" w14:textId="77777777" w:rsidR="00DD6103" w:rsidRPr="007D3961" w:rsidRDefault="00DD6103" w:rsidP="00DF5D1F">
      <w:pPr>
        <w:spacing w:before="240" w:after="120"/>
        <w:jc w:val="both"/>
        <w:rPr>
          <w:b/>
          <w:lang w:val="en-GB"/>
        </w:rPr>
      </w:pPr>
      <w:r w:rsidRPr="007D3961">
        <w:rPr>
          <w:b/>
          <w:lang w:val="en-GB"/>
        </w:rPr>
        <w:lastRenderedPageBreak/>
        <w:t>Use and monitoring of co-financing</w:t>
      </w:r>
    </w:p>
    <w:p w14:paraId="28FEF8CD" w14:textId="77777777" w:rsidR="00DD6103" w:rsidRPr="00682784" w:rsidRDefault="00DD6103" w:rsidP="00DF5D1F">
      <w:pPr>
        <w:spacing w:before="120"/>
        <w:contextualSpacing/>
        <w:jc w:val="both"/>
        <w:rPr>
          <w:rFonts w:cs="ArialMT"/>
          <w:bCs/>
          <w:sz w:val="22"/>
          <w:szCs w:val="22"/>
          <w:lang w:val="en-GB"/>
        </w:rPr>
      </w:pPr>
      <w:r w:rsidRPr="00682784">
        <w:rPr>
          <w:rFonts w:cs="ArialMT"/>
          <w:bCs/>
          <w:sz w:val="22"/>
          <w:szCs w:val="22"/>
          <w:lang w:val="en-GB"/>
        </w:rPr>
        <w:t>The Grant Contract shall include the sources of the co-financing by the project beneficiaries. The co-financing will be monitored and included in the programme accounting through the declaration on expenditure and receipts prepared by the beneficiaries, verified by a controller, which will be part of the requests for payment of the grant.</w:t>
      </w:r>
    </w:p>
    <w:p w14:paraId="589BA31E" w14:textId="77777777" w:rsidR="00EE745F" w:rsidRPr="0026471E" w:rsidRDefault="00EE745F" w:rsidP="00DF5D1F">
      <w:pPr>
        <w:spacing w:after="60" w:line="264" w:lineRule="auto"/>
        <w:jc w:val="both"/>
        <w:rPr>
          <w:i/>
          <w:color w:val="983620" w:themeColor="accent2"/>
          <w:sz w:val="22"/>
          <w:szCs w:val="22"/>
          <w:lang w:val="en-GB"/>
        </w:rPr>
      </w:pPr>
    </w:p>
    <w:p w14:paraId="65CD9D26" w14:textId="77777777" w:rsidR="00EE745F" w:rsidRPr="00F62747" w:rsidRDefault="004816B7" w:rsidP="00EE745F">
      <w:pPr>
        <w:pStyle w:val="Heading3"/>
        <w:spacing w:before="200" w:line="264" w:lineRule="auto"/>
        <w:rPr>
          <w:rFonts w:asciiTheme="minorHAnsi" w:hAnsiTheme="minorHAnsi"/>
          <w:b/>
          <w:sz w:val="28"/>
          <w:szCs w:val="28"/>
          <w:lang w:val="en-GB"/>
        </w:rPr>
      </w:pPr>
      <w:bookmarkStart w:id="136" w:name="_Toc423436319"/>
      <w:bookmarkStart w:id="137" w:name="_Toc402864398"/>
      <w:r>
        <w:rPr>
          <w:rFonts w:asciiTheme="minorHAnsi" w:hAnsiTheme="minorHAnsi"/>
          <w:b/>
          <w:sz w:val="28"/>
          <w:szCs w:val="28"/>
          <w:lang w:val="en-GB"/>
        </w:rPr>
        <w:t xml:space="preserve">8.12 </w:t>
      </w:r>
      <w:r w:rsidR="00EE745F" w:rsidRPr="00F62747">
        <w:rPr>
          <w:rFonts w:asciiTheme="minorHAnsi" w:hAnsiTheme="minorHAnsi"/>
          <w:b/>
          <w:sz w:val="28"/>
          <w:szCs w:val="28"/>
          <w:lang w:val="en-GB"/>
        </w:rPr>
        <w:t xml:space="preserve">Reporting and exchange of computerised data between the Managing Authority and the </w:t>
      </w:r>
      <w:r w:rsidR="002615B2" w:rsidRPr="00F62747">
        <w:rPr>
          <w:rFonts w:asciiTheme="minorHAnsi" w:hAnsiTheme="minorHAnsi"/>
          <w:b/>
          <w:sz w:val="28"/>
          <w:szCs w:val="28"/>
          <w:lang w:val="en-GB"/>
        </w:rPr>
        <w:t>EC</w:t>
      </w:r>
      <w:bookmarkEnd w:id="136"/>
      <w:r w:rsidR="00EE745F" w:rsidRPr="00F62747">
        <w:rPr>
          <w:rFonts w:asciiTheme="minorHAnsi" w:hAnsiTheme="minorHAnsi"/>
          <w:b/>
          <w:sz w:val="28"/>
          <w:szCs w:val="28"/>
          <w:lang w:val="en-GB"/>
        </w:rPr>
        <w:t xml:space="preserve"> </w:t>
      </w:r>
      <w:bookmarkEnd w:id="137"/>
    </w:p>
    <w:p w14:paraId="1C12A02F" w14:textId="77777777" w:rsidR="008E396A" w:rsidRPr="008E396A" w:rsidRDefault="008E396A" w:rsidP="008E396A">
      <w:pPr>
        <w:spacing w:before="120" w:after="0" w:line="252" w:lineRule="auto"/>
        <w:jc w:val="both"/>
        <w:rPr>
          <w:rFonts w:ascii="Calisto MT" w:hAnsi="Calisto MT"/>
          <w:sz w:val="22"/>
          <w:szCs w:val="22"/>
          <w:lang w:val="en-GB"/>
        </w:rPr>
      </w:pPr>
      <w:r w:rsidRPr="00F62747">
        <w:rPr>
          <w:rFonts w:ascii="Calisto MT" w:hAnsi="Calisto MT"/>
          <w:sz w:val="22"/>
          <w:szCs w:val="22"/>
          <w:lang w:val="en-GB"/>
        </w:rPr>
        <w:t>A description of the IT systems for the reporting and exchange of computerised data between the M</w:t>
      </w:r>
      <w:r w:rsidR="00A930DA" w:rsidRPr="00F62747">
        <w:rPr>
          <w:rFonts w:ascii="Calisto MT" w:hAnsi="Calisto MT"/>
          <w:sz w:val="22"/>
          <w:szCs w:val="22"/>
          <w:lang w:val="en-GB"/>
        </w:rPr>
        <w:t>anaging</w:t>
      </w:r>
      <w:r w:rsidR="00A930DA">
        <w:rPr>
          <w:rFonts w:ascii="Calisto MT" w:hAnsi="Calisto MT"/>
          <w:sz w:val="22"/>
          <w:szCs w:val="22"/>
          <w:lang w:val="en-GB"/>
        </w:rPr>
        <w:t xml:space="preserve"> </w:t>
      </w:r>
      <w:r w:rsidRPr="008E396A">
        <w:rPr>
          <w:rFonts w:ascii="Calisto MT" w:hAnsi="Calisto MT"/>
          <w:sz w:val="22"/>
          <w:szCs w:val="22"/>
          <w:lang w:val="en-GB"/>
        </w:rPr>
        <w:t>A</w:t>
      </w:r>
      <w:r w:rsidR="00A930DA">
        <w:rPr>
          <w:rFonts w:ascii="Calisto MT" w:hAnsi="Calisto MT"/>
          <w:sz w:val="22"/>
          <w:szCs w:val="22"/>
          <w:lang w:val="en-GB"/>
        </w:rPr>
        <w:t>uthority</w:t>
      </w:r>
      <w:r w:rsidRPr="008E396A">
        <w:rPr>
          <w:rFonts w:ascii="Calisto MT" w:hAnsi="Calisto MT"/>
          <w:sz w:val="22"/>
          <w:szCs w:val="22"/>
          <w:lang w:val="en-GB"/>
        </w:rPr>
        <w:t xml:space="preserve"> and the E</w:t>
      </w:r>
      <w:r w:rsidR="00A930DA">
        <w:rPr>
          <w:rFonts w:ascii="Calisto MT" w:hAnsi="Calisto MT"/>
          <w:sz w:val="22"/>
          <w:szCs w:val="22"/>
          <w:lang w:val="en-GB"/>
        </w:rPr>
        <w:t xml:space="preserve">uropean </w:t>
      </w:r>
      <w:r w:rsidRPr="008E396A">
        <w:rPr>
          <w:rFonts w:ascii="Calisto MT" w:hAnsi="Calisto MT"/>
          <w:sz w:val="22"/>
          <w:szCs w:val="22"/>
          <w:lang w:val="en-GB"/>
        </w:rPr>
        <w:t>C</w:t>
      </w:r>
      <w:r w:rsidR="00A930DA">
        <w:rPr>
          <w:rFonts w:ascii="Calisto MT" w:hAnsi="Calisto MT"/>
          <w:sz w:val="22"/>
          <w:szCs w:val="22"/>
          <w:lang w:val="en-GB"/>
        </w:rPr>
        <w:t>ommission (unit C2, DG NEAR)</w:t>
      </w:r>
      <w:r w:rsidRPr="008E396A">
        <w:rPr>
          <w:rFonts w:ascii="Calisto MT" w:hAnsi="Calisto MT"/>
          <w:sz w:val="22"/>
          <w:szCs w:val="22"/>
          <w:lang w:val="en-GB"/>
        </w:rPr>
        <w:t xml:space="preserve"> </w:t>
      </w:r>
      <w:r w:rsidR="007031E5">
        <w:rPr>
          <w:rFonts w:ascii="Calisto MT" w:hAnsi="Calisto MT"/>
          <w:sz w:val="22"/>
          <w:szCs w:val="22"/>
          <w:lang w:val="en-GB"/>
        </w:rPr>
        <w:t>is required under the ENI CBC Implementing Regulation</w:t>
      </w:r>
      <w:r w:rsidRPr="008E396A">
        <w:rPr>
          <w:rFonts w:ascii="Calisto MT" w:hAnsi="Calisto MT"/>
          <w:sz w:val="22"/>
          <w:szCs w:val="22"/>
          <w:lang w:val="en-GB"/>
        </w:rPr>
        <w:t xml:space="preserve"> (Art 4.5m). The E</w:t>
      </w:r>
      <w:r w:rsidR="00A930DA">
        <w:rPr>
          <w:rFonts w:ascii="Calisto MT" w:hAnsi="Calisto MT"/>
          <w:sz w:val="22"/>
          <w:szCs w:val="22"/>
          <w:lang w:val="en-GB"/>
        </w:rPr>
        <w:t xml:space="preserve">uropean </w:t>
      </w:r>
      <w:r w:rsidRPr="008E396A">
        <w:rPr>
          <w:rFonts w:ascii="Calisto MT" w:hAnsi="Calisto MT"/>
          <w:sz w:val="22"/>
          <w:szCs w:val="22"/>
          <w:lang w:val="en-GB"/>
        </w:rPr>
        <w:t>C</w:t>
      </w:r>
      <w:r w:rsidR="00A930DA">
        <w:rPr>
          <w:rFonts w:ascii="Calisto MT" w:hAnsi="Calisto MT"/>
          <w:sz w:val="22"/>
          <w:szCs w:val="22"/>
          <w:lang w:val="en-GB"/>
        </w:rPr>
        <w:t>ommission</w:t>
      </w:r>
      <w:r w:rsidRPr="008E396A">
        <w:rPr>
          <w:rFonts w:ascii="Calisto MT" w:hAnsi="Calisto MT"/>
          <w:sz w:val="22"/>
          <w:szCs w:val="22"/>
          <w:lang w:val="en-GB"/>
        </w:rPr>
        <w:t xml:space="preserve"> has proposed that this be done via KEEP, a comprehensive online database of Territorial Cooperation projects, project partners and programmes (</w:t>
      </w:r>
      <w:hyperlink r:id="rId88" w:history="1">
        <w:r w:rsidR="008679D3" w:rsidRPr="00461121">
          <w:rPr>
            <w:rStyle w:val="Hyperlink"/>
            <w:rFonts w:ascii="Calisto MT" w:hAnsi="Calisto MT"/>
            <w:sz w:val="22"/>
            <w:szCs w:val="22"/>
            <w:lang w:val="en-GB"/>
          </w:rPr>
          <w:t>www.territorialcooperation.eu/keep/</w:t>
        </w:r>
      </w:hyperlink>
      <w:r w:rsidRPr="008E396A">
        <w:rPr>
          <w:rFonts w:ascii="Calisto MT" w:hAnsi="Calisto MT"/>
          <w:sz w:val="22"/>
          <w:szCs w:val="22"/>
          <w:lang w:val="en-GB"/>
        </w:rPr>
        <w:t xml:space="preserve">) which was operational during the 2007-2013 programme </w:t>
      </w:r>
      <w:proofErr w:type="gramStart"/>
      <w:r w:rsidRPr="008E396A">
        <w:rPr>
          <w:rFonts w:ascii="Calisto MT" w:hAnsi="Calisto MT"/>
          <w:sz w:val="22"/>
          <w:szCs w:val="22"/>
          <w:lang w:val="en-GB"/>
        </w:rPr>
        <w:t>period</w:t>
      </w:r>
      <w:proofErr w:type="gramEnd"/>
      <w:r w:rsidRPr="008E396A">
        <w:rPr>
          <w:rFonts w:ascii="Calisto MT" w:hAnsi="Calisto MT"/>
          <w:sz w:val="22"/>
          <w:szCs w:val="22"/>
          <w:lang w:val="en-GB"/>
        </w:rPr>
        <w:t>. Although most statistics needed by the E</w:t>
      </w:r>
      <w:r w:rsidR="00A930DA">
        <w:rPr>
          <w:rFonts w:ascii="Calisto MT" w:hAnsi="Calisto MT"/>
          <w:sz w:val="22"/>
          <w:szCs w:val="22"/>
          <w:lang w:val="en-GB"/>
        </w:rPr>
        <w:t xml:space="preserve">uropean </w:t>
      </w:r>
      <w:r w:rsidRPr="008E396A">
        <w:rPr>
          <w:rFonts w:ascii="Calisto MT" w:hAnsi="Calisto MT"/>
          <w:sz w:val="22"/>
          <w:szCs w:val="22"/>
          <w:lang w:val="en-GB"/>
        </w:rPr>
        <w:t>C</w:t>
      </w:r>
      <w:r w:rsidR="00A930DA">
        <w:rPr>
          <w:rFonts w:ascii="Calisto MT" w:hAnsi="Calisto MT"/>
          <w:sz w:val="22"/>
          <w:szCs w:val="22"/>
          <w:lang w:val="en-GB"/>
        </w:rPr>
        <w:t>ommission</w:t>
      </w:r>
      <w:r w:rsidRPr="008E396A">
        <w:rPr>
          <w:rFonts w:ascii="Calisto MT" w:hAnsi="Calisto MT"/>
          <w:sz w:val="22"/>
          <w:szCs w:val="22"/>
          <w:lang w:val="en-GB"/>
        </w:rPr>
        <w:t xml:space="preserve"> are already included in KEEP, a new KEEP template is being developed for the 2014-2020 programme period. It is anticipated that most data required by the E</w:t>
      </w:r>
      <w:r w:rsidR="00A930DA">
        <w:rPr>
          <w:rFonts w:ascii="Calisto MT" w:hAnsi="Calisto MT"/>
          <w:sz w:val="22"/>
          <w:szCs w:val="22"/>
          <w:lang w:val="en-GB"/>
        </w:rPr>
        <w:t xml:space="preserve">uropean </w:t>
      </w:r>
      <w:r w:rsidRPr="008E396A">
        <w:rPr>
          <w:rFonts w:ascii="Calisto MT" w:hAnsi="Calisto MT"/>
          <w:sz w:val="22"/>
          <w:szCs w:val="22"/>
          <w:lang w:val="en-GB"/>
        </w:rPr>
        <w:t>C</w:t>
      </w:r>
      <w:r w:rsidR="00A930DA">
        <w:rPr>
          <w:rFonts w:ascii="Calisto MT" w:hAnsi="Calisto MT"/>
          <w:sz w:val="22"/>
          <w:szCs w:val="22"/>
          <w:lang w:val="en-GB"/>
        </w:rPr>
        <w:t>ommission</w:t>
      </w:r>
      <w:r w:rsidRPr="008E396A">
        <w:rPr>
          <w:rFonts w:ascii="Calisto MT" w:hAnsi="Calisto MT"/>
          <w:sz w:val="22"/>
          <w:szCs w:val="22"/>
          <w:lang w:val="en-GB"/>
        </w:rPr>
        <w:t xml:space="preserve"> will be kept in the KEEP database rather than being available only via programme reports. As well as being a tool for programmes to share data with the E</w:t>
      </w:r>
      <w:r w:rsidR="00A930DA">
        <w:rPr>
          <w:rFonts w:ascii="Calisto MT" w:hAnsi="Calisto MT"/>
          <w:sz w:val="22"/>
          <w:szCs w:val="22"/>
          <w:lang w:val="en-GB"/>
        </w:rPr>
        <w:t xml:space="preserve">uropean </w:t>
      </w:r>
      <w:r w:rsidRPr="008E396A">
        <w:rPr>
          <w:rFonts w:ascii="Calisto MT" w:hAnsi="Calisto MT"/>
          <w:sz w:val="22"/>
          <w:szCs w:val="22"/>
          <w:lang w:val="en-GB"/>
        </w:rPr>
        <w:t>C</w:t>
      </w:r>
      <w:r w:rsidR="00A930DA">
        <w:rPr>
          <w:rFonts w:ascii="Calisto MT" w:hAnsi="Calisto MT"/>
          <w:sz w:val="22"/>
          <w:szCs w:val="22"/>
          <w:lang w:val="en-GB"/>
        </w:rPr>
        <w:t>ommission</w:t>
      </w:r>
      <w:r w:rsidRPr="008E396A">
        <w:rPr>
          <w:rFonts w:ascii="Calisto MT" w:hAnsi="Calisto MT"/>
          <w:sz w:val="22"/>
          <w:szCs w:val="22"/>
          <w:lang w:val="en-GB"/>
        </w:rPr>
        <w:t>, KEEP will also allow for the sharing of data between programmes.</w:t>
      </w:r>
    </w:p>
    <w:p w14:paraId="1197FBB3" w14:textId="77777777" w:rsidR="00EE745F" w:rsidRPr="000F260F" w:rsidRDefault="004816B7" w:rsidP="00435FAF">
      <w:pPr>
        <w:pStyle w:val="Heading3"/>
        <w:spacing w:before="360" w:line="264" w:lineRule="auto"/>
        <w:rPr>
          <w:rFonts w:asciiTheme="minorHAnsi" w:hAnsiTheme="minorHAnsi"/>
          <w:b/>
          <w:sz w:val="28"/>
          <w:szCs w:val="28"/>
          <w:lang w:val="en-GB"/>
        </w:rPr>
      </w:pPr>
      <w:bookmarkStart w:id="138" w:name="_Toc402864399"/>
      <w:bookmarkStart w:id="139" w:name="_Toc423436320"/>
      <w:r>
        <w:rPr>
          <w:rFonts w:asciiTheme="minorHAnsi" w:hAnsiTheme="minorHAnsi"/>
          <w:b/>
          <w:sz w:val="28"/>
          <w:szCs w:val="28"/>
          <w:lang w:val="en-GB"/>
        </w:rPr>
        <w:t xml:space="preserve">8.13 </w:t>
      </w:r>
      <w:r w:rsidR="00EE745F" w:rsidRPr="000F260F">
        <w:rPr>
          <w:rFonts w:asciiTheme="minorHAnsi" w:hAnsiTheme="minorHAnsi"/>
          <w:b/>
          <w:sz w:val="28"/>
          <w:szCs w:val="28"/>
          <w:lang w:val="en-GB"/>
        </w:rPr>
        <w:t>Programme language</w:t>
      </w:r>
      <w:bookmarkEnd w:id="138"/>
      <w:bookmarkEnd w:id="139"/>
    </w:p>
    <w:p w14:paraId="0E9FC697" w14:textId="77777777" w:rsidR="00EE745F" w:rsidRPr="00435FAF" w:rsidRDefault="00EE745F" w:rsidP="00435FAF">
      <w:pPr>
        <w:spacing w:before="120" w:after="0" w:line="252" w:lineRule="auto"/>
        <w:jc w:val="both"/>
        <w:rPr>
          <w:rFonts w:ascii="Calisto MT" w:hAnsi="Calisto MT"/>
          <w:sz w:val="22"/>
          <w:szCs w:val="22"/>
          <w:lang w:val="en-GB"/>
        </w:rPr>
      </w:pPr>
      <w:r w:rsidRPr="00435FAF">
        <w:rPr>
          <w:rFonts w:ascii="Calisto MT" w:hAnsi="Calisto MT"/>
          <w:sz w:val="22"/>
          <w:szCs w:val="22"/>
          <w:lang w:val="en-GB"/>
        </w:rPr>
        <w:t xml:space="preserve">As the programme is by definition multinational, in order to facilitate programme management and to shorten procedures and in accordance with Article 7 of the </w:t>
      </w:r>
      <w:r w:rsidR="007031E5">
        <w:rPr>
          <w:rFonts w:ascii="Calisto MT" w:hAnsi="Calisto MT"/>
          <w:sz w:val="22"/>
          <w:szCs w:val="22"/>
          <w:lang w:val="en-GB"/>
        </w:rPr>
        <w:t xml:space="preserve">ENI CBC </w:t>
      </w:r>
      <w:r w:rsidRPr="00435FAF">
        <w:rPr>
          <w:rFonts w:ascii="Calisto MT" w:hAnsi="Calisto MT"/>
          <w:sz w:val="22"/>
          <w:szCs w:val="22"/>
          <w:lang w:val="en-GB"/>
        </w:rPr>
        <w:t>Implemen</w:t>
      </w:r>
      <w:r w:rsidR="007031E5">
        <w:rPr>
          <w:rFonts w:ascii="Calisto MT" w:hAnsi="Calisto MT"/>
          <w:sz w:val="22"/>
          <w:szCs w:val="22"/>
          <w:lang w:val="en-GB"/>
        </w:rPr>
        <w:t>ting Regulation</w:t>
      </w:r>
      <w:r w:rsidRPr="00435FAF">
        <w:rPr>
          <w:rFonts w:ascii="Calisto MT" w:hAnsi="Calisto MT"/>
          <w:sz w:val="22"/>
          <w:szCs w:val="22"/>
          <w:lang w:val="en-GB"/>
        </w:rPr>
        <w:t xml:space="preserve">, the official language used in the programme is English. </w:t>
      </w:r>
    </w:p>
    <w:p w14:paraId="22924A0D" w14:textId="77777777" w:rsidR="00186091" w:rsidRDefault="00EE745F" w:rsidP="00EE745F">
      <w:pPr>
        <w:pStyle w:val="Heading1"/>
        <w:spacing w:before="120" w:after="0" w:line="264" w:lineRule="auto"/>
        <w:jc w:val="left"/>
        <w:rPr>
          <w:sz w:val="22"/>
          <w:szCs w:val="22"/>
          <w:lang w:val="en-GB"/>
        </w:rPr>
      </w:pPr>
      <w:r>
        <w:rPr>
          <w:sz w:val="22"/>
          <w:szCs w:val="22"/>
          <w:lang w:val="en-GB"/>
        </w:rPr>
        <w:t xml:space="preserve"> </w:t>
      </w:r>
    </w:p>
    <w:p w14:paraId="612F9B3A" w14:textId="77777777" w:rsidR="00E326B7" w:rsidRDefault="00E326B7" w:rsidP="00E326B7">
      <w:pPr>
        <w:pStyle w:val="Heading1"/>
        <w:numPr>
          <w:ilvl w:val="1"/>
          <w:numId w:val="3"/>
        </w:numPr>
        <w:spacing w:before="120" w:after="0" w:line="264" w:lineRule="auto"/>
        <w:jc w:val="left"/>
        <w:rPr>
          <w:sz w:val="40"/>
          <w:szCs w:val="40"/>
          <w:lang w:val="en-GB"/>
        </w:rPr>
      </w:pPr>
      <w:r>
        <w:rPr>
          <w:sz w:val="40"/>
          <w:szCs w:val="40"/>
          <w:lang w:val="en-GB"/>
        </w:rPr>
        <w:br w:type="column"/>
      </w:r>
      <w:bookmarkStart w:id="140" w:name="_Toc423436321"/>
      <w:r>
        <w:rPr>
          <w:sz w:val="40"/>
          <w:szCs w:val="40"/>
          <w:lang w:val="en-GB"/>
        </w:rPr>
        <w:lastRenderedPageBreak/>
        <w:t>ANNEXES</w:t>
      </w:r>
      <w:bookmarkEnd w:id="140"/>
    </w:p>
    <w:p w14:paraId="7A62FD59" w14:textId="77777777" w:rsidR="002E081C" w:rsidRDefault="002E081C" w:rsidP="006142D6">
      <w:pPr>
        <w:pStyle w:val="Heading3"/>
        <w:rPr>
          <w:sz w:val="28"/>
          <w:szCs w:val="28"/>
          <w:lang w:val="en-GB"/>
        </w:rPr>
      </w:pPr>
    </w:p>
    <w:p w14:paraId="429E3425" w14:textId="77777777" w:rsidR="00635505" w:rsidRDefault="00E326B7" w:rsidP="006142D6">
      <w:pPr>
        <w:pStyle w:val="Heading3"/>
        <w:rPr>
          <w:sz w:val="28"/>
          <w:szCs w:val="28"/>
          <w:lang w:val="en-GB"/>
        </w:rPr>
      </w:pPr>
      <w:bookmarkStart w:id="141" w:name="_Toc423436322"/>
      <w:r w:rsidRPr="007C7DEB">
        <w:rPr>
          <w:sz w:val="28"/>
          <w:szCs w:val="28"/>
          <w:lang w:val="en-GB"/>
        </w:rPr>
        <w:t>Annex 1 –</w:t>
      </w:r>
      <w:r w:rsidR="00635505">
        <w:rPr>
          <w:sz w:val="28"/>
          <w:szCs w:val="28"/>
          <w:lang w:val="en-GB"/>
        </w:rPr>
        <w:t xml:space="preserve"> Summar</w:t>
      </w:r>
      <w:r w:rsidR="00177A82">
        <w:rPr>
          <w:sz w:val="28"/>
          <w:szCs w:val="28"/>
          <w:lang w:val="en-GB"/>
        </w:rPr>
        <w:t xml:space="preserve">y of mapping of </w:t>
      </w:r>
      <w:r w:rsidR="00177A82" w:rsidRPr="00177A82">
        <w:rPr>
          <w:sz w:val="28"/>
          <w:szCs w:val="28"/>
          <w:lang w:val="en-GB"/>
        </w:rPr>
        <w:t>projects awarded under the Black Sea Basin 2007-</w:t>
      </w:r>
      <w:r w:rsidR="000108E4">
        <w:rPr>
          <w:sz w:val="28"/>
          <w:szCs w:val="28"/>
          <w:lang w:val="en-GB"/>
        </w:rPr>
        <w:t>20</w:t>
      </w:r>
      <w:r w:rsidR="00177A82" w:rsidRPr="00177A82">
        <w:rPr>
          <w:sz w:val="28"/>
          <w:szCs w:val="28"/>
          <w:lang w:val="en-GB"/>
        </w:rPr>
        <w:t>13 and of the survey on current priorities and future needs</w:t>
      </w:r>
      <w:bookmarkEnd w:id="141"/>
    </w:p>
    <w:p w14:paraId="4A43502C" w14:textId="77777777" w:rsidR="00A95B72" w:rsidRDefault="00635505" w:rsidP="006142D6">
      <w:pPr>
        <w:pStyle w:val="Heading3"/>
        <w:rPr>
          <w:sz w:val="28"/>
          <w:szCs w:val="28"/>
          <w:lang w:val="en-GB"/>
        </w:rPr>
      </w:pPr>
      <w:bookmarkStart w:id="142" w:name="_Toc423436323"/>
      <w:r>
        <w:rPr>
          <w:sz w:val="28"/>
          <w:szCs w:val="28"/>
          <w:lang w:val="en-GB"/>
        </w:rPr>
        <w:t xml:space="preserve">Annex 2 - </w:t>
      </w:r>
      <w:r w:rsidR="001C490D">
        <w:rPr>
          <w:sz w:val="28"/>
          <w:szCs w:val="28"/>
          <w:lang w:val="en-GB"/>
        </w:rPr>
        <w:t>C</w:t>
      </w:r>
      <w:r w:rsidR="000874D4" w:rsidRPr="000874D4">
        <w:rPr>
          <w:sz w:val="28"/>
          <w:szCs w:val="28"/>
          <w:lang w:val="en-GB"/>
        </w:rPr>
        <w:t>ombined outcomes of SWOT and past experience analyses</w:t>
      </w:r>
      <w:bookmarkEnd w:id="142"/>
      <w:r w:rsidR="000874D4" w:rsidRPr="000874D4">
        <w:rPr>
          <w:sz w:val="28"/>
          <w:szCs w:val="28"/>
          <w:lang w:val="en-GB"/>
        </w:rPr>
        <w:t xml:space="preserve"> </w:t>
      </w:r>
    </w:p>
    <w:p w14:paraId="136794EF" w14:textId="77777777" w:rsidR="00252307" w:rsidRDefault="00E56D3E" w:rsidP="006142D6">
      <w:pPr>
        <w:pStyle w:val="Heading3"/>
        <w:rPr>
          <w:sz w:val="28"/>
          <w:szCs w:val="28"/>
          <w:lang w:val="en-GB"/>
        </w:rPr>
      </w:pPr>
      <w:bookmarkStart w:id="143" w:name="_Toc423436324"/>
      <w:r>
        <w:rPr>
          <w:sz w:val="28"/>
          <w:szCs w:val="28"/>
          <w:lang w:val="en-GB"/>
        </w:rPr>
        <w:t xml:space="preserve">Annex </w:t>
      </w:r>
      <w:r w:rsidR="00A64ACC">
        <w:rPr>
          <w:sz w:val="28"/>
          <w:szCs w:val="28"/>
          <w:lang w:val="en-GB"/>
        </w:rPr>
        <w:t>3</w:t>
      </w:r>
      <w:r>
        <w:rPr>
          <w:sz w:val="28"/>
          <w:szCs w:val="28"/>
          <w:lang w:val="en-GB"/>
        </w:rPr>
        <w:t xml:space="preserve"> – M</w:t>
      </w:r>
      <w:r w:rsidR="00252307">
        <w:rPr>
          <w:sz w:val="28"/>
          <w:szCs w:val="28"/>
          <w:lang w:val="en-GB"/>
        </w:rPr>
        <w:t xml:space="preserve">onitoring and evaluation </w:t>
      </w:r>
      <w:r>
        <w:rPr>
          <w:sz w:val="28"/>
          <w:szCs w:val="28"/>
          <w:lang w:val="en-GB"/>
        </w:rPr>
        <w:t>system and</w:t>
      </w:r>
      <w:r w:rsidR="00D97192">
        <w:rPr>
          <w:sz w:val="28"/>
          <w:szCs w:val="28"/>
          <w:lang w:val="en-GB"/>
        </w:rPr>
        <w:t xml:space="preserve"> </w:t>
      </w:r>
      <w:r w:rsidR="00252307">
        <w:rPr>
          <w:sz w:val="28"/>
          <w:szCs w:val="28"/>
          <w:lang w:val="en-GB"/>
        </w:rPr>
        <w:t>plan</w:t>
      </w:r>
      <w:bookmarkEnd w:id="143"/>
    </w:p>
    <w:p w14:paraId="07C94C5A" w14:textId="77777777" w:rsidR="00252307" w:rsidRDefault="00E56D3E" w:rsidP="006142D6">
      <w:pPr>
        <w:pStyle w:val="Heading3"/>
        <w:rPr>
          <w:sz w:val="28"/>
          <w:szCs w:val="28"/>
          <w:lang w:val="en-GB"/>
        </w:rPr>
      </w:pPr>
      <w:bookmarkStart w:id="144" w:name="_Toc423436325"/>
      <w:r>
        <w:rPr>
          <w:sz w:val="28"/>
          <w:szCs w:val="28"/>
          <w:lang w:val="en-GB"/>
        </w:rPr>
        <w:t xml:space="preserve">Annex </w:t>
      </w:r>
      <w:r w:rsidR="00A64ACC">
        <w:rPr>
          <w:sz w:val="28"/>
          <w:szCs w:val="28"/>
          <w:lang w:val="en-GB"/>
        </w:rPr>
        <w:t>4</w:t>
      </w:r>
      <w:r>
        <w:rPr>
          <w:sz w:val="28"/>
          <w:szCs w:val="28"/>
          <w:lang w:val="en-GB"/>
        </w:rPr>
        <w:t xml:space="preserve"> – C</w:t>
      </w:r>
      <w:r w:rsidR="00252307">
        <w:rPr>
          <w:sz w:val="28"/>
          <w:szCs w:val="28"/>
          <w:lang w:val="en-GB"/>
        </w:rPr>
        <w:t>ommunication strategy</w:t>
      </w:r>
      <w:r w:rsidR="005001AC">
        <w:rPr>
          <w:sz w:val="28"/>
          <w:szCs w:val="28"/>
          <w:lang w:val="en-GB"/>
        </w:rPr>
        <w:t xml:space="preserve"> and A</w:t>
      </w:r>
      <w:r w:rsidR="00D02479">
        <w:rPr>
          <w:sz w:val="28"/>
          <w:szCs w:val="28"/>
          <w:lang w:val="en-GB"/>
        </w:rPr>
        <w:t>nnual information and communication plan 2016</w:t>
      </w:r>
      <w:bookmarkEnd w:id="144"/>
    </w:p>
    <w:p w14:paraId="5082BCA9" w14:textId="77777777" w:rsidR="00986AF1" w:rsidRDefault="00E56D3E" w:rsidP="006142D6">
      <w:pPr>
        <w:pStyle w:val="Heading3"/>
        <w:rPr>
          <w:sz w:val="28"/>
          <w:szCs w:val="28"/>
          <w:lang w:val="en-GB"/>
        </w:rPr>
      </w:pPr>
      <w:bookmarkStart w:id="145" w:name="_Toc423436326"/>
      <w:bookmarkStart w:id="146" w:name="_Toc417035006"/>
      <w:r>
        <w:rPr>
          <w:sz w:val="28"/>
          <w:szCs w:val="28"/>
          <w:lang w:val="en-GB"/>
        </w:rPr>
        <w:t xml:space="preserve">Annex </w:t>
      </w:r>
      <w:r w:rsidR="00A64ACC">
        <w:rPr>
          <w:sz w:val="28"/>
          <w:szCs w:val="28"/>
          <w:lang w:val="en-GB"/>
        </w:rPr>
        <w:t>5</w:t>
      </w:r>
      <w:r>
        <w:rPr>
          <w:sz w:val="28"/>
          <w:szCs w:val="28"/>
          <w:lang w:val="en-GB"/>
        </w:rPr>
        <w:t xml:space="preserve"> – </w:t>
      </w:r>
      <w:r w:rsidR="00F11CBA">
        <w:rPr>
          <w:sz w:val="28"/>
          <w:szCs w:val="28"/>
          <w:lang w:val="en-GB"/>
        </w:rPr>
        <w:t xml:space="preserve">Report on </w:t>
      </w:r>
      <w:r w:rsidR="005001AC">
        <w:rPr>
          <w:sz w:val="28"/>
          <w:szCs w:val="28"/>
          <w:lang w:val="en-GB"/>
        </w:rPr>
        <w:t>Strategic Environmental Assessment</w:t>
      </w:r>
      <w:bookmarkEnd w:id="145"/>
    </w:p>
    <w:p w14:paraId="428C806D" w14:textId="77777777" w:rsidR="00986AF1" w:rsidRDefault="00986AF1" w:rsidP="00986AF1">
      <w:pPr>
        <w:rPr>
          <w:lang w:val="en-GB"/>
        </w:rPr>
      </w:pPr>
    </w:p>
    <w:p w14:paraId="2327B80E" w14:textId="77777777" w:rsidR="00986AF1" w:rsidRDefault="00986AF1" w:rsidP="00986AF1">
      <w:pPr>
        <w:rPr>
          <w:lang w:val="en-GB"/>
        </w:rPr>
      </w:pPr>
    </w:p>
    <w:p w14:paraId="45CCBE7D" w14:textId="77777777" w:rsidR="00986AF1" w:rsidRDefault="00986AF1" w:rsidP="00986AF1">
      <w:pPr>
        <w:rPr>
          <w:lang w:val="en-GB"/>
        </w:rPr>
      </w:pPr>
    </w:p>
    <w:p w14:paraId="5AB48D3C" w14:textId="77777777" w:rsidR="00986AF1" w:rsidRDefault="00986AF1" w:rsidP="00986AF1">
      <w:pPr>
        <w:rPr>
          <w:lang w:val="en-GB"/>
        </w:rPr>
      </w:pPr>
    </w:p>
    <w:p w14:paraId="5B9B301B" w14:textId="77777777" w:rsidR="00986AF1" w:rsidRDefault="00986AF1" w:rsidP="00986AF1">
      <w:pPr>
        <w:rPr>
          <w:lang w:val="en-GB"/>
        </w:rPr>
      </w:pPr>
    </w:p>
    <w:p w14:paraId="6B915891" w14:textId="77777777" w:rsidR="00986AF1" w:rsidRDefault="00986AF1" w:rsidP="00986AF1">
      <w:pPr>
        <w:rPr>
          <w:lang w:val="en-GB"/>
        </w:rPr>
      </w:pPr>
    </w:p>
    <w:p w14:paraId="41FFADEF" w14:textId="77777777" w:rsidR="00986AF1" w:rsidRDefault="00986AF1" w:rsidP="00986AF1">
      <w:pPr>
        <w:rPr>
          <w:lang w:val="en-GB"/>
        </w:rPr>
      </w:pPr>
    </w:p>
    <w:p w14:paraId="08C07C06" w14:textId="77777777" w:rsidR="00986AF1" w:rsidRDefault="00986AF1" w:rsidP="00986AF1">
      <w:pPr>
        <w:rPr>
          <w:lang w:val="en-GB"/>
        </w:rPr>
      </w:pPr>
    </w:p>
    <w:p w14:paraId="5B62AF9F" w14:textId="77777777" w:rsidR="00986AF1" w:rsidRDefault="00986AF1" w:rsidP="00986AF1">
      <w:pPr>
        <w:rPr>
          <w:lang w:val="en-GB"/>
        </w:rPr>
      </w:pPr>
    </w:p>
    <w:p w14:paraId="73F83E80" w14:textId="77777777" w:rsidR="00986AF1" w:rsidRDefault="00986AF1" w:rsidP="00986AF1">
      <w:pPr>
        <w:rPr>
          <w:lang w:val="en-GB"/>
        </w:rPr>
      </w:pPr>
    </w:p>
    <w:p w14:paraId="1582A93E" w14:textId="77777777" w:rsidR="00986AF1" w:rsidRDefault="00986AF1" w:rsidP="00986AF1">
      <w:pPr>
        <w:rPr>
          <w:lang w:val="en-GB"/>
        </w:rPr>
      </w:pPr>
    </w:p>
    <w:p w14:paraId="50A36300" w14:textId="77777777" w:rsidR="00986AF1" w:rsidRDefault="00986AF1" w:rsidP="00986AF1">
      <w:pPr>
        <w:rPr>
          <w:lang w:val="en-GB"/>
        </w:rPr>
      </w:pPr>
    </w:p>
    <w:p w14:paraId="2719C8AC" w14:textId="77777777" w:rsidR="00986AF1" w:rsidRDefault="00986AF1" w:rsidP="00986AF1">
      <w:pPr>
        <w:rPr>
          <w:lang w:val="en-GB"/>
        </w:rPr>
      </w:pPr>
    </w:p>
    <w:p w14:paraId="233447E0" w14:textId="77777777" w:rsidR="00986AF1" w:rsidRDefault="00986AF1" w:rsidP="00986AF1">
      <w:pPr>
        <w:rPr>
          <w:lang w:val="en-GB"/>
        </w:rPr>
      </w:pPr>
    </w:p>
    <w:p w14:paraId="27B62A9A" w14:textId="77777777" w:rsidR="00986AF1" w:rsidRPr="00986AF1" w:rsidRDefault="00986AF1" w:rsidP="00986AF1">
      <w:pPr>
        <w:rPr>
          <w:lang w:val="en-GB"/>
        </w:rPr>
      </w:pPr>
    </w:p>
    <w:p w14:paraId="128D21B3" w14:textId="77777777" w:rsidR="00186091" w:rsidRPr="00E80940" w:rsidRDefault="00186091" w:rsidP="00E80940">
      <w:pPr>
        <w:pStyle w:val="Heading1"/>
        <w:numPr>
          <w:ilvl w:val="1"/>
          <w:numId w:val="3"/>
        </w:numPr>
        <w:spacing w:before="120" w:after="0" w:line="264" w:lineRule="auto"/>
        <w:jc w:val="left"/>
        <w:rPr>
          <w:bCs w:val="0"/>
          <w:sz w:val="40"/>
          <w:szCs w:val="40"/>
          <w:lang w:val="en-GB"/>
        </w:rPr>
      </w:pPr>
      <w:bookmarkStart w:id="147" w:name="_Toc423436327"/>
      <w:r w:rsidRPr="00E80940">
        <w:rPr>
          <w:bCs w:val="0"/>
          <w:sz w:val="40"/>
          <w:szCs w:val="40"/>
        </w:rPr>
        <w:lastRenderedPageBreak/>
        <w:t>Notes and Sources</w:t>
      </w:r>
      <w:bookmarkEnd w:id="146"/>
      <w:bookmarkEnd w:id="147"/>
    </w:p>
    <w:sectPr w:rsidR="00186091" w:rsidRPr="00E80940" w:rsidSect="00EE4D6C">
      <w:footerReference w:type="first" r:id="rId89"/>
      <w:footnotePr>
        <w:numFmt w:val="lowerRoman"/>
        <w:numRestart w:val="eachPage"/>
      </w:footnotePr>
      <w:endnotePr>
        <w:numFmt w:val="decimal"/>
      </w:endnotePr>
      <w:pgSz w:w="12240" w:h="15840" w:code="1"/>
      <w:pgMar w:top="794" w:right="1183" w:bottom="794" w:left="760" w:header="79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E02AEC" w14:textId="77777777" w:rsidR="00674231" w:rsidRDefault="00674231" w:rsidP="00AB0047">
      <w:pPr>
        <w:spacing w:after="0" w:line="240" w:lineRule="auto"/>
      </w:pPr>
      <w:r>
        <w:separator/>
      </w:r>
    </w:p>
  </w:endnote>
  <w:endnote w:type="continuationSeparator" w:id="0">
    <w:p w14:paraId="7C37BB81" w14:textId="77777777" w:rsidR="00674231" w:rsidRDefault="00674231" w:rsidP="00AB0047">
      <w:pPr>
        <w:spacing w:after="0" w:line="240" w:lineRule="auto"/>
      </w:pPr>
      <w:r>
        <w:continuationSeparator/>
      </w:r>
    </w:p>
  </w:endnote>
  <w:endnote w:id="1">
    <w:p w14:paraId="78696BF6" w14:textId="13F1EB59"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EC, DG Regional Policy: map of the ENPI CBC BSB 2007-13 programme - same regions included in the ENI CBC programme, format of the reference to the Turkish regions edited by the Managing Authority at the request of TK</w:t>
      </w:r>
      <w:r>
        <w:rPr>
          <w:sz w:val="22"/>
          <w:szCs w:val="22"/>
          <w:lang w:val="en-GB"/>
        </w:rPr>
        <w:t>; References to regions from the Russian Federation and Azerbaijan deleted as they have not confirmed their participation in the programme at the date of submission.</w:t>
      </w:r>
    </w:p>
  </w:endnote>
  <w:endnote w:id="2">
    <w:p w14:paraId="51318C3F" w14:textId="79EA9FDC" w:rsidR="00674231" w:rsidRPr="00781503" w:rsidRDefault="00674231" w:rsidP="00AA5ECC">
      <w:pPr>
        <w:spacing w:after="40" w:line="240" w:lineRule="auto"/>
        <w:rPr>
          <w:sz w:val="22"/>
          <w:szCs w:val="22"/>
          <w:lang w:val="en-GB"/>
        </w:rPr>
      </w:pPr>
      <w:r w:rsidRPr="006A1991">
        <w:rPr>
          <w:rStyle w:val="EndnoteReference"/>
          <w:sz w:val="22"/>
          <w:szCs w:val="22"/>
        </w:rPr>
        <w:endnoteRef/>
      </w:r>
      <w:r w:rsidRPr="00781503">
        <w:rPr>
          <w:sz w:val="22"/>
          <w:szCs w:val="22"/>
          <w:lang w:val="en-GB"/>
        </w:rPr>
        <w:t xml:space="preserve"> </w:t>
      </w:r>
      <w:r w:rsidRPr="006A1991">
        <w:rPr>
          <w:sz w:val="22"/>
          <w:szCs w:val="22"/>
          <w:lang w:val="en-GB"/>
        </w:rPr>
        <w:t>After the enactment of the Law on Metropolitan Municipalities, No. 6360, in Turkey urban and rural population in some NUTS II regions changed significantly.</w:t>
      </w:r>
    </w:p>
  </w:endnote>
  <w:endnote w:id="3">
    <w:p w14:paraId="7F5FBBAB" w14:textId="3957F2A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w:t>
      </w:r>
      <w:r w:rsidRPr="006A1991">
        <w:rPr>
          <w:rFonts w:eastAsia="Times New Roman" w:cs="Times New Roman"/>
          <w:color w:val="000000"/>
          <w:sz w:val="22"/>
          <w:szCs w:val="22"/>
          <w:lang w:val="en-GB"/>
        </w:rPr>
        <w:t>Source: Latest data available provided by participating countries, gathered by the Joint Programming Committee country representatives, in 2013 for the development of the socio-economic analysis, except for: Russia (data provided only in 2006 for the previous programming period by country representative</w:t>
      </w:r>
      <w:r>
        <w:rPr>
          <w:rFonts w:eastAsia="Times New Roman" w:cs="Times New Roman"/>
          <w:color w:val="000000"/>
          <w:sz w:val="22"/>
          <w:szCs w:val="22"/>
          <w:lang w:val="en-GB"/>
        </w:rPr>
        <w:t>s</w:t>
      </w:r>
      <w:r w:rsidRPr="006A1991">
        <w:rPr>
          <w:rFonts w:eastAsia="Times New Roman" w:cs="Times New Roman"/>
          <w:color w:val="000000"/>
          <w:sz w:val="22"/>
          <w:szCs w:val="22"/>
          <w:lang w:val="en-GB"/>
        </w:rPr>
        <w:t>) and Armenia, Bulgaria and Turkey that</w:t>
      </w:r>
      <w:r>
        <w:rPr>
          <w:rFonts w:eastAsia="Times New Roman" w:cs="Times New Roman"/>
          <w:color w:val="000000"/>
          <w:sz w:val="22"/>
          <w:szCs w:val="22"/>
          <w:lang w:val="en-GB"/>
        </w:rPr>
        <w:t xml:space="preserve"> provided updated data in spring</w:t>
      </w:r>
      <w:r w:rsidRPr="006A1991">
        <w:rPr>
          <w:rFonts w:eastAsia="Times New Roman" w:cs="Times New Roman"/>
          <w:color w:val="000000"/>
          <w:sz w:val="22"/>
          <w:szCs w:val="22"/>
          <w:lang w:val="en-GB"/>
        </w:rPr>
        <w:t xml:space="preserve"> 2015.</w:t>
      </w:r>
    </w:p>
  </w:endnote>
  <w:endnote w:id="4">
    <w:p w14:paraId="16AF8057" w14:textId="6639AAA0" w:rsidR="00674231" w:rsidRPr="006A1991" w:rsidRDefault="00674231" w:rsidP="00AA5ECC">
      <w:pPr>
        <w:pStyle w:val="FootnoteText"/>
        <w:spacing w:after="40"/>
        <w:rPr>
          <w:sz w:val="22"/>
          <w:szCs w:val="22"/>
          <w:lang w:val="en-GB"/>
        </w:rPr>
      </w:pPr>
      <w:r w:rsidRPr="006A1991">
        <w:rPr>
          <w:rStyle w:val="EndnoteReference"/>
          <w:sz w:val="22"/>
          <w:szCs w:val="22"/>
        </w:rPr>
        <w:endnoteRef/>
      </w:r>
      <w:r w:rsidRPr="006A1991">
        <w:rPr>
          <w:sz w:val="22"/>
          <w:szCs w:val="22"/>
          <w:lang w:val="en-GB"/>
        </w:rPr>
        <w:t xml:space="preserve"> Source: Statistical data provided by participating countries (gathered by Joint Programming Committee country re</w:t>
      </w:r>
      <w:r>
        <w:rPr>
          <w:sz w:val="22"/>
          <w:szCs w:val="22"/>
          <w:lang w:val="en-GB"/>
        </w:rPr>
        <w:t>presentatives) in 2006 and 2013, updated in spring 2015 for Armenia, Turkey and Bulgaria.</w:t>
      </w:r>
    </w:p>
  </w:endnote>
  <w:endnote w:id="5">
    <w:p w14:paraId="65DB4EC3" w14:textId="0709E26C"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Statistical data provided by participating countries (gathered by Joint Programming Committee country representatives) in 2006 and 2013.</w:t>
      </w:r>
    </w:p>
  </w:endnote>
  <w:endnote w:id="6">
    <w:p w14:paraId="296981C8" w14:textId="2E40494D"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7">
    <w:p w14:paraId="4FA4A18F" w14:textId="3FBF9443"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8">
    <w:p w14:paraId="5420D463" w14:textId="3BC9E03F" w:rsidR="00674231" w:rsidRPr="00781503" w:rsidRDefault="00674231">
      <w:pPr>
        <w:pStyle w:val="EndnoteText"/>
        <w:rPr>
          <w:lang w:val="en-GB"/>
        </w:rPr>
      </w:pPr>
      <w:r>
        <w:rPr>
          <w:rStyle w:val="EndnoteReference"/>
        </w:rPr>
        <w:endnoteRef/>
      </w:r>
      <w:r w:rsidRPr="00781503">
        <w:rPr>
          <w:lang w:val="en-GB"/>
        </w:rPr>
        <w:t xml:space="preserve"> </w:t>
      </w:r>
      <w:r w:rsidRPr="006A1991">
        <w:rPr>
          <w:sz w:val="22"/>
          <w:szCs w:val="22"/>
          <w:lang w:val="en-GB"/>
        </w:rPr>
        <w:t xml:space="preserve">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r>
        <w:rPr>
          <w:sz w:val="22"/>
          <w:szCs w:val="22"/>
          <w:lang w:val="en-GB"/>
        </w:rPr>
        <w:t xml:space="preserve"> </w:t>
      </w:r>
    </w:p>
  </w:endnote>
  <w:endnote w:id="9">
    <w:p w14:paraId="79D6C4DC" w14:textId="40DD8A8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10">
    <w:p w14:paraId="5BFF2361" w14:textId="77777777" w:rsidR="00674231" w:rsidRPr="00781503" w:rsidRDefault="00674231" w:rsidP="00443135">
      <w:pPr>
        <w:pStyle w:val="EndnoteText"/>
        <w:rPr>
          <w:lang w:val="en-GB"/>
        </w:rPr>
      </w:pPr>
      <w:r>
        <w:rPr>
          <w:rStyle w:val="EndnoteReference"/>
        </w:rPr>
        <w:endnoteRef/>
      </w:r>
      <w:r w:rsidRPr="00781503">
        <w:rPr>
          <w:lang w:val="en-GB"/>
        </w:rPr>
        <w:t xml:space="preserve"> </w:t>
      </w:r>
      <w:r w:rsidRPr="006A1991">
        <w:rPr>
          <w:sz w:val="22"/>
          <w:szCs w:val="22"/>
          <w:lang w:val="en-GB"/>
        </w:rPr>
        <w:t xml:space="preserve">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11">
    <w:p w14:paraId="65FD1B5A" w14:textId="77777777" w:rsidR="00674231" w:rsidRPr="00781503" w:rsidRDefault="00674231" w:rsidP="00443135">
      <w:pPr>
        <w:pStyle w:val="Default"/>
        <w:rPr>
          <w:rFonts w:ascii="Franklin Gothic Medium Cond" w:hAnsi="Franklin Gothic Medium Cond" w:cs="Franklin Gothic Medium Cond"/>
          <w:lang w:val="en-GB"/>
        </w:rPr>
      </w:pPr>
      <w:r>
        <w:rPr>
          <w:rStyle w:val="EndnoteReference"/>
        </w:rPr>
        <w:endnoteRef/>
      </w:r>
      <w:r w:rsidRPr="00781503">
        <w:rPr>
          <w:lang w:val="en-GB"/>
        </w:rPr>
        <w:t xml:space="preserve"> Source: </w:t>
      </w:r>
      <w:r w:rsidRPr="008835DF">
        <w:rPr>
          <w:sz w:val="22"/>
          <w:szCs w:val="22"/>
          <w:lang w:val="en-GB"/>
        </w:rPr>
        <w:t>UN High Commissioner for Refugees (UNHCR),</w:t>
      </w:r>
      <w:r w:rsidRPr="00781503">
        <w:rPr>
          <w:rFonts w:ascii="Franklin Gothic Medium Cond" w:hAnsi="Franklin Gothic Medium Cond" w:cs="Franklin Gothic Medium Cond"/>
          <w:lang w:val="en-GB"/>
        </w:rPr>
        <w:t xml:space="preserve"> </w:t>
      </w:r>
      <w:r w:rsidRPr="00C46A0A">
        <w:rPr>
          <w:rFonts w:asciiTheme="minorHAnsi" w:hAnsiTheme="minorHAnsi" w:cstheme="minorBidi"/>
          <w:i/>
          <w:color w:val="auto"/>
          <w:sz w:val="22"/>
          <w:szCs w:val="22"/>
          <w:lang w:val="en-GB"/>
        </w:rPr>
        <w:t>Monthly Summary on Syrian Refugees in Turkey, April 2014</w:t>
      </w:r>
      <w:r w:rsidRPr="00781503">
        <w:rPr>
          <w:rFonts w:ascii="Franklin Gothic Medium Cond" w:hAnsi="Franklin Gothic Medium Cond" w:cs="Franklin Gothic Medium Cond"/>
          <w:sz w:val="48"/>
          <w:szCs w:val="48"/>
          <w:lang w:val="en-GB"/>
        </w:rPr>
        <w:t xml:space="preserve"> </w:t>
      </w:r>
      <w:r w:rsidRPr="00C46A0A">
        <w:rPr>
          <w:rFonts w:asciiTheme="minorHAnsi" w:hAnsiTheme="minorHAnsi" w:cstheme="minorBidi"/>
          <w:color w:val="auto"/>
          <w:sz w:val="22"/>
          <w:szCs w:val="22"/>
          <w:lang w:val="en-GB"/>
        </w:rPr>
        <w:t>at http://data.unhcr.org/syrianrefugees/country.php?id=224</w:t>
      </w:r>
    </w:p>
  </w:endnote>
  <w:endnote w:id="12">
    <w:p w14:paraId="3A0F2F20" w14:textId="77777777" w:rsidR="00674231" w:rsidRPr="00760BD8" w:rsidRDefault="00674231" w:rsidP="00443135">
      <w:pPr>
        <w:pStyle w:val="EndnoteText"/>
        <w:rPr>
          <w:sz w:val="22"/>
          <w:szCs w:val="22"/>
          <w:lang w:val="en-GB"/>
        </w:rPr>
      </w:pPr>
      <w:r>
        <w:rPr>
          <w:rStyle w:val="EndnoteReference"/>
        </w:rPr>
        <w:endnoteRef/>
      </w:r>
      <w:r w:rsidRPr="00781503">
        <w:rPr>
          <w:lang w:val="en-GB"/>
        </w:rPr>
        <w:t xml:space="preserve"> </w:t>
      </w:r>
      <w:r w:rsidRPr="00760BD8">
        <w:rPr>
          <w:sz w:val="22"/>
          <w:szCs w:val="22"/>
          <w:lang w:val="en-GB"/>
        </w:rPr>
        <w:t>Source</w:t>
      </w:r>
      <w:r>
        <w:rPr>
          <w:sz w:val="22"/>
          <w:szCs w:val="22"/>
          <w:lang w:val="en-GB"/>
        </w:rPr>
        <w:t>s</w:t>
      </w:r>
      <w:r w:rsidRPr="00760BD8">
        <w:rPr>
          <w:sz w:val="22"/>
          <w:szCs w:val="22"/>
          <w:lang w:val="en-GB"/>
        </w:rPr>
        <w:t xml:space="preserve">: </w:t>
      </w:r>
      <w:r w:rsidRPr="008835DF">
        <w:rPr>
          <w:sz w:val="22"/>
          <w:szCs w:val="22"/>
          <w:lang w:val="en-GB"/>
        </w:rPr>
        <w:t>UN High Commissioner for Refugees (UNHCR),</w:t>
      </w:r>
      <w:r>
        <w:rPr>
          <w:sz w:val="22"/>
          <w:szCs w:val="22"/>
          <w:lang w:val="en-GB"/>
        </w:rPr>
        <w:t xml:space="preserve"> </w:t>
      </w:r>
      <w:r w:rsidRPr="008835DF">
        <w:rPr>
          <w:i/>
          <w:sz w:val="22"/>
          <w:szCs w:val="22"/>
          <w:lang w:val="en-GB"/>
        </w:rPr>
        <w:t>UNHCR observations on the current asylum system in Greece</w:t>
      </w:r>
      <w:r w:rsidRPr="008835DF">
        <w:rPr>
          <w:sz w:val="22"/>
          <w:szCs w:val="22"/>
          <w:lang w:val="en-GB"/>
        </w:rPr>
        <w:t xml:space="preserve">, December 2014, available at http://www.refworld.org/docid/54cb3af34.html; </w:t>
      </w:r>
      <w:r w:rsidRPr="008835DF">
        <w:rPr>
          <w:i/>
          <w:sz w:val="22"/>
          <w:szCs w:val="22"/>
          <w:lang w:val="en-GB"/>
        </w:rPr>
        <w:t xml:space="preserve">UNHCR 2015 </w:t>
      </w:r>
      <w:proofErr w:type="spellStart"/>
      <w:r w:rsidRPr="008835DF">
        <w:rPr>
          <w:i/>
          <w:sz w:val="22"/>
          <w:szCs w:val="22"/>
          <w:lang w:val="en-GB"/>
        </w:rPr>
        <w:t>subregional</w:t>
      </w:r>
      <w:proofErr w:type="spellEnd"/>
      <w:r w:rsidRPr="008835DF">
        <w:rPr>
          <w:i/>
          <w:sz w:val="22"/>
          <w:szCs w:val="22"/>
          <w:lang w:val="en-GB"/>
        </w:rPr>
        <w:t xml:space="preserve"> operations profile</w:t>
      </w:r>
      <w:r>
        <w:rPr>
          <w:sz w:val="22"/>
          <w:szCs w:val="22"/>
          <w:lang w:val="en-GB"/>
        </w:rPr>
        <w:t xml:space="preserve">, at </w:t>
      </w:r>
      <w:r w:rsidRPr="00760BD8">
        <w:rPr>
          <w:sz w:val="22"/>
          <w:szCs w:val="22"/>
          <w:lang w:val="en-GB"/>
        </w:rPr>
        <w:t>http://www.unhcr.org/pages/49e48e726.html</w:t>
      </w:r>
    </w:p>
  </w:endnote>
  <w:endnote w:id="13">
    <w:p w14:paraId="41BA9B71" w14:textId="3FAC76F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14">
    <w:p w14:paraId="5FF55E70" w14:textId="77777777" w:rsidR="00674231" w:rsidRPr="006A1991" w:rsidRDefault="00674231" w:rsidP="00443135">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i/>
          <w:sz w:val="22"/>
          <w:szCs w:val="22"/>
          <w:lang w:val="en-GB"/>
        </w:rPr>
        <w:t>International migration outlook 2013</w:t>
      </w:r>
    </w:p>
  </w:endnote>
  <w:endnote w:id="15">
    <w:p w14:paraId="2EEA139F" w14:textId="77777777" w:rsidR="00674231" w:rsidRPr="006A1991" w:rsidRDefault="00674231" w:rsidP="00AA5ECC">
      <w:pPr>
        <w:pStyle w:val="EndnoteText"/>
        <w:spacing w:after="40"/>
        <w:rPr>
          <w:i/>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 </w:t>
      </w:r>
      <w:r w:rsidRPr="006A1991">
        <w:rPr>
          <w:i/>
          <w:sz w:val="22"/>
          <w:szCs w:val="22"/>
          <w:lang w:val="en-GB"/>
        </w:rPr>
        <w:t>Migration in the Black Sea Region, An overview 2008</w:t>
      </w:r>
    </w:p>
  </w:endnote>
  <w:endnote w:id="16">
    <w:p w14:paraId="64FF7EDF" w14:textId="072EC92C" w:rsidR="00674231" w:rsidRPr="006A1991" w:rsidRDefault="00674231" w:rsidP="00AA5ECC">
      <w:pPr>
        <w:spacing w:after="40" w:line="240" w:lineRule="auto"/>
        <w:rPr>
          <w:sz w:val="22"/>
          <w:szCs w:val="22"/>
          <w:lang w:val="en-GB"/>
        </w:rPr>
      </w:pPr>
      <w:r w:rsidRPr="006A1991">
        <w:rPr>
          <w:rStyle w:val="EndnoteReference"/>
          <w:sz w:val="22"/>
          <w:szCs w:val="22"/>
        </w:rPr>
        <w:endnoteRef/>
      </w:r>
      <w:r w:rsidRPr="006A1991">
        <w:rPr>
          <w:sz w:val="22"/>
          <w:szCs w:val="22"/>
          <w:lang w:val="en-GB"/>
        </w:rPr>
        <w:t xml:space="preserve"> Sources: International Organisation for Migration (IMO) – </w:t>
      </w:r>
      <w:r w:rsidRPr="006A1991">
        <w:rPr>
          <w:i/>
          <w:sz w:val="22"/>
          <w:szCs w:val="22"/>
          <w:lang w:val="en-GB"/>
        </w:rPr>
        <w:t>Country migration profiles 2008</w:t>
      </w:r>
      <w:r w:rsidRPr="006A1991">
        <w:rPr>
          <w:sz w:val="22"/>
          <w:szCs w:val="22"/>
          <w:lang w:val="en-GB"/>
        </w:rPr>
        <w:t xml:space="preserve"> for Armenia, Azerbaijan, Bulgaria, Georgia, Greece, Moldova, Russia, Turkey, Ukraine; </w:t>
      </w:r>
      <w:r w:rsidRPr="006A1991">
        <w:rPr>
          <w:i/>
          <w:sz w:val="22"/>
          <w:szCs w:val="22"/>
          <w:lang w:val="en-GB"/>
        </w:rPr>
        <w:t>Extended migration profile 2012</w:t>
      </w:r>
      <w:r w:rsidRPr="006A1991">
        <w:rPr>
          <w:sz w:val="22"/>
          <w:szCs w:val="22"/>
          <w:lang w:val="en-GB"/>
        </w:rPr>
        <w:t xml:space="preserve"> for Moldova;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i/>
          <w:sz w:val="22"/>
          <w:szCs w:val="22"/>
          <w:lang w:val="en-GB"/>
        </w:rPr>
        <w:t>International migration outlook 2013</w:t>
      </w:r>
    </w:p>
  </w:endnote>
  <w:endnote w:id="17">
    <w:p w14:paraId="5E5A3165" w14:textId="3E972515" w:rsidR="00674231" w:rsidRPr="006A1991" w:rsidRDefault="00674231" w:rsidP="00AA5ECC">
      <w:pPr>
        <w:pStyle w:val="CommentText"/>
        <w:spacing w:after="40"/>
        <w:rPr>
          <w:sz w:val="22"/>
          <w:szCs w:val="22"/>
          <w:lang w:val="en-GB"/>
        </w:rPr>
      </w:pPr>
      <w:r w:rsidRPr="006A1991">
        <w:rPr>
          <w:rStyle w:val="EndnoteReference"/>
          <w:sz w:val="22"/>
          <w:szCs w:val="22"/>
        </w:rPr>
        <w:endnoteRef/>
      </w:r>
      <w:r w:rsidRPr="00781503">
        <w:rPr>
          <w:sz w:val="22"/>
          <w:szCs w:val="22"/>
          <w:lang w:val="en-GB"/>
        </w:rPr>
        <w:t xml:space="preserve"> Sources: </w:t>
      </w:r>
      <w:r w:rsidRPr="006A1991">
        <w:rPr>
          <w:sz w:val="22"/>
          <w:szCs w:val="22"/>
          <w:lang w:val="en-GB"/>
        </w:rPr>
        <w:t xml:space="preserve">Lois </w:t>
      </w:r>
      <w:proofErr w:type="spellStart"/>
      <w:r w:rsidRPr="006A1991">
        <w:rPr>
          <w:sz w:val="22"/>
          <w:szCs w:val="22"/>
          <w:lang w:val="en-GB"/>
        </w:rPr>
        <w:t>Labrianidis</w:t>
      </w:r>
      <w:proofErr w:type="spellEnd"/>
      <w:r w:rsidRPr="006A1991">
        <w:rPr>
          <w:sz w:val="22"/>
          <w:szCs w:val="22"/>
          <w:lang w:val="en-GB"/>
        </w:rPr>
        <w:t xml:space="preserve"> &amp; Nikos </w:t>
      </w:r>
      <w:proofErr w:type="spellStart"/>
      <w:r w:rsidRPr="006A1991">
        <w:rPr>
          <w:sz w:val="22"/>
          <w:szCs w:val="22"/>
          <w:lang w:val="en-GB"/>
        </w:rPr>
        <w:t>Vogiatzis</w:t>
      </w:r>
      <w:proofErr w:type="spellEnd"/>
      <w:r w:rsidRPr="006A1991">
        <w:rPr>
          <w:sz w:val="22"/>
          <w:szCs w:val="22"/>
          <w:lang w:val="en-GB"/>
        </w:rPr>
        <w:t xml:space="preserve"> (2013), "</w:t>
      </w:r>
      <w:hyperlink r:id="rId1" w:tgtFrame="_blank" w:history="1">
        <w:r w:rsidRPr="00781503">
          <w:rPr>
            <w:sz w:val="22"/>
            <w:szCs w:val="22"/>
            <w:lang w:val="en-GB"/>
          </w:rPr>
          <w:t>The mutually reinforcing relation between international migration of highly educated labour force and economic crisis: the case of Greece</w:t>
        </w:r>
      </w:hyperlink>
      <w:r w:rsidRPr="006A1991">
        <w:rPr>
          <w:sz w:val="22"/>
          <w:szCs w:val="22"/>
          <w:lang w:val="en-GB"/>
        </w:rPr>
        <w:t>", </w:t>
      </w:r>
      <w:r w:rsidRPr="00781503">
        <w:rPr>
          <w:i/>
          <w:iCs/>
          <w:sz w:val="22"/>
          <w:szCs w:val="22"/>
          <w:lang w:val="en-GB"/>
        </w:rPr>
        <w:t>Southeast European and Black Sea Studies</w:t>
      </w:r>
      <w:r w:rsidRPr="006A1991">
        <w:rPr>
          <w:i/>
          <w:sz w:val="22"/>
          <w:szCs w:val="22"/>
          <w:lang w:val="en-GB"/>
        </w:rPr>
        <w:t xml:space="preserve">; </w:t>
      </w:r>
      <w:r w:rsidRPr="006A1991">
        <w:rPr>
          <w:sz w:val="22"/>
          <w:szCs w:val="22"/>
          <w:lang w:val="en-GB"/>
        </w:rPr>
        <w:t xml:space="preserve">Lois </w:t>
      </w:r>
      <w:proofErr w:type="spellStart"/>
      <w:r w:rsidRPr="006A1991">
        <w:rPr>
          <w:sz w:val="22"/>
          <w:szCs w:val="22"/>
          <w:lang w:val="en-GB"/>
        </w:rPr>
        <w:t>Labrianidis</w:t>
      </w:r>
      <w:proofErr w:type="spellEnd"/>
      <w:r w:rsidRPr="006A1991">
        <w:rPr>
          <w:sz w:val="22"/>
          <w:szCs w:val="22"/>
          <w:lang w:val="en-GB"/>
        </w:rPr>
        <w:t xml:space="preserve"> (2013) </w:t>
      </w:r>
      <w:r w:rsidRPr="00781503">
        <w:rPr>
          <w:sz w:val="22"/>
          <w:szCs w:val="22"/>
          <w:lang w:val="en-GB"/>
        </w:rPr>
        <w:t>"</w:t>
      </w:r>
      <w:hyperlink r:id="rId2" w:tgtFrame="_blank" w:history="1">
        <w:r w:rsidRPr="00781503">
          <w:rPr>
            <w:sz w:val="22"/>
            <w:szCs w:val="22"/>
            <w:lang w:val="en-GB"/>
          </w:rPr>
          <w:t>Investing in Leaving: The Greek Case of International Migration of Professionals</w:t>
        </w:r>
      </w:hyperlink>
      <w:r w:rsidRPr="00781503">
        <w:rPr>
          <w:sz w:val="22"/>
          <w:szCs w:val="22"/>
          <w:lang w:val="en-GB"/>
        </w:rPr>
        <w:t>"</w:t>
      </w:r>
      <w:r w:rsidRPr="006A1991">
        <w:rPr>
          <w:rFonts w:ascii="Tahoma" w:hAnsi="Tahoma" w:cs="Tahoma"/>
          <w:color w:val="000000"/>
          <w:sz w:val="22"/>
          <w:szCs w:val="22"/>
          <w:lang w:val="en-GB"/>
        </w:rPr>
        <w:t xml:space="preserve">, </w:t>
      </w:r>
      <w:proofErr w:type="spellStart"/>
      <w:r w:rsidRPr="00781503">
        <w:rPr>
          <w:i/>
          <w:iCs/>
          <w:sz w:val="22"/>
          <w:szCs w:val="22"/>
          <w:lang w:val="en-GB"/>
        </w:rPr>
        <w:t>Mobilities</w:t>
      </w:r>
      <w:proofErr w:type="spellEnd"/>
      <w:r w:rsidRPr="006A1991">
        <w:rPr>
          <w:sz w:val="22"/>
          <w:szCs w:val="22"/>
          <w:lang w:val="en-GB"/>
        </w:rPr>
        <w:t xml:space="preserve">; Andrea </w:t>
      </w:r>
      <w:proofErr w:type="spellStart"/>
      <w:r w:rsidRPr="006A1991">
        <w:rPr>
          <w:sz w:val="22"/>
          <w:szCs w:val="22"/>
          <w:lang w:val="en-GB"/>
        </w:rPr>
        <w:t>Pelliccia</w:t>
      </w:r>
      <w:proofErr w:type="spellEnd"/>
      <w:r w:rsidRPr="006A1991">
        <w:rPr>
          <w:sz w:val="22"/>
          <w:szCs w:val="22"/>
          <w:lang w:val="en-GB"/>
        </w:rPr>
        <w:t xml:space="preserve">: “Greece: education and brain drain in times of crisis" </w:t>
      </w:r>
      <w:hyperlink r:id="rId3" w:history="1">
        <w:r w:rsidRPr="00781503">
          <w:rPr>
            <w:sz w:val="22"/>
            <w:szCs w:val="22"/>
            <w:lang w:val="en-GB"/>
          </w:rPr>
          <w:t>www.academia.edu</w:t>
        </w:r>
      </w:hyperlink>
    </w:p>
  </w:endnote>
  <w:endnote w:id="18">
    <w:p w14:paraId="38B30F1F"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 </w:t>
      </w:r>
      <w:r w:rsidRPr="006A1991">
        <w:rPr>
          <w:i/>
          <w:sz w:val="22"/>
          <w:szCs w:val="22"/>
          <w:lang w:val="en-GB"/>
        </w:rPr>
        <w:t>Country migration profiles 2008</w:t>
      </w:r>
      <w:r w:rsidRPr="006A1991">
        <w:rPr>
          <w:sz w:val="22"/>
          <w:szCs w:val="22"/>
          <w:lang w:val="en-GB"/>
        </w:rPr>
        <w:t xml:space="preserve"> for Armenia, Azerbaijan, Bulgaria, Georgia, Greece, Moldova, Russia, Turkey, Ukraine; </w:t>
      </w:r>
      <w:r w:rsidRPr="006A1991">
        <w:rPr>
          <w:i/>
          <w:sz w:val="22"/>
          <w:szCs w:val="22"/>
          <w:lang w:val="en-GB"/>
        </w:rPr>
        <w:t>Extended migration profile 2012</w:t>
      </w:r>
      <w:r w:rsidRPr="006A1991">
        <w:rPr>
          <w:sz w:val="22"/>
          <w:szCs w:val="22"/>
          <w:lang w:val="en-GB"/>
        </w:rPr>
        <w:t xml:space="preserve"> for Moldova</w:t>
      </w:r>
    </w:p>
  </w:endnote>
  <w:endnote w:id="19">
    <w:p w14:paraId="4857F77F"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 </w:t>
      </w:r>
      <w:r w:rsidRPr="006A1991">
        <w:rPr>
          <w:i/>
          <w:sz w:val="22"/>
          <w:szCs w:val="22"/>
          <w:lang w:val="en-GB"/>
        </w:rPr>
        <w:t>Country migration profile 2008, Turkey</w:t>
      </w:r>
    </w:p>
  </w:endnote>
  <w:endnote w:id="20">
    <w:p w14:paraId="71BE97CE"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 </w:t>
      </w:r>
      <w:r w:rsidRPr="006A1991">
        <w:rPr>
          <w:i/>
          <w:sz w:val="22"/>
          <w:szCs w:val="22"/>
          <w:lang w:val="en-GB"/>
        </w:rPr>
        <w:t>Migration in the Black Sea Region, An overview 2008</w:t>
      </w:r>
    </w:p>
  </w:endnote>
  <w:endnote w:id="21">
    <w:p w14:paraId="37D29D6B" w14:textId="2A23FCFE"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for EU data extracted from World Bank </w:t>
      </w:r>
      <w:proofErr w:type="spellStart"/>
      <w:r w:rsidRPr="006A1991">
        <w:rPr>
          <w:sz w:val="22"/>
          <w:szCs w:val="22"/>
          <w:lang w:val="en-GB"/>
        </w:rPr>
        <w:t>DataBank</w:t>
      </w:r>
      <w:proofErr w:type="spellEnd"/>
      <w:r w:rsidRPr="006A1991">
        <w:rPr>
          <w:sz w:val="22"/>
          <w:szCs w:val="22"/>
          <w:lang w:val="en-GB"/>
        </w:rPr>
        <w:t xml:space="preserve">, World Development Indicators (WDI) in http://data.worldbank.org/data-catalog/world-development-indicators </w:t>
      </w:r>
    </w:p>
  </w:endnote>
  <w:endnote w:id="22">
    <w:p w14:paraId="25EDD4C9" w14:textId="4E314703"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23">
    <w:p w14:paraId="3008DE5D" w14:textId="25E1E8B9"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24">
    <w:p w14:paraId="5F476A3A" w14:textId="4E856A0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25">
    <w:p w14:paraId="51C3281C"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 Black Sea Trade and Development Bank – </w:t>
      </w:r>
      <w:r w:rsidRPr="006A1991">
        <w:rPr>
          <w:i/>
          <w:sz w:val="22"/>
          <w:szCs w:val="22"/>
          <w:lang w:val="en-GB"/>
        </w:rPr>
        <w:t xml:space="preserve">Black Sea Region : Sources of Sustainable Growth, Annual report </w:t>
      </w:r>
      <w:r w:rsidRPr="006A1991">
        <w:rPr>
          <w:sz w:val="22"/>
          <w:szCs w:val="22"/>
          <w:lang w:val="en-GB"/>
        </w:rPr>
        <w:t>2012</w:t>
      </w:r>
    </w:p>
  </w:endnote>
  <w:endnote w:id="26">
    <w:p w14:paraId="46E6895F" w14:textId="4F2A871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27">
    <w:p w14:paraId="1530DB21" w14:textId="31FB16B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28">
    <w:p w14:paraId="0E533DC2" w14:textId="0B135DC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29">
    <w:p w14:paraId="2A74FADE" w14:textId="37962D1D"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Black Sea Trade and Development Bank, </w:t>
      </w:r>
      <w:r w:rsidRPr="006A1991">
        <w:rPr>
          <w:i/>
          <w:sz w:val="22"/>
          <w:szCs w:val="22"/>
          <w:lang w:val="en-GB"/>
        </w:rPr>
        <w:t>Black Sea Region: Sources of Sustainable Growth</w:t>
      </w:r>
      <w:r w:rsidRPr="006A1991">
        <w:rPr>
          <w:sz w:val="22"/>
          <w:szCs w:val="22"/>
          <w:lang w:val="en-GB"/>
        </w:rPr>
        <w:t xml:space="preserve">, </w:t>
      </w:r>
      <w:r w:rsidRPr="006A1991">
        <w:rPr>
          <w:i/>
          <w:sz w:val="22"/>
          <w:szCs w:val="22"/>
          <w:lang w:val="en-GB"/>
        </w:rPr>
        <w:t>Annual report</w:t>
      </w:r>
      <w:r w:rsidRPr="006A1991">
        <w:rPr>
          <w:sz w:val="22"/>
          <w:szCs w:val="22"/>
          <w:lang w:val="en-GB"/>
        </w:rPr>
        <w:t xml:space="preserve"> 2012 </w:t>
      </w:r>
    </w:p>
  </w:endnote>
  <w:endnote w:id="30">
    <w:p w14:paraId="64C8E3BF" w14:textId="542190CE"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Sources: Black Sea Trade and Development Bank, </w:t>
      </w:r>
      <w:r w:rsidRPr="006A1991">
        <w:rPr>
          <w:i/>
          <w:sz w:val="22"/>
          <w:szCs w:val="22"/>
          <w:lang w:val="en-GB"/>
        </w:rPr>
        <w:t xml:space="preserve">Black Sea Region: Sources of Sustainable Growth, Annual report </w:t>
      </w:r>
      <w:r w:rsidRPr="006A1991">
        <w:rPr>
          <w:sz w:val="22"/>
          <w:szCs w:val="22"/>
          <w:lang w:val="en-GB"/>
        </w:rPr>
        <w:t xml:space="preserve">2012;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31">
    <w:p w14:paraId="09D61312" w14:textId="77777777" w:rsidR="00674231" w:rsidRPr="006A1991" w:rsidRDefault="00674231" w:rsidP="00AA5ECC">
      <w:pPr>
        <w:pStyle w:val="EndnoteText"/>
        <w:spacing w:after="40"/>
        <w:rPr>
          <w:i/>
          <w:sz w:val="22"/>
          <w:szCs w:val="22"/>
          <w:lang w:val="en-GB"/>
        </w:rPr>
      </w:pPr>
      <w:r w:rsidRPr="006A1991">
        <w:rPr>
          <w:rStyle w:val="EndnoteReference"/>
          <w:sz w:val="22"/>
          <w:szCs w:val="22"/>
        </w:rPr>
        <w:endnoteRef/>
      </w:r>
      <w:r w:rsidRPr="006A1991">
        <w:rPr>
          <w:sz w:val="22"/>
          <w:szCs w:val="22"/>
          <w:lang w:val="en-GB"/>
        </w:rPr>
        <w:t xml:space="preserve"> Source: World Economic Forum, </w:t>
      </w:r>
      <w:r w:rsidRPr="006A1991">
        <w:rPr>
          <w:i/>
          <w:sz w:val="22"/>
          <w:szCs w:val="22"/>
          <w:lang w:val="en-GB"/>
        </w:rPr>
        <w:t>Global Competitiveness Report 2008-2009, Global Competitiveness report 2013-2014</w:t>
      </w:r>
    </w:p>
  </w:endnote>
  <w:endnote w:id="32">
    <w:p w14:paraId="74A6569A"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Economic Forum, </w:t>
      </w:r>
      <w:r w:rsidRPr="006A1991">
        <w:rPr>
          <w:i/>
          <w:sz w:val="22"/>
          <w:szCs w:val="22"/>
          <w:lang w:val="en-GB"/>
        </w:rPr>
        <w:t>Global Competitiveness report 2013-2014</w:t>
      </w:r>
    </w:p>
  </w:endnote>
  <w:endnote w:id="33">
    <w:p w14:paraId="2C555393" w14:textId="5DFD47C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34">
    <w:p w14:paraId="6073EB2B" w14:textId="242B63B4"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 </w:t>
      </w:r>
      <w:r w:rsidRPr="006A1991">
        <w:rPr>
          <w:i/>
          <w:sz w:val="22"/>
          <w:szCs w:val="22"/>
          <w:lang w:val="en-GB"/>
        </w:rPr>
        <w:t xml:space="preserve">Migration in the Black Sea Region, An overview 2008; </w:t>
      </w:r>
      <w:r w:rsidRPr="006A1991">
        <w:rPr>
          <w:sz w:val="22"/>
          <w:szCs w:val="22"/>
          <w:lang w:val="en-GB"/>
        </w:rPr>
        <w:t>European Training Foundation (ETF)</w:t>
      </w:r>
      <w:r w:rsidRPr="006A1991">
        <w:rPr>
          <w:i/>
          <w:sz w:val="22"/>
          <w:szCs w:val="22"/>
          <w:lang w:val="en-GB"/>
        </w:rPr>
        <w:t xml:space="preserve"> – Black Sea labour market reviews, </w:t>
      </w:r>
      <w:r w:rsidRPr="006A1991">
        <w:rPr>
          <w:sz w:val="22"/>
          <w:szCs w:val="22"/>
          <w:lang w:val="en-GB"/>
        </w:rPr>
        <w:t>country reports 2009-2010</w:t>
      </w:r>
      <w:r w:rsidRPr="006A1991">
        <w:rPr>
          <w:i/>
          <w:sz w:val="22"/>
          <w:szCs w:val="22"/>
          <w:lang w:val="en-GB"/>
        </w:rPr>
        <w:t xml:space="preserve"> </w:t>
      </w:r>
    </w:p>
  </w:endnote>
  <w:endnote w:id="35">
    <w:p w14:paraId="5A11B65F" w14:textId="235F15D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36">
    <w:p w14:paraId="748E4DF9" w14:textId="5369041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37">
    <w:p w14:paraId="12524624"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Commission on the Black Sea - </w:t>
      </w:r>
      <w:r w:rsidRPr="006A1991">
        <w:rPr>
          <w:i/>
          <w:sz w:val="22"/>
          <w:szCs w:val="22"/>
          <w:lang w:val="en-GB"/>
        </w:rPr>
        <w:t>The Current State of Economic Development in the Black Sea Region, Policy Report, 2010</w:t>
      </w:r>
    </w:p>
  </w:endnote>
  <w:endnote w:id="38">
    <w:p w14:paraId="79599024" w14:textId="77777777" w:rsidR="00674231" w:rsidRPr="006A1991" w:rsidRDefault="00674231" w:rsidP="00AA5ECC">
      <w:pPr>
        <w:pStyle w:val="EndnoteText"/>
        <w:spacing w:after="40"/>
        <w:rPr>
          <w:i/>
          <w:sz w:val="22"/>
          <w:szCs w:val="22"/>
          <w:lang w:val="en-GB"/>
        </w:rPr>
      </w:pPr>
      <w:r w:rsidRPr="006A1991">
        <w:rPr>
          <w:rStyle w:val="EndnoteReference"/>
          <w:sz w:val="22"/>
          <w:szCs w:val="22"/>
        </w:rPr>
        <w:endnoteRef/>
      </w:r>
      <w:r w:rsidRPr="006A1991">
        <w:rPr>
          <w:sz w:val="22"/>
          <w:szCs w:val="22"/>
          <w:lang w:val="en-GB"/>
        </w:rPr>
        <w:t xml:space="preserve"> Source: Commission on the Black Sea - </w:t>
      </w:r>
      <w:r w:rsidRPr="006A1991">
        <w:rPr>
          <w:i/>
          <w:sz w:val="22"/>
          <w:szCs w:val="22"/>
          <w:lang w:val="en-GB"/>
        </w:rPr>
        <w:t>The Current State of Economic Development in the Black Sea Region, Policy Report, 2010</w:t>
      </w:r>
    </w:p>
  </w:endnote>
  <w:endnote w:id="39">
    <w:p w14:paraId="7BFBB6B3" w14:textId="5C055826" w:rsidR="00674231" w:rsidRPr="006A1991" w:rsidRDefault="00674231" w:rsidP="00AA5ECC">
      <w:pPr>
        <w:pStyle w:val="EndnoteText"/>
        <w:spacing w:after="40"/>
        <w:rPr>
          <w:i/>
          <w:sz w:val="22"/>
          <w:szCs w:val="22"/>
          <w:lang w:val="en-GB"/>
        </w:rPr>
      </w:pPr>
      <w:r w:rsidRPr="006A1991">
        <w:rPr>
          <w:rStyle w:val="EndnoteReference"/>
          <w:sz w:val="22"/>
          <w:szCs w:val="22"/>
        </w:rPr>
        <w:endnoteRef/>
      </w:r>
      <w:r w:rsidRPr="006A1991">
        <w:rPr>
          <w:sz w:val="22"/>
          <w:szCs w:val="22"/>
          <w:vertAlign w:val="superscript"/>
          <w:lang w:val="en-GB"/>
        </w:rPr>
        <w:t xml:space="preserve"> </w:t>
      </w:r>
      <w:r w:rsidRPr="006A1991">
        <w:rPr>
          <w:sz w:val="22"/>
          <w:szCs w:val="22"/>
          <w:lang w:val="en-GB"/>
        </w:rPr>
        <w:t xml:space="preserve">Source: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rStyle w:val="EndnoteReference"/>
          <w:i/>
          <w:sz w:val="22"/>
          <w:szCs w:val="22"/>
          <w:vertAlign w:val="baseline"/>
          <w:lang w:val="en-GB"/>
        </w:rPr>
        <w:t>SME Policy Index: Eastern Partner Countries 2012: Progress in the Implementation of the Small Business Act for Europe </w:t>
      </w:r>
      <w:r w:rsidRPr="006A1991">
        <w:rPr>
          <w:i/>
          <w:sz w:val="22"/>
          <w:szCs w:val="22"/>
          <w:lang w:val="en-GB"/>
        </w:rPr>
        <w:t xml:space="preserve">;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i/>
          <w:sz w:val="22"/>
          <w:szCs w:val="22"/>
          <w:lang w:val="en-GB"/>
        </w:rPr>
        <w:t>SME Policy Index: Western Balkans and Turkey 2012 </w:t>
      </w:r>
    </w:p>
  </w:endnote>
  <w:endnote w:id="40">
    <w:p w14:paraId="029CFA86" w14:textId="1ED85234" w:rsidR="00674231" w:rsidRPr="006A1991" w:rsidRDefault="00674231" w:rsidP="00AA5ECC">
      <w:pPr>
        <w:spacing w:after="40" w:line="240" w:lineRule="auto"/>
        <w:rPr>
          <w:rFonts w:eastAsia="Times New Roman" w:cs="Times New Roman"/>
          <w:sz w:val="22"/>
          <w:szCs w:val="22"/>
          <w:lang w:val="en-GB"/>
        </w:rPr>
      </w:pPr>
      <w:r w:rsidRPr="006A1991">
        <w:rPr>
          <w:rStyle w:val="EndnoteReference"/>
          <w:sz w:val="22"/>
          <w:szCs w:val="22"/>
        </w:rPr>
        <w:endnoteRef/>
      </w:r>
      <w:r w:rsidRPr="006A1991">
        <w:rPr>
          <w:sz w:val="22"/>
          <w:szCs w:val="22"/>
          <w:lang w:val="en-GB"/>
        </w:rPr>
        <w:t xml:space="preserve"> Sources:</w:t>
      </w:r>
      <w:r w:rsidRPr="00781503">
        <w:rPr>
          <w:rStyle w:val="st"/>
          <w:rFonts w:eastAsia="Times New Roman" w:cs="Times New Roman"/>
          <w:sz w:val="22"/>
          <w:szCs w:val="22"/>
          <w:lang w:val="en-GB"/>
        </w:rPr>
        <w:t xml:space="preserve"> Organisation for Economic Co-operation and Development</w:t>
      </w:r>
      <w:r w:rsidRPr="006A1991">
        <w:rPr>
          <w:sz w:val="22"/>
          <w:szCs w:val="22"/>
          <w:lang w:val="en-GB"/>
        </w:rPr>
        <w:t xml:space="preserve"> (OECD), </w:t>
      </w:r>
      <w:r w:rsidRPr="006A1991">
        <w:rPr>
          <w:rStyle w:val="EndnoteReference"/>
          <w:i/>
          <w:sz w:val="22"/>
          <w:szCs w:val="22"/>
          <w:vertAlign w:val="baseline"/>
          <w:lang w:val="en-GB"/>
        </w:rPr>
        <w:t>SME Policy Index: Eastern Partner Countries 2012: Progress in the Implementation of the Small Business Act for Europe </w:t>
      </w:r>
      <w:r w:rsidRPr="006A1991">
        <w:rPr>
          <w:i/>
          <w:sz w:val="22"/>
          <w:szCs w:val="22"/>
          <w:lang w:val="en-GB"/>
        </w:rPr>
        <w:t xml:space="preserve">;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i/>
          <w:sz w:val="22"/>
          <w:szCs w:val="22"/>
          <w:lang w:val="en-GB"/>
        </w:rPr>
        <w:t>SME Policy Index: Western Balkans and Turkey 2012 ;</w:t>
      </w:r>
      <w:r w:rsidRPr="006A1991">
        <w:rPr>
          <w:sz w:val="22"/>
          <w:szCs w:val="22"/>
          <w:lang w:val="en-GB"/>
        </w:rPr>
        <w:t xml:space="preserve"> </w:t>
      </w:r>
      <w:r w:rsidRPr="00781503">
        <w:rPr>
          <w:rStyle w:val="st"/>
          <w:rFonts w:eastAsia="Times New Roman" w:cs="Times New Roman"/>
          <w:sz w:val="22"/>
          <w:szCs w:val="22"/>
          <w:lang w:val="en-GB"/>
        </w:rPr>
        <w:t>Organisation for Economic Co-operation and Development</w:t>
      </w:r>
      <w:r w:rsidRPr="006A1991">
        <w:rPr>
          <w:sz w:val="22"/>
          <w:szCs w:val="22"/>
          <w:lang w:val="en-GB"/>
        </w:rPr>
        <w:t xml:space="preserve"> (OECD), </w:t>
      </w:r>
      <w:r w:rsidRPr="006A1991">
        <w:rPr>
          <w:i/>
          <w:sz w:val="22"/>
          <w:szCs w:val="22"/>
          <w:lang w:val="en-GB"/>
        </w:rPr>
        <w:t>The Impact of the Global Crisis on SME and Entrepreneurship Financing and Policy Response, 2009</w:t>
      </w:r>
    </w:p>
  </w:endnote>
  <w:endnote w:id="41">
    <w:p w14:paraId="5B43A625" w14:textId="3EC1A7C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Bank for Reconstruction and Development/World Bank,</w:t>
      </w:r>
      <w:r w:rsidRPr="006A1991">
        <w:rPr>
          <w:i/>
          <w:sz w:val="22"/>
          <w:szCs w:val="22"/>
          <w:lang w:val="en-GB"/>
        </w:rPr>
        <w:t xml:space="preserve"> Doing Business 2013, Smarter Regulations for Small and Medium Size Enterprises</w:t>
      </w:r>
    </w:p>
  </w:endnote>
  <w:endnote w:id="42">
    <w:p w14:paraId="4D49AD83" w14:textId="359AB75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Bank for Reconstruction and Development/World Bank, </w:t>
      </w:r>
      <w:r w:rsidRPr="006A1991">
        <w:rPr>
          <w:i/>
          <w:sz w:val="22"/>
          <w:szCs w:val="22"/>
          <w:lang w:val="en-GB"/>
        </w:rPr>
        <w:t>Doing Business 2007, How to Reform</w:t>
      </w:r>
      <w:r w:rsidRPr="006A1991">
        <w:rPr>
          <w:sz w:val="22"/>
          <w:szCs w:val="22"/>
          <w:lang w:val="en-GB"/>
        </w:rPr>
        <w:t>;</w:t>
      </w:r>
      <w:r w:rsidRPr="006A1991">
        <w:rPr>
          <w:i/>
          <w:sz w:val="22"/>
          <w:szCs w:val="22"/>
          <w:lang w:val="en-GB"/>
        </w:rPr>
        <w:t xml:space="preserve"> Doing Business 2013, Smarter Regulations for Small and Medium Size Enterprises; Doing Business 2015, Going Beyond Efficiency</w:t>
      </w:r>
    </w:p>
  </w:endnote>
  <w:endnote w:id="43">
    <w:p w14:paraId="1E9263CB" w14:textId="65BCE799"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44">
    <w:p w14:paraId="710B171E" w14:textId="7ED34F4B" w:rsidR="00674231" w:rsidRPr="006A1991" w:rsidRDefault="00674231" w:rsidP="00AA5ECC">
      <w:pPr>
        <w:widowControl w:val="0"/>
        <w:autoSpaceDE w:val="0"/>
        <w:autoSpaceDN w:val="0"/>
        <w:adjustRightInd w:val="0"/>
        <w:spacing w:after="40" w:line="240" w:lineRule="auto"/>
        <w:rPr>
          <w:sz w:val="22"/>
          <w:szCs w:val="22"/>
          <w:lang w:val="en-GB"/>
        </w:rPr>
      </w:pPr>
      <w:r w:rsidRPr="006A1991">
        <w:rPr>
          <w:rStyle w:val="EndnoteReference"/>
          <w:sz w:val="22"/>
          <w:szCs w:val="22"/>
        </w:rPr>
        <w:endnoteRef/>
      </w:r>
      <w:r w:rsidRPr="006A1991">
        <w:rPr>
          <w:sz w:val="22"/>
          <w:szCs w:val="22"/>
          <w:lang w:val="en-GB"/>
        </w:rPr>
        <w:t xml:space="preserve"> Source: European Parliament, DG for external policies of the Union, </w:t>
      </w:r>
      <w:r w:rsidRPr="006A1991">
        <w:rPr>
          <w:i/>
          <w:sz w:val="22"/>
          <w:szCs w:val="22"/>
          <w:lang w:val="en-GB"/>
        </w:rPr>
        <w:t>The EU’s Black Sea Synergy: Results and possible ways forward, Briefing 2010</w:t>
      </w:r>
      <w:r w:rsidRPr="006A1991">
        <w:rPr>
          <w:sz w:val="22"/>
          <w:szCs w:val="22"/>
          <w:lang w:val="en-GB"/>
        </w:rPr>
        <w:t xml:space="preserve"> </w:t>
      </w:r>
    </w:p>
  </w:endnote>
  <w:endnote w:id="45">
    <w:p w14:paraId="5182D8D4" w14:textId="5A96490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Black Sea Trade and Development Bank, </w:t>
      </w:r>
      <w:r w:rsidRPr="006A1991">
        <w:rPr>
          <w:i/>
          <w:sz w:val="22"/>
          <w:szCs w:val="22"/>
          <w:lang w:val="en-GB"/>
        </w:rPr>
        <w:t xml:space="preserve">Black Sea Region: Sources of Sustainable Growth, Annual report </w:t>
      </w:r>
      <w:r w:rsidRPr="006A1991">
        <w:rPr>
          <w:sz w:val="22"/>
          <w:szCs w:val="22"/>
          <w:lang w:val="en-GB"/>
        </w:rPr>
        <w:t>2012</w:t>
      </w:r>
    </w:p>
  </w:endnote>
  <w:endnote w:id="46">
    <w:p w14:paraId="23C50B78" w14:textId="79D8900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47">
    <w:p w14:paraId="5955B4E3" w14:textId="40DF5EF5" w:rsidR="00674231" w:rsidRPr="006A1991" w:rsidRDefault="00674231" w:rsidP="00AA5ECC">
      <w:pPr>
        <w:pStyle w:val="Caption"/>
        <w:spacing w:after="40"/>
        <w:jc w:val="left"/>
        <w:rPr>
          <w:i w:val="0"/>
          <w:color w:val="auto"/>
          <w:sz w:val="22"/>
          <w:szCs w:val="22"/>
          <w:lang w:val="en-GB"/>
        </w:rPr>
      </w:pPr>
      <w:r w:rsidRPr="006A1991">
        <w:rPr>
          <w:rStyle w:val="EndnoteReference"/>
          <w:color w:val="auto"/>
          <w:sz w:val="22"/>
          <w:szCs w:val="22"/>
        </w:rPr>
        <w:endnoteRef/>
      </w:r>
      <w:r w:rsidRPr="006A1991">
        <w:rPr>
          <w:color w:val="auto"/>
          <w:sz w:val="22"/>
          <w:szCs w:val="22"/>
          <w:lang w:val="en-GB"/>
        </w:rPr>
        <w:t xml:space="preserve"> </w:t>
      </w:r>
      <w:r w:rsidRPr="006A1991">
        <w:rPr>
          <w:i w:val="0"/>
          <w:color w:val="auto"/>
          <w:sz w:val="22"/>
          <w:szCs w:val="22"/>
          <w:lang w:val="en-GB"/>
        </w:rPr>
        <w:t xml:space="preserve">Source: </w:t>
      </w:r>
      <w:r w:rsidRPr="006A1991">
        <w:rPr>
          <w:i w:val="0"/>
          <w:sz w:val="22"/>
          <w:szCs w:val="22"/>
          <w:lang w:val="en-GB"/>
        </w:rPr>
        <w:t xml:space="preserve">World Bank </w:t>
      </w:r>
      <w:proofErr w:type="spellStart"/>
      <w:r w:rsidRPr="006A1991">
        <w:rPr>
          <w:i w:val="0"/>
          <w:sz w:val="22"/>
          <w:szCs w:val="22"/>
          <w:lang w:val="en-GB"/>
        </w:rPr>
        <w:t>DataBank</w:t>
      </w:r>
      <w:proofErr w:type="spellEnd"/>
      <w:r w:rsidRPr="006A1991">
        <w:rPr>
          <w:i w:val="0"/>
          <w:sz w:val="22"/>
          <w:szCs w:val="22"/>
          <w:lang w:val="en-GB"/>
        </w:rPr>
        <w:t>, World Development Indicators (WDI) in http://data.worldbank.org/data-catalog/world-development-indicators</w:t>
      </w:r>
    </w:p>
  </w:endnote>
  <w:endnote w:id="48">
    <w:p w14:paraId="48094E71" w14:textId="02C80F92"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w:t>
      </w:r>
    </w:p>
  </w:endnote>
  <w:endnote w:id="49">
    <w:p w14:paraId="2813270F" w14:textId="4DF4EFAC"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in 2006 and 2013</w:t>
      </w:r>
    </w:p>
  </w:endnote>
  <w:endnote w:id="50">
    <w:p w14:paraId="01CE3468" w14:textId="1EC3250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Sources: World Tourism Organisation (UNWTO), </w:t>
      </w:r>
      <w:r w:rsidRPr="006A1991">
        <w:rPr>
          <w:i/>
          <w:sz w:val="22"/>
          <w:szCs w:val="22"/>
          <w:lang w:val="en-GB"/>
        </w:rPr>
        <w:t>Tourism highlights 2013</w:t>
      </w:r>
      <w:r w:rsidRPr="006A1991">
        <w:rPr>
          <w:sz w:val="22"/>
          <w:szCs w:val="22"/>
          <w:lang w:val="en-GB"/>
        </w:rPr>
        <w:t>;</w:t>
      </w:r>
      <w:r w:rsidRPr="006A1991">
        <w:rPr>
          <w:i/>
          <w:sz w:val="22"/>
          <w:szCs w:val="22"/>
          <w:lang w:val="en-GB"/>
        </w:rPr>
        <w:t xml:space="preserve"> </w:t>
      </w:r>
      <w:r w:rsidRPr="006A1991">
        <w:rPr>
          <w:sz w:val="22"/>
          <w:szCs w:val="22"/>
          <w:lang w:val="en-GB"/>
        </w:rPr>
        <w:t>Data provided by participating countries (gathered by Joint Programming Committee country representatives) in 2006 and 2013</w:t>
      </w:r>
    </w:p>
  </w:endnote>
  <w:endnote w:id="51">
    <w:p w14:paraId="78B38D6F" w14:textId="659133A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781503">
        <w:rPr>
          <w:sz w:val="22"/>
          <w:szCs w:val="22"/>
          <w:lang w:val="en-GB"/>
        </w:rPr>
        <w:t xml:space="preserve"> </w:t>
      </w:r>
      <w:r w:rsidRPr="006A1991">
        <w:rPr>
          <w:sz w:val="22"/>
          <w:szCs w:val="22"/>
          <w:lang w:val="en-GB"/>
        </w:rPr>
        <w:t>Source: Data provided by Ministry of Tourism of Bulgaria, 2015</w:t>
      </w:r>
    </w:p>
  </w:endnote>
  <w:endnote w:id="52">
    <w:p w14:paraId="5EBD37F8"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Tourism Organisation (UNWTO) – </w:t>
      </w:r>
      <w:r w:rsidRPr="006A1991">
        <w:rPr>
          <w:i/>
          <w:sz w:val="22"/>
          <w:szCs w:val="22"/>
          <w:lang w:val="en-GB"/>
        </w:rPr>
        <w:t>Tourism highlights 2013</w:t>
      </w:r>
      <w:r w:rsidRPr="006A1991">
        <w:rPr>
          <w:sz w:val="22"/>
          <w:szCs w:val="22"/>
          <w:lang w:val="en-GB"/>
        </w:rPr>
        <w:t xml:space="preserve"> </w:t>
      </w:r>
    </w:p>
  </w:endnote>
  <w:endnote w:id="53">
    <w:p w14:paraId="1C191C29" w14:textId="336CE37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w:t>
      </w:r>
    </w:p>
  </w:endnote>
  <w:endnote w:id="54">
    <w:p w14:paraId="0A5A0D11" w14:textId="6A8C0CC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w:t>
      </w:r>
    </w:p>
  </w:endnote>
  <w:endnote w:id="55">
    <w:p w14:paraId="3BB3F32F" w14:textId="1424BBFF" w:rsidR="00674231" w:rsidRPr="006A1991" w:rsidRDefault="00674231" w:rsidP="00AA5ECC">
      <w:pPr>
        <w:widowControl w:val="0"/>
        <w:autoSpaceDE w:val="0"/>
        <w:autoSpaceDN w:val="0"/>
        <w:adjustRightInd w:val="0"/>
        <w:spacing w:after="40" w:line="240" w:lineRule="auto"/>
        <w:rPr>
          <w:rFonts w:cs="Times New Roman"/>
          <w:i/>
          <w:sz w:val="22"/>
          <w:szCs w:val="22"/>
          <w:lang w:val="en-GB"/>
        </w:rPr>
      </w:pPr>
      <w:r w:rsidRPr="006A1991">
        <w:rPr>
          <w:rStyle w:val="EndnoteReference"/>
          <w:sz w:val="22"/>
          <w:szCs w:val="22"/>
        </w:rPr>
        <w:endnoteRef/>
      </w:r>
      <w:r w:rsidRPr="006A1991">
        <w:rPr>
          <w:sz w:val="22"/>
          <w:szCs w:val="22"/>
          <w:lang w:val="en-GB"/>
        </w:rPr>
        <w:t xml:space="preserve"> Source: FIBL-IFOAM, </w:t>
      </w:r>
      <w:r w:rsidRPr="006A1991">
        <w:rPr>
          <w:rFonts w:cs="Times New Roman"/>
          <w:i/>
          <w:sz w:val="22"/>
          <w:szCs w:val="22"/>
          <w:lang w:val="en-GB"/>
        </w:rPr>
        <w:t xml:space="preserve">Organic Agriculture Worldwide: Key results from the </w:t>
      </w:r>
      <w:proofErr w:type="spellStart"/>
      <w:r w:rsidRPr="006A1991">
        <w:rPr>
          <w:rFonts w:cs="Times New Roman"/>
          <w:i/>
          <w:sz w:val="22"/>
          <w:szCs w:val="22"/>
          <w:lang w:val="en-GB"/>
        </w:rPr>
        <w:t>FiBL</w:t>
      </w:r>
      <w:proofErr w:type="spellEnd"/>
      <w:r w:rsidRPr="006A1991">
        <w:rPr>
          <w:rFonts w:cs="Times New Roman"/>
          <w:i/>
          <w:sz w:val="22"/>
          <w:szCs w:val="22"/>
          <w:lang w:val="en-GB"/>
        </w:rPr>
        <w:t>-IFOAM survey on organic agriculture worldwide 2013</w:t>
      </w:r>
    </w:p>
  </w:endnote>
  <w:endnote w:id="56">
    <w:p w14:paraId="018519C9" w14:textId="3F7E497E" w:rsidR="00674231" w:rsidRPr="006A1991" w:rsidRDefault="00674231" w:rsidP="00AA5ECC">
      <w:pPr>
        <w:widowControl w:val="0"/>
        <w:autoSpaceDE w:val="0"/>
        <w:autoSpaceDN w:val="0"/>
        <w:adjustRightInd w:val="0"/>
        <w:spacing w:after="40" w:line="240" w:lineRule="auto"/>
        <w:rPr>
          <w:rFonts w:ascii="Times New Roman" w:hAnsi="Times New Roman" w:cs="Times New Roman"/>
          <w:sz w:val="22"/>
          <w:szCs w:val="22"/>
          <w:lang w:val="en-GB"/>
        </w:rPr>
      </w:pPr>
      <w:r w:rsidRPr="006A1991">
        <w:rPr>
          <w:rStyle w:val="EndnoteReference"/>
          <w:sz w:val="22"/>
          <w:szCs w:val="22"/>
        </w:rPr>
        <w:endnoteRef/>
      </w:r>
      <w:r w:rsidRPr="006A1991">
        <w:rPr>
          <w:sz w:val="22"/>
          <w:szCs w:val="22"/>
          <w:lang w:val="en-GB"/>
        </w:rPr>
        <w:t xml:space="preserve"> Source: </w:t>
      </w:r>
      <w:r w:rsidRPr="006A1991">
        <w:rPr>
          <w:rFonts w:cs="Times New Roman"/>
          <w:sz w:val="22"/>
          <w:szCs w:val="22"/>
          <w:lang w:val="en-GB"/>
        </w:rPr>
        <w:t xml:space="preserve">Report of the First meeting of the ad hoc Working Group on the Black Sea (held in Constanta, Romania, 16-18 January 2012) at the General Fisheries Commission for the </w:t>
      </w:r>
      <w:proofErr w:type="spellStart"/>
      <w:r w:rsidRPr="006A1991">
        <w:rPr>
          <w:rFonts w:cs="Times New Roman"/>
          <w:sz w:val="22"/>
          <w:szCs w:val="22"/>
          <w:lang w:val="en-GB"/>
        </w:rPr>
        <w:t>Mediteranean</w:t>
      </w:r>
      <w:proofErr w:type="spellEnd"/>
      <w:r w:rsidRPr="006A1991">
        <w:rPr>
          <w:rFonts w:cs="Times New Roman"/>
          <w:sz w:val="22"/>
          <w:szCs w:val="22"/>
          <w:lang w:val="en-GB"/>
        </w:rPr>
        <w:t xml:space="preserve"> Committee on Aquaculture (held in Paris, France, 13-15 March 2013)</w:t>
      </w:r>
    </w:p>
  </w:endnote>
  <w:endnote w:id="57">
    <w:p w14:paraId="6A3AE0F9" w14:textId="4B96D07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xml:space="preserve">, World Development Indicators (WDI) in http://data.worldbank.org/data-catalog/world-development-indicators </w:t>
      </w:r>
    </w:p>
  </w:endnote>
  <w:endnote w:id="58">
    <w:p w14:paraId="6FD5B00F" w14:textId="2188B5ED" w:rsidR="00674231" w:rsidRPr="006A1991" w:rsidRDefault="00674231" w:rsidP="00AA5ECC">
      <w:pPr>
        <w:spacing w:after="40"/>
        <w:rPr>
          <w:i/>
          <w:sz w:val="22"/>
          <w:szCs w:val="22"/>
          <w:lang w:val="en-GB"/>
        </w:rPr>
      </w:pPr>
      <w:r w:rsidRPr="006A1991">
        <w:rPr>
          <w:rStyle w:val="EndnoteReference"/>
          <w:sz w:val="22"/>
          <w:szCs w:val="22"/>
        </w:rPr>
        <w:endnoteRef/>
      </w:r>
      <w:r w:rsidRPr="006A1991">
        <w:rPr>
          <w:sz w:val="22"/>
          <w:szCs w:val="22"/>
          <w:lang w:val="en-GB"/>
        </w:rPr>
        <w:t xml:space="preserve"> Source: European Training Foundation (ETF), </w:t>
      </w:r>
      <w:r w:rsidRPr="006A1991">
        <w:rPr>
          <w:i/>
          <w:sz w:val="22"/>
          <w:szCs w:val="22"/>
          <w:lang w:val="en-GB"/>
        </w:rPr>
        <w:t>Labour Markets and Employability trends and challenges in Armenia, Azerbaijan, Belarus, Georgia, Republic of Moldova and Ukraine, 2011</w:t>
      </w:r>
    </w:p>
  </w:endnote>
  <w:endnote w:id="59">
    <w:p w14:paraId="73D02190" w14:textId="77777777" w:rsidR="00674231" w:rsidRPr="006A1991" w:rsidRDefault="00674231" w:rsidP="00AA5ECC">
      <w:pPr>
        <w:spacing w:after="40" w:line="240" w:lineRule="auto"/>
        <w:jc w:val="both"/>
        <w:rPr>
          <w:sz w:val="22"/>
          <w:szCs w:val="22"/>
          <w:lang w:val="en-GB"/>
        </w:rPr>
      </w:pPr>
      <w:r w:rsidRPr="006A1991">
        <w:rPr>
          <w:rStyle w:val="EndnoteReference"/>
          <w:sz w:val="22"/>
          <w:szCs w:val="22"/>
        </w:rPr>
        <w:endnoteRef/>
      </w:r>
      <w:r w:rsidRPr="006A1991">
        <w:rPr>
          <w:sz w:val="22"/>
          <w:szCs w:val="22"/>
          <w:lang w:val="en-GB"/>
        </w:rPr>
        <w:t xml:space="preserve"> Source: Bank for Reconstruction and Development (EBRD) and World Bank </w:t>
      </w:r>
      <w:r w:rsidRPr="006A1991">
        <w:rPr>
          <w:i/>
          <w:sz w:val="22"/>
          <w:szCs w:val="22"/>
          <w:lang w:val="en-GB"/>
        </w:rPr>
        <w:t>- 2009 Business Environment and Enterprise Performance Survey (BEEPS)</w:t>
      </w:r>
    </w:p>
  </w:endnote>
  <w:endnote w:id="60">
    <w:p w14:paraId="12A483BB"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Training Foundation (ETF) – </w:t>
      </w:r>
      <w:r w:rsidRPr="006A1991">
        <w:rPr>
          <w:i/>
          <w:sz w:val="22"/>
          <w:szCs w:val="22"/>
          <w:lang w:val="en-GB"/>
        </w:rPr>
        <w:t>Labour Markets and Employability trends and challenges in Armenia, Azerbaijan, Belarus, Georgia, Republic of Moldova and Ukraine, 2011</w:t>
      </w:r>
    </w:p>
  </w:endnote>
  <w:endnote w:id="61">
    <w:p w14:paraId="4C5E5E7F" w14:textId="62B84B3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62">
    <w:p w14:paraId="5B5C0580" w14:textId="2E68208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in 2006 (gathered by country representatives for the Black Sea Basin ENPI CBC Programme drafting)</w:t>
      </w:r>
    </w:p>
  </w:endnote>
  <w:endnote w:id="63">
    <w:p w14:paraId="744BF7C2" w14:textId="6C38147B" w:rsidR="00674231" w:rsidRPr="00781503" w:rsidRDefault="00674231" w:rsidP="00AA5ECC">
      <w:pPr>
        <w:pStyle w:val="EndnoteText"/>
        <w:spacing w:after="40"/>
        <w:rPr>
          <w:sz w:val="22"/>
          <w:szCs w:val="22"/>
          <w:lang w:val="fr-BE"/>
        </w:rPr>
      </w:pPr>
      <w:r w:rsidRPr="006A1991">
        <w:rPr>
          <w:rStyle w:val="EndnoteReference"/>
          <w:sz w:val="22"/>
          <w:szCs w:val="22"/>
        </w:rPr>
        <w:endnoteRef/>
      </w:r>
      <w:r w:rsidRPr="00781503">
        <w:rPr>
          <w:sz w:val="22"/>
          <w:szCs w:val="22"/>
          <w:lang w:val="fr-BE"/>
        </w:rPr>
        <w:t xml:space="preserve"> Source: Eurostat, http://ec.europa.eu/eurostat/home</w:t>
      </w:r>
    </w:p>
  </w:endnote>
  <w:endnote w:id="64">
    <w:p w14:paraId="216CBBC6" w14:textId="373B02E4"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65">
    <w:p w14:paraId="636C5CCA" w14:textId="1D29436D" w:rsidR="00674231" w:rsidRPr="006A1991" w:rsidRDefault="00674231" w:rsidP="00AA5ECC">
      <w:pPr>
        <w:spacing w:after="40" w:line="240" w:lineRule="auto"/>
        <w:rPr>
          <w:i/>
          <w:sz w:val="22"/>
          <w:szCs w:val="22"/>
          <w:lang w:val="en-GB"/>
        </w:rPr>
      </w:pPr>
      <w:r w:rsidRPr="006A1991">
        <w:rPr>
          <w:rStyle w:val="EndnoteReference"/>
          <w:sz w:val="22"/>
          <w:szCs w:val="22"/>
        </w:rPr>
        <w:endnoteRef/>
      </w:r>
      <w:r w:rsidRPr="006A1991">
        <w:rPr>
          <w:sz w:val="22"/>
          <w:szCs w:val="22"/>
          <w:lang w:val="en-GB"/>
        </w:rPr>
        <w:t xml:space="preserve"> Source: European Training Foundation (ETF), </w:t>
      </w:r>
      <w:r w:rsidRPr="006A1991">
        <w:rPr>
          <w:i/>
          <w:sz w:val="22"/>
          <w:szCs w:val="22"/>
          <w:lang w:val="en-GB"/>
        </w:rPr>
        <w:t>Labour Markets and Employability trends and challenges in Armenia, Azerbaijan, Belarus, Georgia, Republic of Moldova and Ukraine, 2011</w:t>
      </w:r>
    </w:p>
  </w:endnote>
  <w:endnote w:id="66">
    <w:p w14:paraId="4F30A49F" w14:textId="1E4CD96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Training Foundation (ETF)</w:t>
      </w:r>
      <w:r w:rsidRPr="006A1991">
        <w:rPr>
          <w:i/>
          <w:sz w:val="22"/>
          <w:szCs w:val="22"/>
          <w:lang w:val="en-GB"/>
        </w:rPr>
        <w:t>, Black Sea labour market reviews</w:t>
      </w:r>
    </w:p>
  </w:endnote>
  <w:endnote w:id="67">
    <w:p w14:paraId="18284F8A" w14:textId="7576C75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 in 2013 except for Russia, data from World Bank </w:t>
      </w:r>
      <w:proofErr w:type="spellStart"/>
      <w:r w:rsidRPr="006A1991">
        <w:rPr>
          <w:sz w:val="22"/>
          <w:szCs w:val="22"/>
          <w:lang w:val="en-GB"/>
        </w:rPr>
        <w:t>DataBank</w:t>
      </w:r>
      <w:proofErr w:type="spellEnd"/>
      <w:r w:rsidRPr="006A1991">
        <w:rPr>
          <w:sz w:val="22"/>
          <w:szCs w:val="22"/>
          <w:lang w:val="en-GB"/>
        </w:rPr>
        <w:t>, World Development Indicators, 2011 in http://data.worldbank.org/data-catalog/world-development-indicators</w:t>
      </w:r>
    </w:p>
  </w:endnote>
  <w:endnote w:id="68">
    <w:p w14:paraId="5D802A90" w14:textId="0ACCB1D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69">
    <w:p w14:paraId="18EDB074" w14:textId="365FB137" w:rsidR="00674231" w:rsidRPr="006A1991" w:rsidRDefault="00674231" w:rsidP="00AA5ECC">
      <w:pPr>
        <w:pStyle w:val="Caption"/>
        <w:spacing w:after="40"/>
        <w:jc w:val="left"/>
        <w:rPr>
          <w:i w:val="0"/>
          <w:color w:val="auto"/>
          <w:sz w:val="22"/>
          <w:szCs w:val="22"/>
          <w:lang w:val="en-GB"/>
        </w:rPr>
      </w:pPr>
      <w:r w:rsidRPr="006A1991">
        <w:rPr>
          <w:rStyle w:val="EndnoteReference"/>
          <w:color w:val="auto"/>
          <w:sz w:val="22"/>
          <w:szCs w:val="22"/>
        </w:rPr>
        <w:endnoteRef/>
      </w:r>
      <w:r w:rsidRPr="006A1991">
        <w:rPr>
          <w:color w:val="auto"/>
          <w:sz w:val="22"/>
          <w:szCs w:val="22"/>
          <w:lang w:val="en-GB"/>
        </w:rPr>
        <w:t xml:space="preserve"> </w:t>
      </w:r>
      <w:r w:rsidRPr="006A1991">
        <w:rPr>
          <w:i w:val="0"/>
          <w:color w:val="auto"/>
          <w:sz w:val="22"/>
          <w:szCs w:val="22"/>
          <w:lang w:val="en-GB"/>
        </w:rPr>
        <w:t xml:space="preserve">Source: </w:t>
      </w:r>
      <w:r w:rsidRPr="006A1991">
        <w:rPr>
          <w:i w:val="0"/>
          <w:sz w:val="22"/>
          <w:szCs w:val="22"/>
          <w:lang w:val="en-GB"/>
        </w:rPr>
        <w:t xml:space="preserve">World Bank </w:t>
      </w:r>
      <w:proofErr w:type="spellStart"/>
      <w:r w:rsidRPr="006A1991">
        <w:rPr>
          <w:i w:val="0"/>
          <w:sz w:val="22"/>
          <w:szCs w:val="22"/>
          <w:lang w:val="en-GB"/>
        </w:rPr>
        <w:t>DataBank</w:t>
      </w:r>
      <w:proofErr w:type="spellEnd"/>
      <w:r w:rsidRPr="006A1991">
        <w:rPr>
          <w:i w:val="0"/>
          <w:sz w:val="22"/>
          <w:szCs w:val="22"/>
          <w:lang w:val="en-GB"/>
        </w:rPr>
        <w:t>, World Development Indicators (WDI) in http://data.worldbank.org/data-catalog/world-development-indicators</w:t>
      </w:r>
    </w:p>
  </w:endnote>
  <w:endnote w:id="70">
    <w:p w14:paraId="71971952" w14:textId="688CA673"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71">
    <w:p w14:paraId="4CB34E0F" w14:textId="3765A52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Black Sea Commission – </w:t>
      </w:r>
      <w:r w:rsidRPr="006A1991">
        <w:rPr>
          <w:i/>
          <w:sz w:val="22"/>
          <w:szCs w:val="22"/>
          <w:lang w:val="en-GB"/>
        </w:rPr>
        <w:t xml:space="preserve">State of the </w:t>
      </w:r>
      <w:proofErr w:type="spellStart"/>
      <w:r w:rsidRPr="006A1991">
        <w:rPr>
          <w:i/>
          <w:sz w:val="22"/>
          <w:szCs w:val="22"/>
          <w:lang w:val="en-GB"/>
        </w:rPr>
        <w:t>Environnement</w:t>
      </w:r>
      <w:proofErr w:type="spellEnd"/>
      <w:r w:rsidRPr="006A1991">
        <w:rPr>
          <w:i/>
          <w:sz w:val="22"/>
          <w:szCs w:val="22"/>
          <w:lang w:val="en-GB"/>
        </w:rPr>
        <w:t xml:space="preserve"> Report 2001-2007; </w:t>
      </w:r>
      <w:r w:rsidRPr="006A1991">
        <w:rPr>
          <w:sz w:val="22"/>
          <w:szCs w:val="22"/>
          <w:lang w:val="en-GB"/>
        </w:rPr>
        <w:t xml:space="preserve">UNEP/GIWA </w:t>
      </w:r>
      <w:r w:rsidRPr="006A1991">
        <w:rPr>
          <w:i/>
          <w:sz w:val="22"/>
          <w:szCs w:val="22"/>
          <w:lang w:val="en-GB"/>
        </w:rPr>
        <w:t>Eutrophication in the Black Sea Region, Impact assessment and causal chain analysis, 2005</w:t>
      </w:r>
    </w:p>
  </w:endnote>
  <w:endnote w:id="72">
    <w:p w14:paraId="77270CE2" w14:textId="3269FB8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Black Sea Commission, </w:t>
      </w:r>
      <w:r w:rsidRPr="006A1991">
        <w:rPr>
          <w:i/>
          <w:sz w:val="22"/>
          <w:szCs w:val="22"/>
          <w:lang w:val="en-GB"/>
        </w:rPr>
        <w:t xml:space="preserve">State of the </w:t>
      </w:r>
      <w:proofErr w:type="spellStart"/>
      <w:r w:rsidRPr="006A1991">
        <w:rPr>
          <w:i/>
          <w:sz w:val="22"/>
          <w:szCs w:val="22"/>
          <w:lang w:val="en-GB"/>
        </w:rPr>
        <w:t>Environnement</w:t>
      </w:r>
      <w:proofErr w:type="spellEnd"/>
      <w:r w:rsidRPr="006A1991">
        <w:rPr>
          <w:i/>
          <w:sz w:val="22"/>
          <w:szCs w:val="22"/>
          <w:lang w:val="en-GB"/>
        </w:rPr>
        <w:t xml:space="preserve"> Report 2001-2007</w:t>
      </w:r>
    </w:p>
  </w:endnote>
  <w:endnote w:id="73">
    <w:p w14:paraId="302622A1" w14:textId="59CE4C94"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Black Sea Commission, </w:t>
      </w:r>
      <w:r w:rsidRPr="006A1991">
        <w:rPr>
          <w:i/>
          <w:sz w:val="22"/>
          <w:szCs w:val="22"/>
          <w:lang w:val="en-GB"/>
        </w:rPr>
        <w:t>State of the Environment Report 2001-2007.</w:t>
      </w:r>
    </w:p>
  </w:endnote>
  <w:endnote w:id="74">
    <w:p w14:paraId="420B3CF3" w14:textId="16610462"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Environment Agency, </w:t>
      </w:r>
      <w:r w:rsidRPr="006A1991">
        <w:rPr>
          <w:i/>
          <w:sz w:val="22"/>
          <w:szCs w:val="22"/>
          <w:lang w:val="en-GB"/>
        </w:rPr>
        <w:t>Europe’s biodiversity – biogeographical regions and seas, the Black Sea 2012</w:t>
      </w:r>
    </w:p>
  </w:endnote>
  <w:endnote w:id="75">
    <w:p w14:paraId="442E148A" w14:textId="5F0CBEB0" w:rsidR="00674231" w:rsidRPr="006A1991" w:rsidRDefault="00674231" w:rsidP="00AA5ECC">
      <w:pPr>
        <w:pStyle w:val="EndnoteText"/>
        <w:spacing w:after="40"/>
        <w:rPr>
          <w:i/>
          <w:sz w:val="22"/>
          <w:szCs w:val="22"/>
          <w:lang w:val="en-GB"/>
        </w:rPr>
      </w:pPr>
      <w:r w:rsidRPr="006A1991">
        <w:rPr>
          <w:rStyle w:val="EndnoteReference"/>
          <w:sz w:val="22"/>
          <w:szCs w:val="22"/>
        </w:rPr>
        <w:endnoteRef/>
      </w:r>
      <w:r w:rsidRPr="006A1991">
        <w:rPr>
          <w:sz w:val="22"/>
          <w:szCs w:val="22"/>
          <w:lang w:val="en-GB"/>
        </w:rPr>
        <w:t xml:space="preserve"> Source: European Environment Agency, </w:t>
      </w:r>
      <w:r w:rsidRPr="006A1991">
        <w:rPr>
          <w:i/>
          <w:sz w:val="22"/>
          <w:szCs w:val="22"/>
          <w:lang w:val="en-GB"/>
        </w:rPr>
        <w:t>Europe’s biodiversity – biogeographical regions and seas, the Black Sea 2012</w:t>
      </w:r>
    </w:p>
  </w:endnote>
  <w:endnote w:id="76">
    <w:p w14:paraId="36D6B8F1"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UNECE : United Nations Economic Commission for Europe</w:t>
      </w:r>
    </w:p>
  </w:endnote>
  <w:endnote w:id="77">
    <w:p w14:paraId="6681C1FA" w14:textId="63E1E436"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Environment Agency, </w:t>
      </w:r>
      <w:r w:rsidRPr="006A1991">
        <w:rPr>
          <w:i/>
          <w:sz w:val="22"/>
          <w:szCs w:val="22"/>
          <w:lang w:val="en-GB"/>
        </w:rPr>
        <w:t>Europe’s biodiversity – biogeographical regions and seas, the Black Sea 2012</w:t>
      </w:r>
    </w:p>
  </w:endnote>
  <w:endnote w:id="78">
    <w:p w14:paraId="1AFB7827" w14:textId="59A0BDB2"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79">
    <w:p w14:paraId="3C3D2BF6" w14:textId="7E90A65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80">
    <w:p w14:paraId="11CC5443" w14:textId="43BA4E2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United Nations Environmental Programme (UNEP)/Global International Waters Assessment (GIWA),</w:t>
      </w:r>
      <w:r w:rsidRPr="006A1991">
        <w:rPr>
          <w:rFonts w:cs="Arial"/>
          <w:sz w:val="22"/>
          <w:szCs w:val="22"/>
          <w:lang w:val="en-GB"/>
        </w:rPr>
        <w:t xml:space="preserve"> </w:t>
      </w:r>
      <w:r w:rsidRPr="006A1991">
        <w:rPr>
          <w:i/>
          <w:sz w:val="22"/>
          <w:szCs w:val="22"/>
          <w:lang w:val="en-GB"/>
        </w:rPr>
        <w:t>Eutrophication in the Black Sea Region, Impact assessment and causal chain analysis, 2005</w:t>
      </w:r>
    </w:p>
  </w:endnote>
  <w:endnote w:id="81">
    <w:p w14:paraId="66C94449" w14:textId="337CFE76"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United Nations Environmental Programme (UNEP)/Global International Waters Assessment (GIWA),</w:t>
      </w:r>
      <w:r w:rsidRPr="006A1991">
        <w:rPr>
          <w:rFonts w:cs="Arial"/>
          <w:sz w:val="22"/>
          <w:szCs w:val="22"/>
          <w:lang w:val="en-GB"/>
        </w:rPr>
        <w:t xml:space="preserve"> </w:t>
      </w:r>
      <w:r w:rsidRPr="006A1991">
        <w:rPr>
          <w:i/>
          <w:sz w:val="22"/>
          <w:szCs w:val="22"/>
          <w:lang w:val="en-GB"/>
        </w:rPr>
        <w:t>Eutrophication in the Black Sea Region, Impact assessment and causal chain analysis, 2005</w:t>
      </w:r>
    </w:p>
  </w:endnote>
  <w:endnote w:id="82">
    <w:p w14:paraId="524D9C54" w14:textId="339A4D1E"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United Nations Environmental Programme (UNEP)/Global International Waters Assessment (GIWA),</w:t>
      </w:r>
      <w:r w:rsidRPr="006A1991">
        <w:rPr>
          <w:rFonts w:cs="Arial"/>
          <w:sz w:val="22"/>
          <w:szCs w:val="22"/>
          <w:lang w:val="en-GB"/>
        </w:rPr>
        <w:t xml:space="preserve"> </w:t>
      </w:r>
      <w:r w:rsidRPr="006A1991">
        <w:rPr>
          <w:i/>
          <w:sz w:val="22"/>
          <w:szCs w:val="22"/>
          <w:lang w:val="en-GB"/>
        </w:rPr>
        <w:t>Eutrophication in the Black Sea Region, Impact assessment and causal chain analysis, 2005</w:t>
      </w:r>
    </w:p>
  </w:endnote>
  <w:endnote w:id="83">
    <w:p w14:paraId="06732D5E" w14:textId="2FA5D2F2"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84">
    <w:p w14:paraId="0BA02361" w14:textId="0010B252"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85">
    <w:p w14:paraId="1979E482" w14:textId="4648BC3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WWF, </w:t>
      </w:r>
      <w:r w:rsidRPr="006A1991">
        <w:rPr>
          <w:i/>
          <w:sz w:val="22"/>
          <w:szCs w:val="22"/>
          <w:lang w:val="en-GB"/>
        </w:rPr>
        <w:t>Greening the Black Sea Synergy, 2008</w:t>
      </w:r>
    </w:p>
  </w:endnote>
  <w:endnote w:id="86">
    <w:p w14:paraId="743FFF67"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SEAS-ERA, </w:t>
      </w:r>
      <w:r w:rsidRPr="006A1991">
        <w:rPr>
          <w:i/>
          <w:sz w:val="22"/>
          <w:szCs w:val="22"/>
          <w:lang w:val="en-GB"/>
        </w:rPr>
        <w:t>Black Sea Strategic Research Agenda, April 2012</w:t>
      </w:r>
    </w:p>
  </w:endnote>
  <w:endnote w:id="87">
    <w:p w14:paraId="56360AC0" w14:textId="47F48EE6"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88">
    <w:p w14:paraId="72475D29" w14:textId="4597F0E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89">
    <w:p w14:paraId="36CDDFF0" w14:textId="682EAB7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World Development Indicators (WDI) in http://data.worldbank.org/data-catalog/world-development-indicators</w:t>
      </w:r>
    </w:p>
  </w:endnote>
  <w:endnote w:id="90">
    <w:p w14:paraId="1314BF59"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Health Organisation (WHO) – </w:t>
      </w:r>
      <w:r w:rsidRPr="006A1991">
        <w:rPr>
          <w:i/>
          <w:sz w:val="22"/>
          <w:szCs w:val="22"/>
          <w:lang w:val="en-GB"/>
        </w:rPr>
        <w:t>European Health Report 2012</w:t>
      </w:r>
    </w:p>
  </w:endnote>
  <w:endnote w:id="91">
    <w:p w14:paraId="1DFD85E9"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Health Organisation (WHO) – </w:t>
      </w:r>
      <w:r w:rsidRPr="006A1991">
        <w:rPr>
          <w:i/>
          <w:sz w:val="22"/>
          <w:szCs w:val="22"/>
          <w:lang w:val="en-GB"/>
        </w:rPr>
        <w:t>European Health Report 2012</w:t>
      </w:r>
    </w:p>
  </w:endnote>
  <w:endnote w:id="92">
    <w:p w14:paraId="2207078D" w14:textId="6886734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Source: World Health Organisation (WHO) data repository, World Health Statistics in http://apps.who.int/gho/data/node.main.1?lang=en</w:t>
      </w:r>
    </w:p>
  </w:endnote>
  <w:endnote w:id="93">
    <w:p w14:paraId="02B95FC7" w14:textId="20DFE29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Health Nutrition and Population Statistics in http://databank.worldbank.org/data/views/variableSelection/selectvariables.aspx?source=health-nutrition-and-population-statistics</w:t>
      </w:r>
    </w:p>
  </w:endnote>
  <w:endnote w:id="94">
    <w:p w14:paraId="1C9C0793" w14:textId="3082F66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Health Organisation (WHO), </w:t>
      </w:r>
      <w:r w:rsidRPr="006A1991">
        <w:rPr>
          <w:i/>
          <w:sz w:val="22"/>
          <w:szCs w:val="22"/>
          <w:lang w:val="en-GB"/>
        </w:rPr>
        <w:t>European Health Report 2012</w:t>
      </w:r>
    </w:p>
  </w:endnote>
  <w:endnote w:id="95">
    <w:p w14:paraId="28DB4150" w14:textId="2A6E1E1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Health Organisation (WHO), </w:t>
      </w:r>
      <w:r w:rsidRPr="006A1991">
        <w:rPr>
          <w:i/>
          <w:sz w:val="22"/>
          <w:szCs w:val="22"/>
          <w:lang w:val="en-GB"/>
        </w:rPr>
        <w:t>European Health Report 2012</w:t>
      </w:r>
    </w:p>
  </w:endnote>
  <w:endnote w:id="96">
    <w:p w14:paraId="7E65594C" w14:textId="79B7D1E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Health Organisation (WHO) data repository, World Health Statistics in http://apps.who.int/gho/data/node.main.1?lang=en</w:t>
      </w:r>
    </w:p>
  </w:endnote>
  <w:endnote w:id="97">
    <w:p w14:paraId="111FC481" w14:textId="19DF9A7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Health Nutrition and Population Statistics in http://databank.worldbank.org/data/views/variableSelection/selectvariables.aspx?source=health-nutrition-and-population-statistics</w:t>
      </w:r>
    </w:p>
  </w:endnote>
  <w:endnote w:id="98">
    <w:p w14:paraId="0AC24123" w14:textId="639F17F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Health Nutrition and Population Statistics in http://databank.worldbank.org/data/views/variableSelection/selectvariables.aspx?source=health-nutrition-and-population-statistics</w:t>
      </w:r>
    </w:p>
  </w:endnote>
  <w:endnote w:id="99">
    <w:p w14:paraId="59499F00" w14:textId="4BB2DF3D"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Poverty and Inequality database, in http://databank.worldbank.org/data/views/variableSelection/selectvariables.aspx?source=poverty-and-inequality-database</w:t>
      </w:r>
    </w:p>
  </w:endnote>
  <w:endnote w:id="100">
    <w:p w14:paraId="7865A12F" w14:textId="4E7AE7E0" w:rsidR="00674231" w:rsidRPr="006A1991" w:rsidRDefault="00674231" w:rsidP="00AA5ECC">
      <w:pPr>
        <w:widowControl w:val="0"/>
        <w:autoSpaceDE w:val="0"/>
        <w:autoSpaceDN w:val="0"/>
        <w:adjustRightInd w:val="0"/>
        <w:spacing w:after="40" w:line="240" w:lineRule="auto"/>
        <w:rPr>
          <w:sz w:val="22"/>
          <w:szCs w:val="22"/>
          <w:lang w:val="en-GB"/>
        </w:rPr>
      </w:pPr>
      <w:r w:rsidRPr="006A1991">
        <w:rPr>
          <w:rStyle w:val="EndnoteReference"/>
          <w:sz w:val="22"/>
          <w:szCs w:val="22"/>
        </w:rPr>
        <w:endnoteRef/>
      </w:r>
      <w:r w:rsidRPr="006A1991">
        <w:rPr>
          <w:sz w:val="22"/>
          <w:szCs w:val="22"/>
          <w:lang w:val="en-GB"/>
        </w:rPr>
        <w:t xml:space="preserve"> Source: World Health Organisation (WHO), 2010 report,</w:t>
      </w:r>
      <w:r w:rsidRPr="006A1991">
        <w:rPr>
          <w:rFonts w:ascii="Times New Roman" w:hAnsi="Times New Roman" w:cs="Times New Roman"/>
          <w:color w:val="FFFFFF"/>
          <w:sz w:val="22"/>
          <w:szCs w:val="22"/>
          <w:lang w:val="en-GB"/>
        </w:rPr>
        <w:t xml:space="preserve"> </w:t>
      </w:r>
      <w:r w:rsidRPr="006A1991">
        <w:rPr>
          <w:i/>
          <w:sz w:val="22"/>
          <w:szCs w:val="22"/>
          <w:lang w:val="en-GB"/>
        </w:rPr>
        <w:t>Poverty and social exclusion in the WHO European Region: health systems respond</w:t>
      </w:r>
    </w:p>
  </w:endnote>
  <w:endnote w:id="101">
    <w:p w14:paraId="6DE56E46" w14:textId="1F1985D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Gender Statistics, in http://databank.worldbank.org/data/views/variableSelection/selectvariables.aspx?source=gender-statistics</w:t>
      </w:r>
    </w:p>
  </w:endnote>
  <w:endnote w:id="102">
    <w:p w14:paraId="15C46A58" w14:textId="2745E62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United Nations Development Programme (UNDP), Human Development Reports, data on Gender Inequality Index (GII), in http://hdr.undp.org/en/content/gender-inequality-index-gii</w:t>
      </w:r>
    </w:p>
  </w:endnote>
  <w:endnote w:id="103">
    <w:p w14:paraId="2B306FA3" w14:textId="172CE43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Organisation for Migration (IMO), </w:t>
      </w:r>
      <w:r w:rsidRPr="006A1991">
        <w:rPr>
          <w:i/>
          <w:sz w:val="22"/>
          <w:szCs w:val="22"/>
          <w:lang w:val="en-GB"/>
        </w:rPr>
        <w:t>Migration in the Black Sea Region, An overview 2008 </w:t>
      </w:r>
    </w:p>
  </w:endnote>
  <w:endnote w:id="104">
    <w:p w14:paraId="7C37867F" w14:textId="2A45C4D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Parliament, DG for external policies of the Union, </w:t>
      </w:r>
      <w:r w:rsidRPr="006A1991">
        <w:rPr>
          <w:i/>
          <w:sz w:val="22"/>
          <w:szCs w:val="22"/>
          <w:lang w:val="en-GB"/>
        </w:rPr>
        <w:t>The EU’s Black Sea Synergy: Results and possible ways forward, Briefing 2010</w:t>
      </w:r>
    </w:p>
  </w:endnote>
  <w:endnote w:id="105">
    <w:p w14:paraId="792F9E82" w14:textId="2BBC7F6F"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Parliament, DG for external policies of the </w:t>
      </w:r>
      <w:proofErr w:type="spellStart"/>
      <w:r w:rsidRPr="006A1991">
        <w:rPr>
          <w:sz w:val="22"/>
          <w:szCs w:val="22"/>
          <w:lang w:val="en-GB"/>
        </w:rPr>
        <w:t>Union,</w:t>
      </w:r>
      <w:r w:rsidRPr="006A1991">
        <w:rPr>
          <w:i/>
          <w:sz w:val="22"/>
          <w:szCs w:val="22"/>
          <w:lang w:val="en-GB"/>
        </w:rPr>
        <w:t>The</w:t>
      </w:r>
      <w:proofErr w:type="spellEnd"/>
      <w:r w:rsidRPr="006A1991">
        <w:rPr>
          <w:i/>
          <w:sz w:val="22"/>
          <w:szCs w:val="22"/>
          <w:lang w:val="en-GB"/>
        </w:rPr>
        <w:t xml:space="preserve"> EU’s Black Sea Synergy : Results and possible ways forward, Briefing 2010</w:t>
      </w:r>
    </w:p>
  </w:endnote>
  <w:endnote w:id="106">
    <w:p w14:paraId="32E0E27B" w14:textId="70C20C4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Commission, Maritime affairs, European Atlas of the Seas, http://ec.europa.eu/maritimeaffairs/atlas/index_en.htm</w:t>
      </w:r>
    </w:p>
  </w:endnote>
  <w:endnote w:id="107">
    <w:p w14:paraId="785D48E5"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International Energy Agency, </w:t>
      </w:r>
      <w:r w:rsidRPr="006A1991">
        <w:rPr>
          <w:i/>
          <w:sz w:val="22"/>
          <w:szCs w:val="22"/>
          <w:lang w:val="en-GB"/>
        </w:rPr>
        <w:t>Oil Supply Security 2007</w:t>
      </w:r>
    </w:p>
  </w:endnote>
  <w:endnote w:id="108">
    <w:p w14:paraId="2DC26C95" w14:textId="03E7C60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Commission, Maritime affairs, European Atlas of the Seas, http://ec.europa.eu/maritimeaffairs/atlas/index_en.htm</w:t>
      </w:r>
    </w:p>
  </w:endnote>
  <w:endnote w:id="109">
    <w:p w14:paraId="16CC5F7B" w14:textId="5AFF078C" w:rsidR="00674231" w:rsidRPr="006A1991" w:rsidRDefault="00674231" w:rsidP="00AA5ECC">
      <w:pPr>
        <w:spacing w:after="40"/>
        <w:ind w:left="357" w:hanging="357"/>
        <w:rPr>
          <w:b/>
          <w:sz w:val="22"/>
          <w:szCs w:val="22"/>
          <w:lang w:val="en-US"/>
        </w:rPr>
      </w:pPr>
      <w:r w:rsidRPr="006A1991">
        <w:rPr>
          <w:rStyle w:val="EndnoteReference"/>
          <w:sz w:val="22"/>
          <w:szCs w:val="22"/>
        </w:rPr>
        <w:endnoteRef/>
      </w:r>
      <w:r w:rsidRPr="006A1991">
        <w:rPr>
          <w:sz w:val="22"/>
          <w:szCs w:val="22"/>
          <w:lang w:val="en-GB"/>
        </w:rPr>
        <w:t xml:space="preserve"> Source: Organisation of the Black Sea Economic Cooperation (BSEC) report </w:t>
      </w:r>
      <w:r w:rsidRPr="006A1991">
        <w:rPr>
          <w:i/>
          <w:sz w:val="22"/>
          <w:szCs w:val="22"/>
          <w:lang w:val="en-GB"/>
        </w:rPr>
        <w:t>Development of the Sea Transport in the Black Sea Region: problems and prospects, 2009</w:t>
      </w:r>
    </w:p>
  </w:endnote>
  <w:endnote w:id="110">
    <w:p w14:paraId="3977B2DF" w14:textId="63972DEB"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Commission, Maritime affairs, European Atlas of the Seas, http://ec.europa.eu/maritimeaffairs/atlas/index_en.htm</w:t>
      </w:r>
    </w:p>
  </w:endnote>
  <w:endnote w:id="111">
    <w:p w14:paraId="4015EFE6" w14:textId="31EC1F76"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European Commission, DG TREN, High Level Group Motorways of the Sea axis</w:t>
      </w:r>
    </w:p>
  </w:endnote>
  <w:endnote w:id="112">
    <w:p w14:paraId="24A1310F"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Motorways of the Sea for the Black Sea and Caspian Sea project financed by EU’s TRACECA programme, </w:t>
      </w:r>
      <w:r w:rsidRPr="006A1991">
        <w:rPr>
          <w:i/>
          <w:sz w:val="22"/>
          <w:szCs w:val="22"/>
          <w:lang w:val="en-GB"/>
        </w:rPr>
        <w:t>Ports and Maritime Links, July 2010</w:t>
      </w:r>
      <w:r w:rsidRPr="006A1991">
        <w:rPr>
          <w:sz w:val="22"/>
          <w:szCs w:val="22"/>
          <w:lang w:val="en-GB"/>
        </w:rPr>
        <w:t xml:space="preserve"> </w:t>
      </w:r>
    </w:p>
  </w:endnote>
  <w:endnote w:id="113">
    <w:p w14:paraId="56E3D282" w14:textId="598CC101"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Organisation of the Black Sea Economic Cooperation (BSEC) report </w:t>
      </w:r>
      <w:r w:rsidRPr="006A1991">
        <w:rPr>
          <w:i/>
          <w:sz w:val="22"/>
          <w:szCs w:val="22"/>
          <w:lang w:val="en-GB"/>
        </w:rPr>
        <w:t>Development of the Sea Transport in the Black Sea Region: problems and prospects, 2009</w:t>
      </w:r>
    </w:p>
  </w:endnote>
  <w:endnote w:id="114">
    <w:p w14:paraId="7D0F98B1" w14:textId="74CBC3CA"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As emphasized in the 2011 Declaration of BSEC (Organisation of the Black Sea Economic Cooperation) Transport Ministers on Transport in the Black Sea region</w:t>
      </w:r>
    </w:p>
  </w:endnote>
  <w:endnote w:id="115">
    <w:p w14:paraId="5A61CBD7" w14:textId="6D72A80C"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TRACECA GIS Database and Maps Downloads http://www.traceca-org.org/en/routes/gis-database-maps-downloads/</w:t>
      </w:r>
    </w:p>
  </w:endnote>
  <w:endnote w:id="116">
    <w:p w14:paraId="74D5D596" w14:textId="3245811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117">
    <w:p w14:paraId="4A6FDD91" w14:textId="391AB6F4"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Sources: Data provided by participating countries (gathered by Joint Programming Committee country representatives) in 2006 and 2013; World Bank </w:t>
      </w:r>
      <w:proofErr w:type="spellStart"/>
      <w:r w:rsidRPr="006A1991">
        <w:rPr>
          <w:sz w:val="22"/>
          <w:szCs w:val="22"/>
          <w:lang w:val="en-GB"/>
        </w:rPr>
        <w:t>DataBank</w:t>
      </w:r>
      <w:proofErr w:type="spellEnd"/>
      <w:r w:rsidRPr="006A1991">
        <w:rPr>
          <w:sz w:val="22"/>
          <w:szCs w:val="22"/>
          <w:lang w:val="en-GB"/>
        </w:rPr>
        <w:t>, World Development Indicators (WDI) in http://data.worldbank.org/data-catalog/world-development-indicators</w:t>
      </w:r>
    </w:p>
  </w:endnote>
  <w:endnote w:id="118">
    <w:p w14:paraId="4093EA1A" w14:textId="78AE9009"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Data provided by participating countries (gathered by Joint Programming Committee country representatives)</w:t>
      </w:r>
    </w:p>
  </w:endnote>
  <w:endnote w:id="119">
    <w:p w14:paraId="0588CCE7" w14:textId="56B6E290"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UNESCO website, world heritage list in http://whc.unesco.org/en/list/ </w:t>
      </w:r>
    </w:p>
  </w:endnote>
  <w:endnote w:id="120">
    <w:p w14:paraId="6C296B25" w14:textId="77777777"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German Marshall Fund (GMF), </w:t>
      </w:r>
      <w:r w:rsidRPr="006A1991">
        <w:rPr>
          <w:i/>
          <w:sz w:val="22"/>
          <w:szCs w:val="22"/>
          <w:lang w:val="en-GB"/>
        </w:rPr>
        <w:t>Black Sea Trust for Regional Cooperation, On Wider Europe, March 2013</w:t>
      </w:r>
    </w:p>
  </w:endnote>
  <w:endnote w:id="121">
    <w:p w14:paraId="0C00513F" w14:textId="66CBFAA8"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Council of Europe website, Congress of local and regional authorities in </w:t>
      </w:r>
      <w:r w:rsidRPr="006A1991">
        <w:rPr>
          <w:iCs/>
          <w:sz w:val="22"/>
          <w:szCs w:val="22"/>
          <w:lang w:val="en-GB"/>
        </w:rPr>
        <w:t>www.coe.int/congress</w:t>
      </w:r>
    </w:p>
  </w:endnote>
  <w:endnote w:id="122">
    <w:p w14:paraId="03399975" w14:textId="446DDF69" w:rsidR="00674231" w:rsidRPr="006A1991" w:rsidRDefault="00674231" w:rsidP="00AA5ECC">
      <w:pPr>
        <w:pStyle w:val="EndnoteText"/>
        <w:spacing w:after="40"/>
        <w:rPr>
          <w:sz w:val="22"/>
          <w:szCs w:val="22"/>
          <w:lang w:val="en-GB"/>
        </w:rPr>
      </w:pPr>
      <w:r w:rsidRPr="006A1991">
        <w:rPr>
          <w:rStyle w:val="EndnoteReference"/>
          <w:sz w:val="22"/>
          <w:szCs w:val="22"/>
        </w:rPr>
        <w:endnoteRef/>
      </w:r>
      <w:r w:rsidRPr="006A1991">
        <w:rPr>
          <w:sz w:val="22"/>
          <w:szCs w:val="22"/>
          <w:lang w:val="en-GB"/>
        </w:rPr>
        <w:t xml:space="preserve"> Source: Assembly of European Regions website, http://www.aer.eu/en/</w:t>
      </w:r>
    </w:p>
  </w:endnote>
  <w:endnote w:id="123">
    <w:p w14:paraId="53C0E07D" w14:textId="77777777" w:rsidR="00674231" w:rsidRPr="006A1991" w:rsidRDefault="00674231" w:rsidP="00AA5ECC">
      <w:pPr>
        <w:pStyle w:val="Heading3"/>
        <w:spacing w:before="0" w:after="40"/>
        <w:rPr>
          <w:rFonts w:asciiTheme="minorHAnsi" w:eastAsiaTheme="minorEastAsia" w:hAnsiTheme="minorHAnsi" w:cstheme="minorBidi"/>
          <w:bCs w:val="0"/>
          <w:color w:val="auto"/>
          <w:sz w:val="22"/>
          <w:szCs w:val="22"/>
          <w:lang w:val="en-GB"/>
        </w:rPr>
      </w:pPr>
      <w:r w:rsidRPr="006A1991">
        <w:rPr>
          <w:rFonts w:asciiTheme="minorHAnsi" w:eastAsiaTheme="minorEastAsia" w:hAnsiTheme="minorHAnsi" w:cstheme="minorBidi"/>
          <w:bCs w:val="0"/>
          <w:color w:val="auto"/>
          <w:sz w:val="22"/>
          <w:szCs w:val="22"/>
          <w:vertAlign w:val="superscript"/>
        </w:rPr>
        <w:endnoteRef/>
      </w:r>
      <w:r w:rsidRPr="006A1991">
        <w:rPr>
          <w:rFonts w:asciiTheme="minorHAnsi" w:eastAsiaTheme="minorEastAsia" w:hAnsiTheme="minorHAnsi" w:cstheme="minorBidi"/>
          <w:bCs w:val="0"/>
          <w:color w:val="auto"/>
          <w:sz w:val="22"/>
          <w:szCs w:val="22"/>
          <w:vertAlign w:val="superscript"/>
          <w:lang w:val="en-GB"/>
        </w:rPr>
        <w:t xml:space="preserve"> </w:t>
      </w:r>
      <w:r w:rsidRPr="006A1991">
        <w:rPr>
          <w:rFonts w:asciiTheme="minorHAnsi" w:eastAsiaTheme="minorEastAsia" w:hAnsiTheme="minorHAnsi" w:cstheme="minorBidi"/>
          <w:bCs w:val="0"/>
          <w:color w:val="auto"/>
          <w:sz w:val="22"/>
          <w:szCs w:val="22"/>
          <w:lang w:val="en-GB"/>
        </w:rPr>
        <w:t>Source: European Parliament resolution of 20 January 2011 on an EU Strategy for the Black Sea</w:t>
      </w:r>
    </w:p>
    <w:p w14:paraId="29710417" w14:textId="77777777" w:rsidR="00674231" w:rsidRPr="006A1991" w:rsidRDefault="00674231" w:rsidP="00AA5ECC">
      <w:pPr>
        <w:pStyle w:val="EndnoteText"/>
        <w:spacing w:after="40"/>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horndale AMT">
    <w:altName w:val="Times New Roman"/>
    <w:charset w:val="00"/>
    <w:family w:val="roman"/>
    <w:pitch w:val="variable"/>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Utopia Std">
    <w:altName w:val="Cambria"/>
    <w:panose1 w:val="00000000000000000000"/>
    <w:charset w:val="4D"/>
    <w:family w:val="roman"/>
    <w:notTrueType/>
    <w:pitch w:val="default"/>
    <w:sig w:usb0="00000003" w:usb1="00000000" w:usb2="00000000" w:usb3="00000000" w:csb0="00000001" w:csb1="00000000"/>
  </w:font>
  <w:font w:name="Helvetica 65 Medium">
    <w:altName w:val="Cambria"/>
    <w:panose1 w:val="00000000000000000000"/>
    <w:charset w:val="4D"/>
    <w:family w:val="swiss"/>
    <w:notTrueType/>
    <w:pitch w:val="default"/>
    <w:sig w:usb0="00000003" w:usb1="00000000" w:usb2="00000000" w:usb3="00000000" w:csb0="00000001" w:csb1="00000000"/>
  </w:font>
  <w:font w:name="Swis721 Lt BT">
    <w:altName w:val="Trebuchet MS"/>
    <w:charset w:val="00"/>
    <w:family w:val="swiss"/>
    <w:pitch w:val="variable"/>
    <w:sig w:usb0="00000001" w:usb1="00000000" w:usb2="00000000" w:usb3="00000000" w:csb0="0000001B"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variable"/>
    <w:sig w:usb0="80000067"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àÔˇøﬁ‡Õ">
    <w:altName w:val="Cambria"/>
    <w:panose1 w:val="00000000000000000000"/>
    <w:charset w:val="4D"/>
    <w:family w:val="auto"/>
    <w:notTrueType/>
    <w:pitch w:val="default"/>
    <w:sig w:usb0="00000003" w:usb1="00000000" w:usb2="00000000" w:usb3="00000000" w:csb0="00000001" w:csb1="00000000"/>
  </w:font>
  <w:font w:name="Abadi MT Condensed Light">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8F2C0" w14:textId="77777777" w:rsidR="00674231" w:rsidRDefault="00674231" w:rsidP="00754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F5A5FC" w14:textId="77777777" w:rsidR="00674231" w:rsidRDefault="00674231" w:rsidP="003B36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211"/>
      <w:gridCol w:w="4365"/>
    </w:tblGrid>
    <w:tr w:rsidR="00674231" w14:paraId="568C7C0D" w14:textId="77777777" w:rsidTr="00F20665">
      <w:tc>
        <w:tcPr>
          <w:tcW w:w="5211" w:type="dxa"/>
        </w:tcPr>
        <w:sdt>
          <w:sdtPr>
            <w:alias w:val="Title"/>
            <w:tag w:val=""/>
            <w:id w:val="1756783467"/>
            <w:dataBinding w:prefixMappings="xmlns:ns0='http://purl.org/dc/elements/1.1/' xmlns:ns1='http://schemas.openxmlformats.org/package/2006/metadata/core-properties' " w:xpath="/ns1:coreProperties[1]/ns0:title[1]" w:storeItemID="{6C3C8BC8-F283-45AE-878A-BAB7291924A1}"/>
            <w:text w:multiLine="1"/>
          </w:sdtPr>
          <w:sdtEndPr/>
          <w:sdtContent>
            <w:p w14:paraId="64D48013" w14:textId="4D423259" w:rsidR="00674231" w:rsidRPr="004B58D3" w:rsidRDefault="00674231" w:rsidP="00C91ECF">
              <w:pPr>
                <w:pStyle w:val="Footer"/>
                <w:spacing w:line="240" w:lineRule="auto"/>
                <w:rPr>
                  <w:b/>
                  <w:color w:val="auto"/>
                  <w:sz w:val="24"/>
                  <w:lang w:val="en-GB"/>
                </w:rPr>
              </w:pPr>
              <w:r>
                <w:rPr>
                  <w:lang w:val="en-GB"/>
                </w:rPr>
                <w:t>Joint Operational Programme Black Sea Basin 2014-2020</w:t>
              </w:r>
            </w:p>
          </w:sdtContent>
        </w:sdt>
      </w:tc>
      <w:tc>
        <w:tcPr>
          <w:tcW w:w="4365" w:type="dxa"/>
        </w:tcPr>
        <w:p w14:paraId="4742538F" w14:textId="77777777" w:rsidR="00674231" w:rsidRDefault="00674231" w:rsidP="00A84CEA">
          <w:pPr>
            <w:pStyle w:val="Header-FooterRight"/>
            <w:spacing w:before="0" w:line="240" w:lineRule="auto"/>
          </w:pPr>
          <w:r>
            <w:fldChar w:fldCharType="begin"/>
          </w:r>
          <w:r>
            <w:instrText>PAGE</w:instrText>
          </w:r>
          <w:r>
            <w:fldChar w:fldCharType="separate"/>
          </w:r>
          <w:r w:rsidR="00912E29">
            <w:rPr>
              <w:noProof/>
            </w:rPr>
            <w:t>ii</w:t>
          </w:r>
          <w:r>
            <w:fldChar w:fldCharType="end"/>
          </w:r>
        </w:p>
      </w:tc>
    </w:tr>
  </w:tbl>
  <w:p w14:paraId="667FD629" w14:textId="0905F66A" w:rsidR="00674231" w:rsidRPr="00DB5A09" w:rsidRDefault="00674231" w:rsidP="00A84CEA">
    <w:pPr>
      <w:pStyle w:val="NoSpacing"/>
      <w:rPr>
        <w:color w:val="595959" w:themeColor="text1" w:themeTint="A6"/>
        <w:sz w:val="20"/>
        <w:szCs w:val="20"/>
      </w:rPr>
    </w:pPr>
    <w:r w:rsidRPr="00DB5A09">
      <w:rPr>
        <w:color w:val="595959" w:themeColor="text1" w:themeTint="A6"/>
        <w:sz w:val="20"/>
        <w:szCs w:val="20"/>
      </w:rPr>
      <w:t xml:space="preserve">Final </w:t>
    </w:r>
    <w:proofErr w:type="spellStart"/>
    <w:r w:rsidRPr="00DB5A09">
      <w:rPr>
        <w:color w:val="595959" w:themeColor="text1" w:themeTint="A6"/>
        <w:sz w:val="20"/>
        <w:szCs w:val="20"/>
      </w:rPr>
      <w:t>draft</w:t>
    </w:r>
    <w:proofErr w:type="spellEnd"/>
    <w:r w:rsidRPr="00DB5A09">
      <w:rPr>
        <w:color w:val="595959" w:themeColor="text1" w:themeTint="A6"/>
        <w:sz w:val="20"/>
        <w:szCs w:val="20"/>
      </w:rPr>
      <w:t xml:space="preserve"> 30 </w:t>
    </w:r>
    <w:proofErr w:type="spellStart"/>
    <w:r w:rsidRPr="00DB5A09">
      <w:rPr>
        <w:color w:val="595959" w:themeColor="text1" w:themeTint="A6"/>
        <w:sz w:val="20"/>
        <w:szCs w:val="20"/>
      </w:rPr>
      <w:t>June</w:t>
    </w:r>
    <w:proofErr w:type="spellEnd"/>
    <w:r w:rsidRPr="00DB5A09">
      <w:rPr>
        <w:color w:val="595959" w:themeColor="text1" w:themeTint="A6"/>
        <w:sz w:val="20"/>
        <w:szCs w:val="20"/>
      </w:rPr>
      <w:t xml:space="preserve"> 2015 </w:t>
    </w:r>
    <w:proofErr w:type="spellStart"/>
    <w:r w:rsidRPr="00DB5A09">
      <w:rPr>
        <w:color w:val="595959" w:themeColor="text1" w:themeTint="A6"/>
        <w:sz w:val="20"/>
        <w:szCs w:val="20"/>
      </w:rPr>
      <w:t>revised</w:t>
    </w:r>
    <w:proofErr w:type="spellEnd"/>
    <w:r w:rsidRPr="00DB5A09">
      <w:rPr>
        <w:color w:val="595959" w:themeColor="text1" w:themeTint="A6"/>
        <w:sz w:val="20"/>
        <w:szCs w:val="20"/>
      </w:rPr>
      <w:t xml:space="preserve"> </w:t>
    </w:r>
    <w:proofErr w:type="spellStart"/>
    <w:r w:rsidR="00005F78">
      <w:rPr>
        <w:color w:val="595959" w:themeColor="text1" w:themeTint="A6"/>
        <w:sz w:val="20"/>
        <w:szCs w:val="20"/>
      </w:rPr>
      <w:t>November</w:t>
    </w:r>
    <w:proofErr w:type="spellEnd"/>
    <w:r w:rsidR="00005F78">
      <w:rPr>
        <w:color w:val="595959" w:themeColor="text1" w:themeTint="A6"/>
        <w:sz w:val="20"/>
        <w:szCs w:val="20"/>
      </w:rPr>
      <w:t xml:space="preserve"> 2015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8D54F" w14:textId="77777777" w:rsidR="00674231" w:rsidRDefault="00674231" w:rsidP="00754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2E29">
      <w:rPr>
        <w:rStyle w:val="PageNumber"/>
        <w:noProof/>
      </w:rPr>
      <w:t>71</w:t>
    </w:r>
    <w:r>
      <w:rPr>
        <w:rStyle w:val="PageNumber"/>
      </w:rPr>
      <w:fldChar w:fldCharType="end"/>
    </w:r>
  </w:p>
  <w:tbl>
    <w:tblPr>
      <w:tblW w:w="0" w:type="auto"/>
      <w:tblLook w:val="04A0" w:firstRow="1" w:lastRow="0" w:firstColumn="1" w:lastColumn="0" w:noHBand="0" w:noVBand="1"/>
    </w:tblPr>
    <w:tblGrid>
      <w:gridCol w:w="5637"/>
      <w:gridCol w:w="3939"/>
    </w:tblGrid>
    <w:tr w:rsidR="00674231" w:rsidRPr="00B71347" w14:paraId="719EBD74" w14:textId="77777777" w:rsidTr="00F20665">
      <w:tc>
        <w:tcPr>
          <w:tcW w:w="5637" w:type="dxa"/>
        </w:tcPr>
        <w:sdt>
          <w:sdtPr>
            <w:alias w:val="Title"/>
            <w:tag w:val=""/>
            <w:id w:val="-1649744040"/>
            <w:dataBinding w:prefixMappings="xmlns:ns0='http://purl.org/dc/elements/1.1/' xmlns:ns1='http://schemas.openxmlformats.org/package/2006/metadata/core-properties' " w:xpath="/ns1:coreProperties[1]/ns0:title[1]" w:storeItemID="{6C3C8BC8-F283-45AE-878A-BAB7291924A1}"/>
            <w:text w:multiLine="1"/>
          </w:sdtPr>
          <w:sdtEndPr/>
          <w:sdtContent>
            <w:p w14:paraId="6E7C295D" w14:textId="301AF34F" w:rsidR="00674231" w:rsidRPr="004B58D3" w:rsidRDefault="00674231" w:rsidP="003B368B">
              <w:pPr>
                <w:pStyle w:val="Footer"/>
                <w:ind w:right="360"/>
                <w:rPr>
                  <w:b/>
                  <w:color w:val="auto"/>
                  <w:sz w:val="24"/>
                  <w:lang w:val="en-GB"/>
                </w:rPr>
              </w:pPr>
              <w:r>
                <w:rPr>
                  <w:lang w:val="en-GB"/>
                </w:rPr>
                <w:t>Joint Operational Programme Black Sea Basin 2014-2020</w:t>
              </w:r>
            </w:p>
          </w:sdtContent>
        </w:sdt>
      </w:tc>
      <w:tc>
        <w:tcPr>
          <w:tcW w:w="3939" w:type="dxa"/>
        </w:tcPr>
        <w:p w14:paraId="2C4BC3AE" w14:textId="77777777" w:rsidR="00674231" w:rsidRPr="002002EA" w:rsidRDefault="00674231" w:rsidP="00AB0047">
          <w:pPr>
            <w:pStyle w:val="Header-FooterRight"/>
            <w:rPr>
              <w:lang w:val="en-GB"/>
            </w:rPr>
          </w:pPr>
        </w:p>
      </w:tc>
    </w:tr>
  </w:tbl>
  <w:p w14:paraId="71D703C6" w14:textId="17B7C575" w:rsidR="00674231" w:rsidRPr="00DB5A09" w:rsidRDefault="00674231" w:rsidP="00DB5A09">
    <w:pPr>
      <w:pStyle w:val="NoSpacing"/>
      <w:rPr>
        <w:color w:val="595959" w:themeColor="text1" w:themeTint="A6"/>
        <w:sz w:val="20"/>
        <w:szCs w:val="20"/>
      </w:rPr>
    </w:pPr>
    <w:r w:rsidRPr="00DB5A09">
      <w:rPr>
        <w:color w:val="595959" w:themeColor="text1" w:themeTint="A6"/>
        <w:sz w:val="20"/>
        <w:szCs w:val="20"/>
      </w:rPr>
      <w:t xml:space="preserve">Final </w:t>
    </w:r>
    <w:proofErr w:type="spellStart"/>
    <w:r w:rsidRPr="00DB5A09">
      <w:rPr>
        <w:color w:val="595959" w:themeColor="text1" w:themeTint="A6"/>
        <w:sz w:val="20"/>
        <w:szCs w:val="20"/>
      </w:rPr>
      <w:t>draft</w:t>
    </w:r>
    <w:proofErr w:type="spellEnd"/>
    <w:r w:rsidRPr="00DB5A09">
      <w:rPr>
        <w:color w:val="595959" w:themeColor="text1" w:themeTint="A6"/>
        <w:sz w:val="20"/>
        <w:szCs w:val="20"/>
      </w:rPr>
      <w:t xml:space="preserve"> 30 </w:t>
    </w:r>
    <w:proofErr w:type="spellStart"/>
    <w:r w:rsidRPr="00DB5A09">
      <w:rPr>
        <w:color w:val="595959" w:themeColor="text1" w:themeTint="A6"/>
        <w:sz w:val="20"/>
        <w:szCs w:val="20"/>
      </w:rPr>
      <w:t>June</w:t>
    </w:r>
    <w:proofErr w:type="spellEnd"/>
    <w:r w:rsidRPr="00DB5A09">
      <w:rPr>
        <w:color w:val="595959" w:themeColor="text1" w:themeTint="A6"/>
        <w:sz w:val="20"/>
        <w:szCs w:val="20"/>
      </w:rPr>
      <w:t xml:space="preserve"> 2015 </w:t>
    </w:r>
    <w:proofErr w:type="spellStart"/>
    <w:r w:rsidRPr="00DB5A09">
      <w:rPr>
        <w:color w:val="595959" w:themeColor="text1" w:themeTint="A6"/>
        <w:sz w:val="20"/>
        <w:szCs w:val="20"/>
      </w:rPr>
      <w:t>revised</w:t>
    </w:r>
    <w:proofErr w:type="spellEnd"/>
    <w:r w:rsidRPr="00DB5A09">
      <w:rPr>
        <w:color w:val="595959" w:themeColor="text1" w:themeTint="A6"/>
        <w:sz w:val="20"/>
        <w:szCs w:val="20"/>
      </w:rPr>
      <w:t xml:space="preserve"> </w:t>
    </w:r>
    <w:proofErr w:type="spellStart"/>
    <w:r w:rsidR="00541DCD">
      <w:rPr>
        <w:color w:val="595959" w:themeColor="text1" w:themeTint="A6"/>
        <w:sz w:val="20"/>
        <w:szCs w:val="20"/>
      </w:rPr>
      <w:t>November</w:t>
    </w:r>
    <w:proofErr w:type="spellEnd"/>
    <w:r w:rsidR="00541DCD">
      <w:rPr>
        <w:color w:val="595959" w:themeColor="text1" w:themeTint="A6"/>
        <w:sz w:val="20"/>
        <w:szCs w:val="20"/>
      </w:rPr>
      <w:t xml:space="preserve"> 2015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062"/>
      <w:gridCol w:w="4451"/>
    </w:tblGrid>
    <w:tr w:rsidR="00674231" w14:paraId="7274CD9B" w14:textId="77777777" w:rsidTr="00D65AA2">
      <w:tc>
        <w:tcPr>
          <w:tcW w:w="6062" w:type="dxa"/>
        </w:tcPr>
        <w:sdt>
          <w:sdtPr>
            <w:alias w:val="Title"/>
            <w:tag w:val=""/>
            <w:id w:val="-2034179560"/>
            <w:dataBinding w:prefixMappings="xmlns:ns0='http://purl.org/dc/elements/1.1/' xmlns:ns1='http://schemas.openxmlformats.org/package/2006/metadata/core-properties' " w:xpath="/ns1:coreProperties[1]/ns0:title[1]" w:storeItemID="{6C3C8BC8-F283-45AE-878A-BAB7291924A1}"/>
            <w:text w:multiLine="1"/>
          </w:sdtPr>
          <w:sdtEndPr/>
          <w:sdtContent>
            <w:p w14:paraId="3BCBAEDD" w14:textId="11C11DBA" w:rsidR="00674231" w:rsidRPr="004B58D3" w:rsidRDefault="00674231" w:rsidP="00AB0047">
              <w:pPr>
                <w:pStyle w:val="Footer"/>
                <w:rPr>
                  <w:b/>
                  <w:color w:val="auto"/>
                  <w:sz w:val="24"/>
                  <w:lang w:val="en-GB"/>
                </w:rPr>
              </w:pPr>
              <w:r>
                <w:rPr>
                  <w:lang w:val="en-GB"/>
                </w:rPr>
                <w:t>Joint Operational Programme Black Sea Basin 2014-2020</w:t>
              </w:r>
            </w:p>
          </w:sdtContent>
        </w:sdt>
      </w:tc>
      <w:tc>
        <w:tcPr>
          <w:tcW w:w="4451" w:type="dxa"/>
        </w:tcPr>
        <w:p w14:paraId="1000316D" w14:textId="77777777" w:rsidR="00674231" w:rsidRDefault="00674231" w:rsidP="00AB0047">
          <w:pPr>
            <w:pStyle w:val="Header-FooterRight"/>
          </w:pPr>
          <w:r w:rsidRPr="00F04553">
            <w:rPr>
              <w:lang w:val="en-GB"/>
            </w:rPr>
            <w:t xml:space="preserve">   </w:t>
          </w:r>
          <w:r>
            <w:fldChar w:fldCharType="begin"/>
          </w:r>
          <w:r>
            <w:instrText>PAGE</w:instrText>
          </w:r>
          <w:r>
            <w:fldChar w:fldCharType="separate"/>
          </w:r>
          <w:r w:rsidR="00912E29">
            <w:rPr>
              <w:noProof/>
            </w:rPr>
            <w:t>69</w:t>
          </w:r>
          <w:r>
            <w:fldChar w:fldCharType="end"/>
          </w:r>
        </w:p>
      </w:tc>
    </w:tr>
  </w:tbl>
  <w:p w14:paraId="06009731" w14:textId="20CACD86" w:rsidR="00674231" w:rsidRPr="00DB5A09" w:rsidRDefault="00674231" w:rsidP="00DB5A09">
    <w:pPr>
      <w:pStyle w:val="NoSpacing"/>
      <w:rPr>
        <w:color w:val="595959" w:themeColor="text1" w:themeTint="A6"/>
        <w:sz w:val="20"/>
        <w:szCs w:val="20"/>
      </w:rPr>
    </w:pPr>
    <w:r w:rsidRPr="00DB5A09">
      <w:rPr>
        <w:color w:val="595959" w:themeColor="text1" w:themeTint="A6"/>
        <w:sz w:val="20"/>
        <w:szCs w:val="20"/>
      </w:rPr>
      <w:t xml:space="preserve">Final </w:t>
    </w:r>
    <w:proofErr w:type="spellStart"/>
    <w:r w:rsidRPr="00DB5A09">
      <w:rPr>
        <w:color w:val="595959" w:themeColor="text1" w:themeTint="A6"/>
        <w:sz w:val="20"/>
        <w:szCs w:val="20"/>
      </w:rPr>
      <w:t>draft</w:t>
    </w:r>
    <w:proofErr w:type="spellEnd"/>
    <w:r w:rsidRPr="00DB5A09">
      <w:rPr>
        <w:color w:val="595959" w:themeColor="text1" w:themeTint="A6"/>
        <w:sz w:val="20"/>
        <w:szCs w:val="20"/>
      </w:rPr>
      <w:t xml:space="preserve"> 30 </w:t>
    </w:r>
    <w:proofErr w:type="spellStart"/>
    <w:r w:rsidRPr="00DB5A09">
      <w:rPr>
        <w:color w:val="595959" w:themeColor="text1" w:themeTint="A6"/>
        <w:sz w:val="20"/>
        <w:szCs w:val="20"/>
      </w:rPr>
      <w:t>June</w:t>
    </w:r>
    <w:proofErr w:type="spellEnd"/>
    <w:r w:rsidRPr="00DB5A09">
      <w:rPr>
        <w:color w:val="595959" w:themeColor="text1" w:themeTint="A6"/>
        <w:sz w:val="20"/>
        <w:szCs w:val="20"/>
      </w:rPr>
      <w:t xml:space="preserve"> 2015 </w:t>
    </w:r>
    <w:proofErr w:type="spellStart"/>
    <w:r w:rsidRPr="00DB5A09">
      <w:rPr>
        <w:color w:val="595959" w:themeColor="text1" w:themeTint="A6"/>
        <w:sz w:val="20"/>
        <w:szCs w:val="20"/>
      </w:rPr>
      <w:t>revised</w:t>
    </w:r>
    <w:proofErr w:type="spellEnd"/>
    <w:r w:rsidRPr="00DB5A09">
      <w:rPr>
        <w:color w:val="595959" w:themeColor="text1" w:themeTint="A6"/>
        <w:sz w:val="20"/>
        <w:szCs w:val="20"/>
      </w:rPr>
      <w:t xml:space="preserve"> </w:t>
    </w:r>
    <w:proofErr w:type="spellStart"/>
    <w:r w:rsidR="00541DCD">
      <w:rPr>
        <w:color w:val="595959" w:themeColor="text1" w:themeTint="A6"/>
        <w:sz w:val="20"/>
        <w:szCs w:val="20"/>
      </w:rPr>
      <w:t>November</w:t>
    </w:r>
    <w:proofErr w:type="spellEnd"/>
    <w:r w:rsidR="00541DCD">
      <w:rPr>
        <w:color w:val="595959" w:themeColor="text1" w:themeTint="A6"/>
        <w:sz w:val="20"/>
        <w:szCs w:val="20"/>
      </w:rPr>
      <w:t xml:space="preserve"> 2015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EE060" w14:textId="77777777" w:rsidR="00674231" w:rsidRDefault="00674231" w:rsidP="00754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2E29">
      <w:rPr>
        <w:rStyle w:val="PageNumber"/>
        <w:noProof/>
      </w:rPr>
      <w:t>121</w:t>
    </w:r>
    <w:r>
      <w:rPr>
        <w:rStyle w:val="PageNumber"/>
      </w:rPr>
      <w:fldChar w:fldCharType="end"/>
    </w:r>
  </w:p>
  <w:tbl>
    <w:tblPr>
      <w:tblW w:w="0" w:type="auto"/>
      <w:tblLook w:val="04A0" w:firstRow="1" w:lastRow="0" w:firstColumn="1" w:lastColumn="0" w:noHBand="0" w:noVBand="1"/>
    </w:tblPr>
    <w:tblGrid>
      <w:gridCol w:w="5920"/>
      <w:gridCol w:w="3656"/>
    </w:tblGrid>
    <w:tr w:rsidR="00674231" w:rsidRPr="00B71347" w14:paraId="71D3D660" w14:textId="77777777" w:rsidTr="008B6C3A">
      <w:tc>
        <w:tcPr>
          <w:tcW w:w="5920" w:type="dxa"/>
        </w:tcPr>
        <w:sdt>
          <w:sdtPr>
            <w:alias w:val="Title"/>
            <w:tag w:val=""/>
            <w:id w:val="688254954"/>
            <w:dataBinding w:prefixMappings="xmlns:ns0='http://purl.org/dc/elements/1.1/' xmlns:ns1='http://schemas.openxmlformats.org/package/2006/metadata/core-properties' " w:xpath="/ns1:coreProperties[1]/ns0:title[1]" w:storeItemID="{6C3C8BC8-F283-45AE-878A-BAB7291924A1}"/>
            <w:text w:multiLine="1"/>
          </w:sdtPr>
          <w:sdtEndPr/>
          <w:sdtContent>
            <w:p w14:paraId="55826604" w14:textId="249B4A8D" w:rsidR="00674231" w:rsidRPr="004B58D3" w:rsidRDefault="00674231" w:rsidP="003B368B">
              <w:pPr>
                <w:pStyle w:val="Footer"/>
                <w:ind w:right="360"/>
                <w:rPr>
                  <w:b/>
                  <w:color w:val="auto"/>
                  <w:sz w:val="24"/>
                  <w:lang w:val="en-GB"/>
                </w:rPr>
              </w:pPr>
              <w:r>
                <w:rPr>
                  <w:lang w:val="en-GB"/>
                </w:rPr>
                <w:t>Joint Operational Programme Black Sea Basin 2014-2020</w:t>
              </w:r>
            </w:p>
          </w:sdtContent>
        </w:sdt>
      </w:tc>
      <w:tc>
        <w:tcPr>
          <w:tcW w:w="3656" w:type="dxa"/>
        </w:tcPr>
        <w:p w14:paraId="06908891" w14:textId="77777777" w:rsidR="00674231" w:rsidRPr="002002EA" w:rsidRDefault="00674231" w:rsidP="00AB0047">
          <w:pPr>
            <w:pStyle w:val="Header-FooterRight"/>
            <w:rPr>
              <w:lang w:val="en-GB"/>
            </w:rPr>
          </w:pPr>
        </w:p>
      </w:tc>
    </w:tr>
  </w:tbl>
  <w:p w14:paraId="1F745AFF" w14:textId="35F7CB76" w:rsidR="00674231" w:rsidRPr="002A4965" w:rsidRDefault="00674231" w:rsidP="00064989">
    <w:pPr>
      <w:pStyle w:val="NoSpacing"/>
      <w:rPr>
        <w:color w:val="595959" w:themeColor="text1" w:themeTint="A6"/>
        <w:sz w:val="20"/>
        <w:szCs w:val="20"/>
      </w:rPr>
    </w:pPr>
    <w:r w:rsidRPr="002A4965">
      <w:rPr>
        <w:color w:val="595959" w:themeColor="text1" w:themeTint="A6"/>
        <w:sz w:val="20"/>
        <w:szCs w:val="20"/>
      </w:rPr>
      <w:t xml:space="preserve">Final </w:t>
    </w:r>
    <w:proofErr w:type="spellStart"/>
    <w:r w:rsidRPr="002A4965">
      <w:rPr>
        <w:color w:val="595959" w:themeColor="text1" w:themeTint="A6"/>
        <w:sz w:val="20"/>
        <w:szCs w:val="20"/>
      </w:rPr>
      <w:t>draft</w:t>
    </w:r>
    <w:proofErr w:type="spellEnd"/>
    <w:r w:rsidRPr="002A4965">
      <w:rPr>
        <w:color w:val="595959" w:themeColor="text1" w:themeTint="A6"/>
        <w:sz w:val="20"/>
        <w:szCs w:val="20"/>
      </w:rPr>
      <w:t xml:space="preserve"> 30 </w:t>
    </w:r>
    <w:proofErr w:type="spellStart"/>
    <w:r w:rsidRPr="002A4965">
      <w:rPr>
        <w:color w:val="595959" w:themeColor="text1" w:themeTint="A6"/>
        <w:sz w:val="20"/>
        <w:szCs w:val="20"/>
      </w:rPr>
      <w:t>June</w:t>
    </w:r>
    <w:proofErr w:type="spellEnd"/>
    <w:r w:rsidRPr="002A4965">
      <w:rPr>
        <w:color w:val="595959" w:themeColor="text1" w:themeTint="A6"/>
        <w:sz w:val="20"/>
        <w:szCs w:val="20"/>
      </w:rPr>
      <w:t xml:space="preserve"> 2015 </w:t>
    </w:r>
    <w:proofErr w:type="spellStart"/>
    <w:r w:rsidRPr="002A4965">
      <w:rPr>
        <w:color w:val="595959" w:themeColor="text1" w:themeTint="A6"/>
        <w:sz w:val="20"/>
        <w:szCs w:val="20"/>
      </w:rPr>
      <w:t>revised</w:t>
    </w:r>
    <w:proofErr w:type="spellEnd"/>
    <w:r w:rsidRPr="002A4965">
      <w:rPr>
        <w:color w:val="595959" w:themeColor="text1" w:themeTint="A6"/>
        <w:sz w:val="20"/>
        <w:szCs w:val="20"/>
      </w:rPr>
      <w:t xml:space="preserve"> </w:t>
    </w:r>
    <w:proofErr w:type="spellStart"/>
    <w:r w:rsidR="00541DCD">
      <w:rPr>
        <w:color w:val="595959" w:themeColor="text1" w:themeTint="A6"/>
        <w:sz w:val="20"/>
        <w:szCs w:val="20"/>
      </w:rPr>
      <w:t>November</w:t>
    </w:r>
    <w:proofErr w:type="spellEnd"/>
    <w:r w:rsidR="00541DCD">
      <w:rPr>
        <w:color w:val="595959" w:themeColor="text1" w:themeTint="A6"/>
        <w:sz w:val="20"/>
        <w:szCs w:val="20"/>
      </w:rPr>
      <w:t xml:space="preserve"> 2015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062"/>
      <w:gridCol w:w="3514"/>
    </w:tblGrid>
    <w:tr w:rsidR="00674231" w:rsidRPr="00B71347" w14:paraId="79C27B2B" w14:textId="77777777" w:rsidTr="008B6C3A">
      <w:tc>
        <w:tcPr>
          <w:tcW w:w="6062" w:type="dxa"/>
        </w:tcPr>
        <w:sdt>
          <w:sdtPr>
            <w:alias w:val="Title"/>
            <w:tag w:val=""/>
            <w:id w:val="1479812940"/>
            <w:dataBinding w:prefixMappings="xmlns:ns0='http://purl.org/dc/elements/1.1/' xmlns:ns1='http://schemas.openxmlformats.org/package/2006/metadata/core-properties' " w:xpath="/ns1:coreProperties[1]/ns0:title[1]" w:storeItemID="{6C3C8BC8-F283-45AE-878A-BAB7291924A1}"/>
            <w:text w:multiLine="1"/>
          </w:sdtPr>
          <w:sdtEndPr/>
          <w:sdtContent>
            <w:p w14:paraId="21BEF41C" w14:textId="17DFE707" w:rsidR="00674231" w:rsidRPr="004B58D3" w:rsidRDefault="00674231" w:rsidP="00AB0047">
              <w:pPr>
                <w:pStyle w:val="Footer"/>
                <w:rPr>
                  <w:b/>
                  <w:color w:val="auto"/>
                  <w:sz w:val="24"/>
                  <w:lang w:val="en-GB"/>
                </w:rPr>
              </w:pPr>
              <w:r>
                <w:rPr>
                  <w:lang w:val="en-GB"/>
                </w:rPr>
                <w:t>Joint Operational Programme Black Sea Basin 2014-2020</w:t>
              </w:r>
            </w:p>
          </w:sdtContent>
        </w:sdt>
      </w:tc>
      <w:tc>
        <w:tcPr>
          <w:tcW w:w="3514" w:type="dxa"/>
        </w:tcPr>
        <w:p w14:paraId="35A799C2" w14:textId="77777777" w:rsidR="00674231" w:rsidRPr="00C619D3" w:rsidRDefault="00674231" w:rsidP="007642BB">
          <w:pPr>
            <w:pStyle w:val="Header-FooterRight"/>
            <w:rPr>
              <w:lang w:val="en-GB"/>
            </w:rPr>
          </w:pPr>
        </w:p>
      </w:tc>
    </w:tr>
  </w:tbl>
  <w:p w14:paraId="34FC1CB4" w14:textId="54F24F42" w:rsidR="00674231" w:rsidRPr="002A4965" w:rsidRDefault="00674231" w:rsidP="002A4965">
    <w:pPr>
      <w:pStyle w:val="NoSpacing"/>
      <w:rPr>
        <w:color w:val="595959" w:themeColor="text1" w:themeTint="A6"/>
        <w:sz w:val="20"/>
        <w:szCs w:val="20"/>
      </w:rPr>
    </w:pPr>
    <w:r w:rsidRPr="002A4965">
      <w:rPr>
        <w:color w:val="595959" w:themeColor="text1" w:themeTint="A6"/>
        <w:sz w:val="20"/>
        <w:szCs w:val="20"/>
      </w:rPr>
      <w:t xml:space="preserve">Final </w:t>
    </w:r>
    <w:proofErr w:type="spellStart"/>
    <w:r w:rsidRPr="002A4965">
      <w:rPr>
        <w:color w:val="595959" w:themeColor="text1" w:themeTint="A6"/>
        <w:sz w:val="20"/>
        <w:szCs w:val="20"/>
      </w:rPr>
      <w:t>draft</w:t>
    </w:r>
    <w:proofErr w:type="spellEnd"/>
    <w:r w:rsidRPr="002A4965">
      <w:rPr>
        <w:color w:val="595959" w:themeColor="text1" w:themeTint="A6"/>
        <w:sz w:val="20"/>
        <w:szCs w:val="20"/>
      </w:rPr>
      <w:t xml:space="preserve"> 30 </w:t>
    </w:r>
    <w:proofErr w:type="spellStart"/>
    <w:r w:rsidRPr="002A4965">
      <w:rPr>
        <w:color w:val="595959" w:themeColor="text1" w:themeTint="A6"/>
        <w:sz w:val="20"/>
        <w:szCs w:val="20"/>
      </w:rPr>
      <w:t>June</w:t>
    </w:r>
    <w:proofErr w:type="spellEnd"/>
    <w:r w:rsidRPr="002A4965">
      <w:rPr>
        <w:color w:val="595959" w:themeColor="text1" w:themeTint="A6"/>
        <w:sz w:val="20"/>
        <w:szCs w:val="20"/>
      </w:rPr>
      <w:t xml:space="preserve"> 2015 </w:t>
    </w:r>
    <w:proofErr w:type="spellStart"/>
    <w:r w:rsidRPr="002A4965">
      <w:rPr>
        <w:color w:val="595959" w:themeColor="text1" w:themeTint="A6"/>
        <w:sz w:val="20"/>
        <w:szCs w:val="20"/>
      </w:rPr>
      <w:t>revised</w:t>
    </w:r>
    <w:proofErr w:type="spellEnd"/>
    <w:r w:rsidRPr="002A4965">
      <w:rPr>
        <w:color w:val="595959" w:themeColor="text1" w:themeTint="A6"/>
        <w:sz w:val="20"/>
        <w:szCs w:val="20"/>
      </w:rPr>
      <w:t xml:space="preserve"> </w:t>
    </w:r>
    <w:proofErr w:type="spellStart"/>
    <w:r w:rsidR="00541DCD">
      <w:rPr>
        <w:color w:val="595959" w:themeColor="text1" w:themeTint="A6"/>
        <w:sz w:val="20"/>
        <w:szCs w:val="20"/>
      </w:rPr>
      <w:t>November</w:t>
    </w:r>
    <w:proofErr w:type="spellEnd"/>
    <w:r w:rsidR="00541DCD">
      <w:rPr>
        <w:color w:val="595959" w:themeColor="text1" w:themeTint="A6"/>
        <w:sz w:val="20"/>
        <w:szCs w:val="20"/>
      </w:rPr>
      <w:t xml:space="preserve"> 2015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6062"/>
      <w:gridCol w:w="3514"/>
    </w:tblGrid>
    <w:tr w:rsidR="00674231" w14:paraId="32B1BABE" w14:textId="77777777" w:rsidTr="008B6C3A">
      <w:tc>
        <w:tcPr>
          <w:tcW w:w="6062" w:type="dxa"/>
        </w:tcPr>
        <w:sdt>
          <w:sdtPr>
            <w:alias w:val="Title"/>
            <w:tag w:val=""/>
            <w:id w:val="429787499"/>
            <w:dataBinding w:prefixMappings="xmlns:ns0='http://purl.org/dc/elements/1.1/' xmlns:ns1='http://schemas.openxmlformats.org/package/2006/metadata/core-properties' " w:xpath="/ns1:coreProperties[1]/ns0:title[1]" w:storeItemID="{6C3C8BC8-F283-45AE-878A-BAB7291924A1}"/>
            <w:text w:multiLine="1"/>
          </w:sdtPr>
          <w:sdtEndPr/>
          <w:sdtContent>
            <w:p w14:paraId="7F52598D" w14:textId="5EE3B07D" w:rsidR="00674231" w:rsidRPr="004B58D3" w:rsidRDefault="00674231" w:rsidP="00AB0047">
              <w:pPr>
                <w:pStyle w:val="Footer"/>
                <w:rPr>
                  <w:b/>
                  <w:color w:val="auto"/>
                  <w:sz w:val="24"/>
                  <w:lang w:val="en-GB"/>
                </w:rPr>
              </w:pPr>
              <w:r>
                <w:rPr>
                  <w:lang w:val="en-GB"/>
                </w:rPr>
                <w:t>Joint Operational Programme Black Sea Basin 2014-2020</w:t>
              </w:r>
            </w:p>
          </w:sdtContent>
        </w:sdt>
      </w:tc>
      <w:tc>
        <w:tcPr>
          <w:tcW w:w="3514" w:type="dxa"/>
        </w:tcPr>
        <w:p w14:paraId="15427C92" w14:textId="77777777" w:rsidR="00674231" w:rsidRDefault="00674231" w:rsidP="00AB0047">
          <w:pPr>
            <w:pStyle w:val="Header-FooterRight"/>
          </w:pPr>
          <w:r>
            <w:fldChar w:fldCharType="begin"/>
          </w:r>
          <w:r>
            <w:instrText>PAGE</w:instrText>
          </w:r>
          <w:r>
            <w:fldChar w:fldCharType="separate"/>
          </w:r>
          <w:r w:rsidR="00912E29">
            <w:rPr>
              <w:noProof/>
            </w:rPr>
            <w:t>104</w:t>
          </w:r>
          <w:r>
            <w:fldChar w:fldCharType="end"/>
          </w:r>
        </w:p>
      </w:tc>
    </w:tr>
  </w:tbl>
  <w:p w14:paraId="6755CC5C" w14:textId="14E3C221" w:rsidR="00674231" w:rsidRPr="004B58D3" w:rsidRDefault="00674231" w:rsidP="00064989">
    <w:pPr>
      <w:pStyle w:val="NoSpacing"/>
      <w:rPr>
        <w:color w:val="595959" w:themeColor="text1" w:themeTint="A6"/>
        <w:sz w:val="16"/>
        <w:szCs w:val="16"/>
      </w:rPr>
    </w:pPr>
    <w:r w:rsidRPr="002A4965">
      <w:rPr>
        <w:color w:val="595959" w:themeColor="text1" w:themeTint="A6"/>
        <w:sz w:val="20"/>
        <w:szCs w:val="20"/>
      </w:rPr>
      <w:t xml:space="preserve">Final </w:t>
    </w:r>
    <w:proofErr w:type="spellStart"/>
    <w:r w:rsidRPr="002A4965">
      <w:rPr>
        <w:color w:val="595959" w:themeColor="text1" w:themeTint="A6"/>
        <w:sz w:val="20"/>
        <w:szCs w:val="20"/>
      </w:rPr>
      <w:t>draft</w:t>
    </w:r>
    <w:proofErr w:type="spellEnd"/>
    <w:r w:rsidRPr="002A4965">
      <w:rPr>
        <w:color w:val="595959" w:themeColor="text1" w:themeTint="A6"/>
        <w:sz w:val="20"/>
        <w:szCs w:val="20"/>
      </w:rPr>
      <w:t xml:space="preserve"> 30 </w:t>
    </w:r>
    <w:proofErr w:type="spellStart"/>
    <w:r w:rsidRPr="002A4965">
      <w:rPr>
        <w:color w:val="595959" w:themeColor="text1" w:themeTint="A6"/>
        <w:sz w:val="20"/>
        <w:szCs w:val="20"/>
      </w:rPr>
      <w:t>June</w:t>
    </w:r>
    <w:proofErr w:type="spellEnd"/>
    <w:r w:rsidRPr="002A4965">
      <w:rPr>
        <w:color w:val="595959" w:themeColor="text1" w:themeTint="A6"/>
        <w:sz w:val="20"/>
        <w:szCs w:val="20"/>
      </w:rPr>
      <w:t xml:space="preserve"> 2015</w:t>
    </w:r>
    <w:r>
      <w:rPr>
        <w:color w:val="595959" w:themeColor="text1" w:themeTint="A6"/>
        <w:sz w:val="16"/>
        <w:szCs w:val="16"/>
      </w:rPr>
      <w:t xml:space="preserve"> </w:t>
    </w:r>
    <w:proofErr w:type="spellStart"/>
    <w:r w:rsidRPr="002A4965">
      <w:rPr>
        <w:color w:val="595959" w:themeColor="text1" w:themeTint="A6"/>
        <w:sz w:val="20"/>
        <w:szCs w:val="20"/>
      </w:rPr>
      <w:t>revised</w:t>
    </w:r>
    <w:proofErr w:type="spellEnd"/>
    <w:r w:rsidRPr="002A4965">
      <w:rPr>
        <w:color w:val="595959" w:themeColor="text1" w:themeTint="A6"/>
        <w:sz w:val="20"/>
        <w:szCs w:val="20"/>
      </w:rPr>
      <w:t xml:space="preserve"> </w:t>
    </w:r>
    <w:proofErr w:type="spellStart"/>
    <w:r w:rsidR="00AE68E8">
      <w:rPr>
        <w:color w:val="595959" w:themeColor="text1" w:themeTint="A6"/>
        <w:sz w:val="20"/>
        <w:szCs w:val="20"/>
      </w:rPr>
      <w:t>November</w:t>
    </w:r>
    <w:proofErr w:type="spellEnd"/>
    <w:r w:rsidR="00AE68E8">
      <w:rPr>
        <w:color w:val="595959" w:themeColor="text1" w:themeTint="A6"/>
        <w:sz w:val="20"/>
        <w:szCs w:val="20"/>
      </w:rPr>
      <w:t xml:space="preserve"> </w:t>
    </w:r>
    <w:r w:rsidRPr="002A4965">
      <w:rPr>
        <w:color w:val="595959" w:themeColor="text1" w:themeTint="A6"/>
        <w:sz w:val="20"/>
        <w:szCs w:val="2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3CA5D" w14:textId="77777777" w:rsidR="00674231" w:rsidRDefault="00674231" w:rsidP="00AB0047">
      <w:pPr>
        <w:spacing w:after="0" w:line="240" w:lineRule="auto"/>
      </w:pPr>
      <w:r>
        <w:separator/>
      </w:r>
    </w:p>
  </w:footnote>
  <w:footnote w:type="continuationSeparator" w:id="0">
    <w:p w14:paraId="6F9288E9" w14:textId="77777777" w:rsidR="00674231" w:rsidRDefault="00674231" w:rsidP="00AB0047">
      <w:pPr>
        <w:spacing w:after="0" w:line="240" w:lineRule="auto"/>
      </w:pPr>
      <w:r>
        <w:continuationSeparator/>
      </w:r>
    </w:p>
  </w:footnote>
  <w:footnote w:id="1">
    <w:p w14:paraId="3D53E99D" w14:textId="77777777" w:rsidR="00674231" w:rsidRPr="005E50B5" w:rsidRDefault="00674231" w:rsidP="00C87196">
      <w:pPr>
        <w:pStyle w:val="Default"/>
        <w:jc w:val="both"/>
        <w:rPr>
          <w:rFonts w:asciiTheme="minorHAnsi" w:hAnsiTheme="minorHAnsi"/>
          <w:sz w:val="18"/>
          <w:szCs w:val="18"/>
          <w:lang w:val="en-GB"/>
        </w:rPr>
      </w:pPr>
      <w:r w:rsidRPr="005E50B5">
        <w:rPr>
          <w:rStyle w:val="FootnoteReference"/>
          <w:rFonts w:asciiTheme="minorHAnsi" w:hAnsiTheme="minorHAnsi"/>
          <w:sz w:val="18"/>
          <w:szCs w:val="18"/>
        </w:rPr>
        <w:footnoteRef/>
      </w:r>
      <w:r w:rsidRPr="005E50B5">
        <w:rPr>
          <w:rFonts w:asciiTheme="minorHAnsi" w:hAnsiTheme="minorHAnsi"/>
          <w:sz w:val="18"/>
          <w:szCs w:val="18"/>
          <w:lang w:val="en-GB"/>
        </w:rPr>
        <w:t xml:space="preserve"> </w:t>
      </w:r>
      <w:r w:rsidRPr="005E50B5">
        <w:rPr>
          <w:rFonts w:asciiTheme="minorHAnsi" w:hAnsiTheme="minorHAnsi" w:cstheme="minorBidi"/>
          <w:color w:val="auto"/>
          <w:sz w:val="18"/>
          <w:szCs w:val="18"/>
          <w:lang w:val="en-GB"/>
        </w:rPr>
        <w:t>Regulation (EU) No 232/2014 of the European Parliament and of the Council of 11 March 2014 establishing a European Neighbourhood Instrument</w:t>
      </w:r>
    </w:p>
  </w:footnote>
  <w:footnote w:id="2">
    <w:p w14:paraId="5735F876" w14:textId="77777777" w:rsidR="00674231" w:rsidRPr="00682784" w:rsidRDefault="00674231" w:rsidP="00C87196">
      <w:pPr>
        <w:pStyle w:val="Default"/>
        <w:jc w:val="both"/>
        <w:rPr>
          <w:rFonts w:ascii="EUAlbertina" w:hAnsi="EUAlbertina" w:cs="EUAlbertina"/>
          <w:lang w:val="en-GB"/>
        </w:rPr>
      </w:pPr>
      <w:r w:rsidRPr="005E50B5">
        <w:rPr>
          <w:rStyle w:val="FootnoteReference"/>
          <w:sz w:val="18"/>
          <w:szCs w:val="18"/>
        </w:rPr>
        <w:footnoteRef/>
      </w:r>
      <w:r w:rsidRPr="005E50B5">
        <w:rPr>
          <w:sz w:val="18"/>
          <w:szCs w:val="18"/>
          <w:lang w:val="en-GB"/>
        </w:rPr>
        <w:t xml:space="preserve"> </w:t>
      </w:r>
      <w:r>
        <w:rPr>
          <w:sz w:val="18"/>
          <w:szCs w:val="18"/>
          <w:lang w:val="en-GB"/>
        </w:rPr>
        <w:t xml:space="preserve">Commission Implementing Regulation </w:t>
      </w:r>
      <w:r w:rsidRPr="00D93FC9">
        <w:rPr>
          <w:rFonts w:asciiTheme="minorHAnsi" w:hAnsiTheme="minorHAnsi" w:cstheme="minorBidi"/>
          <w:color w:val="auto"/>
          <w:sz w:val="18"/>
          <w:szCs w:val="18"/>
          <w:lang w:val="en-GB"/>
        </w:rPr>
        <w:t>(EU) No 897/2014 of 18 August 2014 laying down specific provisions for the implementation of cross-border cooperation programmes financed under Regulation (EU) No 232/2014 of the European Parliament</w:t>
      </w:r>
      <w:r>
        <w:rPr>
          <w:rFonts w:asciiTheme="minorHAnsi" w:hAnsiTheme="minorHAnsi" w:cstheme="minorBidi"/>
          <w:color w:val="auto"/>
          <w:sz w:val="18"/>
          <w:szCs w:val="18"/>
          <w:lang w:val="en-GB"/>
        </w:rPr>
        <w:t xml:space="preserve"> and the Council</w:t>
      </w:r>
    </w:p>
  </w:footnote>
  <w:footnote w:id="3">
    <w:p w14:paraId="4C89AB32" w14:textId="77777777" w:rsidR="00674231" w:rsidRPr="00147C31" w:rsidRDefault="00674231" w:rsidP="00C87196">
      <w:pPr>
        <w:widowControl w:val="0"/>
        <w:autoSpaceDE w:val="0"/>
        <w:autoSpaceDN w:val="0"/>
        <w:adjustRightInd w:val="0"/>
        <w:spacing w:after="0" w:line="240" w:lineRule="auto"/>
        <w:jc w:val="both"/>
        <w:rPr>
          <w:sz w:val="18"/>
          <w:szCs w:val="18"/>
          <w:lang w:val="en-GB"/>
        </w:rPr>
      </w:pPr>
      <w:r>
        <w:rPr>
          <w:rStyle w:val="FootnoteReference"/>
        </w:rPr>
        <w:footnoteRef/>
      </w:r>
      <w:r w:rsidRPr="00682784">
        <w:rPr>
          <w:lang w:val="en-GB"/>
        </w:rPr>
        <w:t xml:space="preserve"> </w:t>
      </w:r>
      <w:r>
        <w:rPr>
          <w:sz w:val="18"/>
          <w:szCs w:val="18"/>
          <w:lang w:val="en-GB"/>
        </w:rPr>
        <w:t xml:space="preserve">Programming document for European Union support to ENI Cross-Border Cooperation for the period 2014-2020, adopted by a Commission implementing decision on 08.10.2014 </w:t>
      </w:r>
    </w:p>
  </w:footnote>
  <w:footnote w:id="4">
    <w:p w14:paraId="481644AE" w14:textId="77777777" w:rsidR="00674231" w:rsidRPr="00682784" w:rsidRDefault="00674231" w:rsidP="005A08E1">
      <w:pPr>
        <w:pStyle w:val="FootnoteText"/>
        <w:jc w:val="both"/>
        <w:rPr>
          <w:sz w:val="18"/>
          <w:szCs w:val="18"/>
          <w:lang w:val="en-GB"/>
        </w:rPr>
      </w:pPr>
      <w:r w:rsidRPr="00B65574">
        <w:rPr>
          <w:rStyle w:val="FootnoteReference"/>
          <w:sz w:val="18"/>
          <w:szCs w:val="18"/>
        </w:rPr>
        <w:footnoteRef/>
      </w:r>
      <w:r w:rsidRPr="00682784">
        <w:rPr>
          <w:sz w:val="18"/>
          <w:szCs w:val="18"/>
          <w:lang w:val="en-GB"/>
        </w:rPr>
        <w:t xml:space="preserve"> See more details under the title ‘Nature of projects and types of support’ within the Programme Strategy Chapter. Note that specific provisions apply to international organisations and European Groupings.</w:t>
      </w:r>
    </w:p>
  </w:footnote>
  <w:footnote w:id="5">
    <w:p w14:paraId="1955A386" w14:textId="1F7F447F" w:rsidR="00674231" w:rsidRPr="005E50B5" w:rsidRDefault="00674231" w:rsidP="005A08E1">
      <w:pPr>
        <w:pStyle w:val="FootnoteText"/>
        <w:jc w:val="both"/>
        <w:rPr>
          <w:rFonts w:cs="Times New Roman"/>
          <w:sz w:val="18"/>
          <w:szCs w:val="18"/>
          <w:lang w:val="en-GB"/>
        </w:rPr>
      </w:pPr>
      <w:r w:rsidRPr="005E50B5">
        <w:rPr>
          <w:rStyle w:val="FootnoteReference"/>
          <w:sz w:val="18"/>
          <w:szCs w:val="18"/>
        </w:rPr>
        <w:footnoteRef/>
      </w:r>
      <w:r w:rsidRPr="005E50B5">
        <w:rPr>
          <w:sz w:val="18"/>
          <w:szCs w:val="18"/>
          <w:lang w:val="en-GB"/>
        </w:rPr>
        <w:t xml:space="preserve"> As listed in Annex I of Regulation (EU) N° 232/2014 of the European Parliament and of the Council of 11 March 2014 establishing a </w:t>
      </w:r>
      <w:r w:rsidRPr="005E50B5">
        <w:rPr>
          <w:rFonts w:cs="Times New Roman"/>
          <w:sz w:val="18"/>
          <w:szCs w:val="18"/>
          <w:lang w:val="en-GB"/>
        </w:rPr>
        <w:t>European Neighbourhood Instrument</w:t>
      </w:r>
      <w:r>
        <w:rPr>
          <w:rFonts w:cs="Times New Roman"/>
          <w:sz w:val="18"/>
          <w:szCs w:val="18"/>
          <w:lang w:val="en-GB"/>
        </w:rPr>
        <w:t>.</w:t>
      </w:r>
    </w:p>
  </w:footnote>
  <w:footnote w:id="6">
    <w:p w14:paraId="126AEF7A" w14:textId="707373CE" w:rsidR="00674231" w:rsidRPr="00011336" w:rsidRDefault="00674231" w:rsidP="00011336">
      <w:pPr>
        <w:widowControl w:val="0"/>
        <w:autoSpaceDE w:val="0"/>
        <w:autoSpaceDN w:val="0"/>
        <w:adjustRightInd w:val="0"/>
        <w:spacing w:after="0" w:line="252" w:lineRule="auto"/>
        <w:jc w:val="both"/>
        <w:rPr>
          <w:rFonts w:cs="Times New Roman"/>
          <w:sz w:val="18"/>
          <w:szCs w:val="18"/>
          <w:lang w:val="en-GB"/>
        </w:rPr>
      </w:pPr>
      <w:r w:rsidRPr="00011336">
        <w:rPr>
          <w:rStyle w:val="FootnoteReference"/>
          <w:sz w:val="18"/>
          <w:szCs w:val="18"/>
        </w:rPr>
        <w:footnoteRef/>
      </w:r>
      <w:r w:rsidRPr="00F04553">
        <w:rPr>
          <w:sz w:val="18"/>
          <w:szCs w:val="18"/>
          <w:lang w:val="en-GB"/>
        </w:rPr>
        <w:t xml:space="preserve"> </w:t>
      </w:r>
      <w:r w:rsidRPr="00011336">
        <w:rPr>
          <w:rFonts w:cs="Times New Roman"/>
          <w:sz w:val="18"/>
          <w:szCs w:val="18"/>
          <w:lang w:val="en-GB"/>
        </w:rPr>
        <w:t xml:space="preserve">However, </w:t>
      </w:r>
      <w:r>
        <w:rPr>
          <w:rFonts w:cs="Times New Roman"/>
          <w:sz w:val="18"/>
          <w:szCs w:val="18"/>
          <w:lang w:val="en-GB"/>
        </w:rPr>
        <w:t xml:space="preserve">please note that </w:t>
      </w:r>
      <w:r w:rsidRPr="00011336">
        <w:rPr>
          <w:rFonts w:cs="Times New Roman"/>
          <w:sz w:val="18"/>
          <w:szCs w:val="18"/>
          <w:lang w:val="en-GB"/>
        </w:rPr>
        <w:t xml:space="preserve">on 7 May 2015 Azerbaijan withdrew from the negotiation on the development of the programme. </w:t>
      </w:r>
    </w:p>
  </w:footnote>
  <w:footnote w:id="7">
    <w:p w14:paraId="056F1D21" w14:textId="5068422B" w:rsidR="00674231" w:rsidRPr="005E50B5" w:rsidRDefault="00674231" w:rsidP="005A08E1">
      <w:pPr>
        <w:pStyle w:val="FootnoteText"/>
        <w:jc w:val="both"/>
        <w:rPr>
          <w:sz w:val="18"/>
          <w:szCs w:val="18"/>
          <w:lang w:val="en-GB"/>
        </w:rPr>
      </w:pPr>
      <w:r w:rsidRPr="002C30C5">
        <w:rPr>
          <w:rStyle w:val="FootnoteReference"/>
          <w:sz w:val="18"/>
          <w:szCs w:val="18"/>
        </w:rPr>
        <w:footnoteRef/>
      </w:r>
      <w:r w:rsidRPr="002C30C5">
        <w:rPr>
          <w:sz w:val="18"/>
          <w:szCs w:val="18"/>
          <w:lang w:val="en-GB"/>
        </w:rPr>
        <w:t xml:space="preserve"> </w:t>
      </w:r>
      <w:r>
        <w:rPr>
          <w:rFonts w:cs="Times New Roman"/>
          <w:sz w:val="18"/>
          <w:szCs w:val="18"/>
          <w:lang w:val="en-GB"/>
        </w:rPr>
        <w:t>However, please note that t</w:t>
      </w:r>
      <w:r w:rsidRPr="002C30C5">
        <w:rPr>
          <w:rFonts w:cs="Times New Roman"/>
          <w:sz w:val="18"/>
          <w:szCs w:val="18"/>
          <w:lang w:val="en-GB"/>
        </w:rPr>
        <w:t>he Russian Federation has not been actively involved in the programme preparation and is unlikely to join the programme implementation</w:t>
      </w:r>
      <w:r>
        <w:rPr>
          <w:rFonts w:cs="Times New Roman"/>
          <w:sz w:val="18"/>
          <w:szCs w:val="18"/>
          <w:lang w:val="en-GB"/>
        </w:rPr>
        <w:t>.</w:t>
      </w:r>
    </w:p>
  </w:footnote>
  <w:footnote w:id="8">
    <w:p w14:paraId="12BD3F7A" w14:textId="57D64EE4" w:rsidR="00674231" w:rsidRPr="005E50B5" w:rsidRDefault="00674231" w:rsidP="005A08E1">
      <w:pPr>
        <w:widowControl w:val="0"/>
        <w:autoSpaceDE w:val="0"/>
        <w:autoSpaceDN w:val="0"/>
        <w:adjustRightInd w:val="0"/>
        <w:spacing w:after="0" w:line="240" w:lineRule="auto"/>
        <w:jc w:val="both"/>
        <w:rPr>
          <w:rFonts w:cs="Times New Roman"/>
          <w:sz w:val="18"/>
          <w:szCs w:val="18"/>
          <w:lang w:val="en-GB"/>
        </w:rPr>
      </w:pPr>
      <w:r w:rsidRPr="005E50B5">
        <w:rPr>
          <w:rStyle w:val="FootnoteReference"/>
          <w:sz w:val="18"/>
          <w:szCs w:val="18"/>
        </w:rPr>
        <w:footnoteRef/>
      </w:r>
      <w:r w:rsidRPr="005E50B5">
        <w:rPr>
          <w:sz w:val="18"/>
          <w:szCs w:val="18"/>
          <w:lang w:val="en-GB"/>
        </w:rPr>
        <w:t xml:space="preserve"> </w:t>
      </w:r>
      <w:r w:rsidRPr="005E50B5">
        <w:rPr>
          <w:rFonts w:cs="Times New Roman"/>
          <w:sz w:val="18"/>
          <w:szCs w:val="18"/>
          <w:lang w:val="en-GB"/>
        </w:rPr>
        <w:t>At the time</w:t>
      </w:r>
      <w:r>
        <w:rPr>
          <w:rFonts w:cs="Times New Roman"/>
          <w:sz w:val="18"/>
          <w:szCs w:val="18"/>
          <w:lang w:val="en-GB"/>
        </w:rPr>
        <w:t xml:space="preserve"> of drafting this programme nonetheless, general EU restrictions on cooperation in some regions are applicable to CBC, as provided for in </w:t>
      </w:r>
      <w:r w:rsidRPr="005E50B5">
        <w:rPr>
          <w:rFonts w:cs="Times New Roman"/>
          <w:sz w:val="18"/>
          <w:szCs w:val="18"/>
          <w:lang w:val="en-GB"/>
        </w:rPr>
        <w:t>t</w:t>
      </w:r>
      <w:r>
        <w:rPr>
          <w:rFonts w:cs="Times New Roman"/>
          <w:sz w:val="18"/>
          <w:szCs w:val="18"/>
          <w:lang w:val="en-GB"/>
        </w:rPr>
        <w:t>he ENI CBC Programming document.</w:t>
      </w:r>
    </w:p>
  </w:footnote>
  <w:footnote w:id="9">
    <w:p w14:paraId="4712F84A" w14:textId="2FC21DFB" w:rsidR="00674231" w:rsidRPr="00F04553" w:rsidRDefault="00674231">
      <w:pPr>
        <w:pStyle w:val="FootnoteText"/>
        <w:rPr>
          <w:lang w:val="en-GB"/>
        </w:rPr>
      </w:pPr>
      <w:r>
        <w:rPr>
          <w:rStyle w:val="FootnoteReference"/>
        </w:rPr>
        <w:footnoteRef/>
      </w:r>
      <w:r w:rsidRPr="00F04553">
        <w:rPr>
          <w:lang w:val="en-GB"/>
        </w:rPr>
        <w:t xml:space="preserve"> </w:t>
      </w:r>
      <w:r w:rsidRPr="00F2457F">
        <w:rPr>
          <w:rFonts w:cs="Times New Roman"/>
          <w:sz w:val="18"/>
          <w:szCs w:val="18"/>
          <w:lang w:val="en-GB"/>
        </w:rPr>
        <w:t>End of June 2015</w:t>
      </w:r>
    </w:p>
  </w:footnote>
  <w:footnote w:id="10">
    <w:p w14:paraId="145A7437" w14:textId="77777777" w:rsidR="00674231" w:rsidRPr="005E50B5" w:rsidRDefault="00674231" w:rsidP="00365C00">
      <w:pPr>
        <w:widowControl w:val="0"/>
        <w:autoSpaceDE w:val="0"/>
        <w:autoSpaceDN w:val="0"/>
        <w:adjustRightInd w:val="0"/>
        <w:spacing w:after="0" w:line="240" w:lineRule="auto"/>
        <w:jc w:val="both"/>
        <w:rPr>
          <w:rFonts w:cs="Times New Roman"/>
          <w:sz w:val="18"/>
          <w:szCs w:val="18"/>
          <w:lang w:val="en-GB"/>
        </w:rPr>
      </w:pPr>
      <w:r w:rsidRPr="005E50B5">
        <w:rPr>
          <w:rStyle w:val="FootnoteReference"/>
          <w:sz w:val="18"/>
          <w:szCs w:val="18"/>
        </w:rPr>
        <w:footnoteRef/>
      </w:r>
      <w:r w:rsidRPr="005E50B5">
        <w:rPr>
          <w:sz w:val="18"/>
          <w:szCs w:val="18"/>
          <w:lang w:val="en-GB"/>
        </w:rPr>
        <w:t xml:space="preserve"> </w:t>
      </w:r>
      <w:r w:rsidRPr="005E50B5">
        <w:rPr>
          <w:rFonts w:cs="Times New Roman"/>
          <w:sz w:val="18"/>
          <w:szCs w:val="18"/>
          <w:lang w:val="en-GB"/>
        </w:rPr>
        <w:t>At the time</w:t>
      </w:r>
      <w:r>
        <w:rPr>
          <w:rFonts w:cs="Times New Roman"/>
          <w:sz w:val="18"/>
          <w:szCs w:val="18"/>
          <w:lang w:val="en-GB"/>
        </w:rPr>
        <w:t xml:space="preserve"> of drafting this programme nonetheless, general EU restrictions on cooperation in some regions are applicable to CBC, as provided for in </w:t>
      </w:r>
      <w:r w:rsidRPr="005E50B5">
        <w:rPr>
          <w:rFonts w:cs="Times New Roman"/>
          <w:sz w:val="18"/>
          <w:szCs w:val="18"/>
          <w:lang w:val="en-GB"/>
        </w:rPr>
        <w:t>t</w:t>
      </w:r>
      <w:r>
        <w:rPr>
          <w:rFonts w:cs="Times New Roman"/>
          <w:sz w:val="18"/>
          <w:szCs w:val="18"/>
          <w:lang w:val="en-GB"/>
        </w:rPr>
        <w:t>he ENI CBC Programming document.</w:t>
      </w:r>
    </w:p>
  </w:footnote>
  <w:footnote w:id="11">
    <w:p w14:paraId="0138DF8D" w14:textId="429AC804" w:rsidR="00674231" w:rsidRPr="00682784" w:rsidRDefault="00674231" w:rsidP="005A08E1">
      <w:pPr>
        <w:pStyle w:val="FootnoteText"/>
        <w:jc w:val="both"/>
        <w:rPr>
          <w:sz w:val="18"/>
          <w:szCs w:val="18"/>
          <w:lang w:val="en-GB"/>
        </w:rPr>
      </w:pPr>
      <w:r w:rsidRPr="005E50B5">
        <w:rPr>
          <w:rStyle w:val="FootnoteReference"/>
          <w:sz w:val="18"/>
          <w:szCs w:val="18"/>
        </w:rPr>
        <w:footnoteRef/>
      </w:r>
      <w:r w:rsidRPr="00682784">
        <w:rPr>
          <w:sz w:val="18"/>
          <w:szCs w:val="18"/>
          <w:lang w:val="en-GB"/>
        </w:rPr>
        <w:t xml:space="preserve"> </w:t>
      </w:r>
      <w:r w:rsidRPr="005E50B5">
        <w:rPr>
          <w:sz w:val="18"/>
          <w:szCs w:val="18"/>
          <w:lang w:val="en-GB"/>
        </w:rPr>
        <w:t>I</w:t>
      </w:r>
      <w:r>
        <w:rPr>
          <w:sz w:val="18"/>
          <w:szCs w:val="18"/>
          <w:lang w:val="en-GB"/>
        </w:rPr>
        <w:t>nstrument for Pre-Accession (I</w:t>
      </w:r>
      <w:r w:rsidRPr="005E50B5">
        <w:rPr>
          <w:sz w:val="18"/>
          <w:szCs w:val="18"/>
          <w:lang w:val="en-GB"/>
        </w:rPr>
        <w:t>PA</w:t>
      </w:r>
      <w:r>
        <w:rPr>
          <w:sz w:val="18"/>
          <w:szCs w:val="18"/>
          <w:lang w:val="en-GB"/>
        </w:rPr>
        <w:t>)</w:t>
      </w:r>
      <w:r w:rsidRPr="005E50B5">
        <w:rPr>
          <w:sz w:val="18"/>
          <w:szCs w:val="18"/>
          <w:lang w:val="en-GB"/>
        </w:rPr>
        <w:t xml:space="preserve"> in the case of Turkey</w:t>
      </w:r>
    </w:p>
  </w:footnote>
  <w:footnote w:id="12">
    <w:p w14:paraId="7DE4C87C" w14:textId="77777777" w:rsidR="00674231" w:rsidRPr="005E50B5" w:rsidRDefault="00674231" w:rsidP="005A08E1">
      <w:pPr>
        <w:pStyle w:val="Default"/>
        <w:jc w:val="both"/>
        <w:rPr>
          <w:rFonts w:asciiTheme="minorHAnsi" w:hAnsiTheme="minorHAnsi"/>
          <w:sz w:val="18"/>
          <w:szCs w:val="18"/>
          <w:lang w:val="en-GB"/>
        </w:rPr>
      </w:pPr>
      <w:r w:rsidRPr="005E50B5">
        <w:rPr>
          <w:rStyle w:val="FootnoteReference"/>
          <w:rFonts w:asciiTheme="minorHAnsi" w:hAnsiTheme="minorHAnsi"/>
          <w:sz w:val="18"/>
          <w:szCs w:val="18"/>
        </w:rPr>
        <w:footnoteRef/>
      </w:r>
      <w:r w:rsidRPr="005E50B5">
        <w:rPr>
          <w:rFonts w:asciiTheme="minorHAnsi" w:hAnsiTheme="minorHAnsi"/>
          <w:sz w:val="18"/>
          <w:szCs w:val="18"/>
          <w:lang w:val="en-GB"/>
        </w:rPr>
        <w:t xml:space="preserve"> </w:t>
      </w:r>
      <w:r w:rsidRPr="005E50B5">
        <w:rPr>
          <w:rFonts w:asciiTheme="minorHAnsi" w:hAnsiTheme="minorHAnsi" w:cstheme="minorBidi"/>
          <w:color w:val="auto"/>
          <w:sz w:val="18"/>
          <w:szCs w:val="18"/>
          <w:lang w:val="en-GB"/>
        </w:rPr>
        <w:t>Regulation (EU) No 232/2014 of the European Parliament and of the Council of 11 March 2014 establishing a European Neighbourhood Instrument</w:t>
      </w:r>
    </w:p>
  </w:footnote>
  <w:footnote w:id="13">
    <w:p w14:paraId="4CEC39F4"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w:t>
      </w:r>
      <w:r>
        <w:rPr>
          <w:sz w:val="18"/>
          <w:szCs w:val="18"/>
          <w:lang w:val="en-GB"/>
        </w:rPr>
        <w:t xml:space="preserve">Commission Implementing Regulation </w:t>
      </w:r>
      <w:r w:rsidRPr="00D93FC9">
        <w:rPr>
          <w:sz w:val="18"/>
          <w:szCs w:val="18"/>
          <w:lang w:val="en-GB"/>
        </w:rPr>
        <w:t>(EU) No 897/2014 of 18 August 2014 laying down specific provisions for the implementation of cross-border cooperation programmes financed under Regulation (EU) No 232/2014 of the European Parliament</w:t>
      </w:r>
      <w:r>
        <w:rPr>
          <w:sz w:val="18"/>
          <w:szCs w:val="18"/>
          <w:lang w:val="en-GB"/>
        </w:rPr>
        <w:t xml:space="preserve"> and the Council</w:t>
      </w:r>
    </w:p>
  </w:footnote>
  <w:footnote w:id="14">
    <w:p w14:paraId="1D78233A" w14:textId="77777777" w:rsidR="00674231" w:rsidRPr="004725B0" w:rsidRDefault="00674231" w:rsidP="005A08E1">
      <w:pPr>
        <w:pStyle w:val="FootnoteText"/>
        <w:jc w:val="both"/>
        <w:rPr>
          <w:lang w:val="en-GB"/>
        </w:rPr>
      </w:pPr>
      <w:r>
        <w:rPr>
          <w:rStyle w:val="FootnoteReference"/>
        </w:rPr>
        <w:footnoteRef/>
      </w:r>
      <w:r w:rsidRPr="004725B0">
        <w:rPr>
          <w:lang w:val="en-GB"/>
        </w:rPr>
        <w:t xml:space="preserve"> </w:t>
      </w:r>
      <w:r>
        <w:rPr>
          <w:sz w:val="18"/>
          <w:szCs w:val="18"/>
          <w:lang w:val="en-GB"/>
        </w:rPr>
        <w:t>Programming document for European Union support to ENI Cross-Border Cooperation for the period 2014-2020, adopted by a Commission implementing decision on 08.10.2014</w:t>
      </w:r>
    </w:p>
  </w:footnote>
  <w:footnote w:id="15">
    <w:p w14:paraId="24EC3CE4"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Full text of the statement available on </w:t>
      </w:r>
      <w:hyperlink r:id="rId1" w:history="1">
        <w:r w:rsidRPr="001D2592">
          <w:rPr>
            <w:rStyle w:val="Hyperlink"/>
            <w:sz w:val="18"/>
            <w:szCs w:val="18"/>
            <w:lang w:val="en-GB"/>
          </w:rPr>
          <w:t>http://eeas.europa.eu/blacksea/doc/joint_statement_blacksea_en.pdf</w:t>
        </w:r>
      </w:hyperlink>
      <w:r>
        <w:rPr>
          <w:sz w:val="18"/>
          <w:szCs w:val="18"/>
          <w:lang w:val="en-GB"/>
        </w:rPr>
        <w:t xml:space="preserve"> </w:t>
      </w:r>
    </w:p>
  </w:footnote>
  <w:footnote w:id="16">
    <w:p w14:paraId="15E8C1FC"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Full text of the resolution available on </w:t>
      </w:r>
      <w:hyperlink r:id="rId2" w:history="1">
        <w:r w:rsidRPr="001D2592">
          <w:rPr>
            <w:rStyle w:val="Hyperlink"/>
            <w:sz w:val="18"/>
            <w:szCs w:val="18"/>
            <w:lang w:val="en-GB"/>
          </w:rPr>
          <w:t>http://www.europarl.europa.eu</w:t>
        </w:r>
      </w:hyperlink>
      <w:r>
        <w:rPr>
          <w:sz w:val="18"/>
          <w:szCs w:val="18"/>
          <w:lang w:val="en-GB"/>
        </w:rPr>
        <w:t xml:space="preserve"> </w:t>
      </w:r>
    </w:p>
  </w:footnote>
  <w:footnote w:id="17">
    <w:p w14:paraId="1D669B25"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More information on the Eastern Partnership is available at </w:t>
      </w:r>
      <w:hyperlink r:id="rId3" w:history="1">
        <w:r w:rsidRPr="005E50B5">
          <w:rPr>
            <w:rStyle w:val="Hyperlink"/>
            <w:sz w:val="18"/>
            <w:szCs w:val="18"/>
            <w:lang w:val="en-GB"/>
          </w:rPr>
          <w:t>http://eeas.europa.eu/eastern/index_en.htm</w:t>
        </w:r>
      </w:hyperlink>
      <w:r w:rsidRPr="005E50B5">
        <w:rPr>
          <w:sz w:val="18"/>
          <w:szCs w:val="18"/>
          <w:lang w:val="en-GB"/>
        </w:rPr>
        <w:t xml:space="preserve"> </w:t>
      </w:r>
    </w:p>
  </w:footnote>
  <w:footnote w:id="18">
    <w:p w14:paraId="045A8F92"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More information on the Danube Strategy and Action Plan is available on </w:t>
      </w:r>
      <w:hyperlink r:id="rId4" w:history="1">
        <w:r w:rsidRPr="001D2592">
          <w:rPr>
            <w:rStyle w:val="Hyperlink"/>
            <w:sz w:val="18"/>
            <w:szCs w:val="18"/>
            <w:lang w:val="en-GB"/>
          </w:rPr>
          <w:t>http://www.danube-region.eu</w:t>
        </w:r>
      </w:hyperlink>
      <w:r>
        <w:rPr>
          <w:sz w:val="18"/>
          <w:szCs w:val="18"/>
          <w:lang w:val="en-GB"/>
        </w:rPr>
        <w:t xml:space="preserve"> </w:t>
      </w:r>
    </w:p>
  </w:footnote>
  <w:footnote w:id="19">
    <w:p w14:paraId="21427F33"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DG Maritime affairs and fisheries is carrying out two studies on the blue growth potential of the Black Sea and on the use of the so-called maritime clusters, networks of firms, training establishments, research centres, local and regional authorities.</w:t>
      </w:r>
      <w:r w:rsidRPr="005E50B5">
        <w:rPr>
          <w:rFonts w:eastAsia="Times New Roman" w:cs="Times New Roman"/>
          <w:sz w:val="18"/>
          <w:szCs w:val="18"/>
          <w:lang w:val="en-GB"/>
        </w:rPr>
        <w:t xml:space="preserve"> (from Commissioner Maria </w:t>
      </w:r>
      <w:proofErr w:type="spellStart"/>
      <w:r w:rsidRPr="005E50B5">
        <w:rPr>
          <w:rFonts w:eastAsia="Times New Roman" w:cs="Times New Roman"/>
          <w:sz w:val="18"/>
          <w:szCs w:val="18"/>
          <w:lang w:val="en-GB"/>
        </w:rPr>
        <w:t>Damanaki’s</w:t>
      </w:r>
      <w:proofErr w:type="spellEnd"/>
      <w:r w:rsidRPr="005E50B5">
        <w:rPr>
          <w:rFonts w:eastAsia="Times New Roman" w:cs="Times New Roman"/>
          <w:sz w:val="18"/>
          <w:szCs w:val="18"/>
          <w:lang w:val="en-GB"/>
        </w:rPr>
        <w:t xml:space="preserve"> speech 30 Jan 2014, Black Sea Stakeholders' conference Sustainable Development of the blue economy in the Black Sea</w:t>
      </w:r>
      <w:r>
        <w:rPr>
          <w:rFonts w:eastAsia="Times New Roman" w:cs="Times New Roman"/>
          <w:sz w:val="18"/>
          <w:szCs w:val="18"/>
          <w:lang w:val="en-GB"/>
        </w:rPr>
        <w:t>,</w:t>
      </w:r>
      <w:r w:rsidRPr="005E50B5">
        <w:rPr>
          <w:rFonts w:eastAsia="Times New Roman" w:cs="Times New Roman"/>
          <w:sz w:val="18"/>
          <w:szCs w:val="18"/>
          <w:lang w:val="en-GB"/>
        </w:rPr>
        <w:t xml:space="preserve"> Bucharest, 30 January 2014)</w:t>
      </w:r>
    </w:p>
  </w:footnote>
  <w:footnote w:id="20">
    <w:p w14:paraId="0F1692FC" w14:textId="7493E18F" w:rsidR="00674231" w:rsidRPr="00682784" w:rsidRDefault="00674231" w:rsidP="005A08E1">
      <w:pPr>
        <w:pStyle w:val="FootnoteText"/>
        <w:jc w:val="both"/>
        <w:rPr>
          <w:sz w:val="18"/>
          <w:szCs w:val="18"/>
          <w:lang w:val="en-GB"/>
        </w:rPr>
      </w:pPr>
      <w:r w:rsidRPr="00FB4263">
        <w:rPr>
          <w:rStyle w:val="FootnoteReference"/>
          <w:sz w:val="18"/>
          <w:szCs w:val="18"/>
        </w:rPr>
        <w:footnoteRef/>
      </w:r>
      <w:r w:rsidRPr="00682784">
        <w:rPr>
          <w:sz w:val="18"/>
          <w:szCs w:val="18"/>
          <w:lang w:val="en-GB"/>
        </w:rPr>
        <w:t xml:space="preserve"> The part on ‘Safety and security challenges’ was nonetheless updated in February 2015 to reflect the situation in Ukraine and related major international crisis</w:t>
      </w:r>
      <w:r>
        <w:rPr>
          <w:sz w:val="18"/>
          <w:szCs w:val="18"/>
          <w:lang w:val="en-GB"/>
        </w:rPr>
        <w:t>. Some tables and graphs have also been updated in spring 2015 for information purposes, without changing the validity of the original analysis.</w:t>
      </w:r>
    </w:p>
  </w:footnote>
  <w:footnote w:id="21">
    <w:p w14:paraId="70117DA6"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Note that data for Russia has not been updated (as not provided at regional level)</w:t>
      </w:r>
      <w:proofErr w:type="gramStart"/>
      <w:r w:rsidRPr="005E50B5">
        <w:rPr>
          <w:sz w:val="18"/>
          <w:szCs w:val="18"/>
          <w:lang w:val="en-GB"/>
        </w:rPr>
        <w:t>,</w:t>
      </w:r>
      <w:proofErr w:type="gramEnd"/>
      <w:r w:rsidRPr="005E50B5">
        <w:rPr>
          <w:sz w:val="18"/>
          <w:szCs w:val="18"/>
          <w:lang w:val="en-GB"/>
        </w:rPr>
        <w:t xml:space="preserve"> therefore the trend could not be calculated for Russian regions</w:t>
      </w:r>
      <w:r>
        <w:rPr>
          <w:sz w:val="18"/>
          <w:szCs w:val="18"/>
          <w:lang w:val="en-GB"/>
        </w:rPr>
        <w:t>.</w:t>
      </w:r>
    </w:p>
  </w:footnote>
  <w:footnote w:id="22">
    <w:p w14:paraId="6A0E3AAB"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Between 2005 and 2012, the population of ENI CBC programme eligible areas of Armenia decreased by 8%, of Bulgaria by 5%, of Romania by 11%, of Ukraine by 5%.</w:t>
      </w:r>
    </w:p>
  </w:footnote>
  <w:footnote w:id="23">
    <w:p w14:paraId="004B18B2" w14:textId="77777777" w:rsidR="00674231" w:rsidRPr="00F04553" w:rsidRDefault="00674231" w:rsidP="00443135">
      <w:pPr>
        <w:pStyle w:val="FootnoteText"/>
        <w:rPr>
          <w:lang w:val="en-GB"/>
        </w:rPr>
      </w:pPr>
      <w:r>
        <w:rPr>
          <w:rStyle w:val="FootnoteReference"/>
        </w:rPr>
        <w:footnoteRef/>
      </w:r>
      <w:r w:rsidRPr="00F04553">
        <w:rPr>
          <w:lang w:val="en-GB"/>
        </w:rPr>
        <w:t xml:space="preserve"> </w:t>
      </w:r>
      <w:r w:rsidRPr="00233677">
        <w:rPr>
          <w:rFonts w:cs="Helvetica Neue"/>
          <w:sz w:val="18"/>
          <w:szCs w:val="18"/>
          <w:lang w:val="en-GB"/>
        </w:rPr>
        <w:t>Up</w:t>
      </w:r>
      <w:r>
        <w:rPr>
          <w:rFonts w:cs="Helvetica Neue"/>
          <w:sz w:val="18"/>
          <w:szCs w:val="18"/>
          <w:lang w:val="en-GB"/>
        </w:rPr>
        <w:t>dated on 6</w:t>
      </w:r>
      <w:r w:rsidRPr="00233677">
        <w:rPr>
          <w:rFonts w:cs="Helvetica Neue"/>
          <w:sz w:val="18"/>
          <w:szCs w:val="18"/>
          <w:lang w:val="en-GB"/>
        </w:rPr>
        <w:t xml:space="preserve"> May 2015 to reflect</w:t>
      </w:r>
      <w:r w:rsidRPr="003331F7">
        <w:rPr>
          <w:rFonts w:cs="Helvetica Neue"/>
          <w:sz w:val="18"/>
          <w:szCs w:val="18"/>
          <w:lang w:val="en-GB"/>
        </w:rPr>
        <w:t xml:space="preserve"> </w:t>
      </w:r>
      <w:r>
        <w:rPr>
          <w:rFonts w:cs="Helvetica Neue"/>
          <w:sz w:val="18"/>
          <w:szCs w:val="18"/>
          <w:lang w:val="en-GB"/>
        </w:rPr>
        <w:t xml:space="preserve">recent </w:t>
      </w:r>
      <w:r w:rsidRPr="003331F7">
        <w:rPr>
          <w:rFonts w:cs="Helvetica Neue"/>
          <w:sz w:val="18"/>
          <w:szCs w:val="18"/>
          <w:lang w:val="en-GB"/>
        </w:rPr>
        <w:t>developments</w:t>
      </w:r>
    </w:p>
  </w:footnote>
  <w:footnote w:id="24">
    <w:p w14:paraId="3EEDAB95" w14:textId="77777777" w:rsidR="00674231" w:rsidRPr="005E50B5" w:rsidRDefault="00674231" w:rsidP="005072B1">
      <w:pPr>
        <w:pStyle w:val="FootnoteText"/>
        <w:rPr>
          <w:sz w:val="18"/>
          <w:szCs w:val="18"/>
          <w:lang w:val="en-GB"/>
        </w:rPr>
      </w:pPr>
      <w:r w:rsidRPr="005E50B5">
        <w:rPr>
          <w:rStyle w:val="FootnoteReference"/>
          <w:sz w:val="18"/>
          <w:szCs w:val="18"/>
        </w:rPr>
        <w:footnoteRef/>
      </w:r>
      <w:r w:rsidRPr="005E50B5">
        <w:rPr>
          <w:sz w:val="18"/>
          <w:szCs w:val="18"/>
          <w:lang w:val="en-GB"/>
        </w:rPr>
        <w:t xml:space="preserve"> Net migration = </w:t>
      </w:r>
      <w:r w:rsidRPr="005E50B5">
        <w:rPr>
          <w:rFonts w:cs="Helvetica Neue"/>
          <w:sz w:val="18"/>
          <w:szCs w:val="18"/>
          <w:lang w:val="en-GB"/>
        </w:rPr>
        <w:t>total number of immigrants less the annual number of emigrants (including both citizens and noncitizens)</w:t>
      </w:r>
    </w:p>
  </w:footnote>
  <w:footnote w:id="25">
    <w:p w14:paraId="3EDC3777" w14:textId="77777777" w:rsidR="00674231" w:rsidRPr="005E50B5" w:rsidRDefault="00674231" w:rsidP="005072B1">
      <w:pPr>
        <w:pStyle w:val="FootnoteText"/>
        <w:rPr>
          <w:sz w:val="18"/>
          <w:szCs w:val="18"/>
          <w:lang w:val="en-GB"/>
        </w:rPr>
      </w:pPr>
      <w:r w:rsidRPr="005E50B5">
        <w:rPr>
          <w:rStyle w:val="FootnoteReference"/>
          <w:sz w:val="18"/>
          <w:szCs w:val="18"/>
        </w:rPr>
        <w:footnoteRef/>
      </w:r>
      <w:r w:rsidRPr="005E50B5">
        <w:rPr>
          <w:sz w:val="18"/>
          <w:szCs w:val="18"/>
          <w:lang w:val="en-GB"/>
        </w:rPr>
        <w:t xml:space="preserve"> Please note that figure 6 presents stacked GDP growth (both negative and positive) per year</w:t>
      </w:r>
    </w:p>
  </w:footnote>
  <w:footnote w:id="26">
    <w:p w14:paraId="21489CE2" w14:textId="77777777" w:rsidR="00674231" w:rsidRPr="005E50B5" w:rsidRDefault="00674231" w:rsidP="005072B1">
      <w:pPr>
        <w:pStyle w:val="FootnoteText"/>
        <w:rPr>
          <w:sz w:val="18"/>
          <w:szCs w:val="18"/>
          <w:lang w:val="en-GB"/>
        </w:rPr>
      </w:pPr>
      <w:r w:rsidRPr="005E50B5">
        <w:rPr>
          <w:rStyle w:val="FootnoteReference"/>
          <w:sz w:val="18"/>
          <w:szCs w:val="18"/>
        </w:rPr>
        <w:footnoteRef/>
      </w:r>
      <w:r w:rsidRPr="005E50B5">
        <w:rPr>
          <w:sz w:val="18"/>
          <w:szCs w:val="18"/>
          <w:lang w:val="en-GB"/>
        </w:rPr>
        <w:t xml:space="preserve"> According to World Bank classification</w:t>
      </w:r>
    </w:p>
  </w:footnote>
  <w:footnote w:id="27">
    <w:p w14:paraId="79B75CF8"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See figures 1,</w:t>
      </w:r>
      <w:r>
        <w:rPr>
          <w:sz w:val="18"/>
          <w:szCs w:val="18"/>
          <w:lang w:val="en-GB"/>
        </w:rPr>
        <w:t xml:space="preserve"> </w:t>
      </w:r>
      <w:r w:rsidRPr="005E50B5">
        <w:rPr>
          <w:sz w:val="18"/>
          <w:szCs w:val="18"/>
          <w:lang w:val="en-GB"/>
        </w:rPr>
        <w:t>2 and 5 for more details</w:t>
      </w:r>
    </w:p>
  </w:footnote>
  <w:footnote w:id="28">
    <w:p w14:paraId="0A769241"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SMEs : &lt;250 employees, &lt; €50 m turnover or &lt;€43m balance sheet total (as defined by the EC)</w:t>
      </w:r>
    </w:p>
  </w:footnote>
  <w:footnote w:id="29">
    <w:p w14:paraId="01D57A58" w14:textId="5D0C02B3" w:rsidR="00674231" w:rsidRPr="005E50B5" w:rsidRDefault="00674231" w:rsidP="005A08E1">
      <w:pPr>
        <w:pStyle w:val="FootnoteText"/>
        <w:jc w:val="both"/>
        <w:rPr>
          <w:sz w:val="18"/>
          <w:szCs w:val="18"/>
          <w:lang w:val="en-GB"/>
        </w:rPr>
      </w:pPr>
      <w:r w:rsidRPr="005E50B5">
        <w:rPr>
          <w:rStyle w:val="FootnoteReference"/>
          <w:sz w:val="18"/>
          <w:szCs w:val="18"/>
        </w:rPr>
        <w:footnoteRef/>
      </w:r>
      <w:r>
        <w:rPr>
          <w:sz w:val="18"/>
          <w:szCs w:val="18"/>
          <w:lang w:val="en-GB"/>
        </w:rPr>
        <w:t xml:space="preserve"> B</w:t>
      </w:r>
      <w:r w:rsidRPr="005E50B5">
        <w:rPr>
          <w:sz w:val="18"/>
          <w:szCs w:val="18"/>
          <w:lang w:val="en-GB"/>
        </w:rPr>
        <w:t>ased on data provided by participating countries</w:t>
      </w:r>
      <w:r>
        <w:rPr>
          <w:sz w:val="18"/>
          <w:szCs w:val="18"/>
          <w:lang w:val="en-GB"/>
        </w:rPr>
        <w:t xml:space="preserve"> (gathered by country representatives in the Joint Programming Committee)</w:t>
      </w:r>
      <w:r w:rsidRPr="005E50B5">
        <w:rPr>
          <w:sz w:val="18"/>
          <w:szCs w:val="18"/>
          <w:lang w:val="en-GB"/>
        </w:rPr>
        <w:t>; data for Georgia &lt; 100 emplo</w:t>
      </w:r>
      <w:r>
        <w:rPr>
          <w:sz w:val="18"/>
          <w:szCs w:val="18"/>
          <w:lang w:val="en-GB"/>
        </w:rPr>
        <w:t>yees </w:t>
      </w:r>
    </w:p>
  </w:footnote>
  <w:footnote w:id="30">
    <w:p w14:paraId="75C33451"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Value added =</w:t>
      </w:r>
      <w:r w:rsidRPr="005E50B5">
        <w:rPr>
          <w:rStyle w:val="field-content"/>
          <w:rFonts w:eastAsia="Times New Roman" w:cs="Times New Roman"/>
          <w:sz w:val="18"/>
          <w:szCs w:val="18"/>
          <w:lang w:val="en-GB"/>
        </w:rPr>
        <w:t xml:space="preserve"> </w:t>
      </w:r>
      <w:r w:rsidRPr="005E50B5">
        <w:rPr>
          <w:rFonts w:eastAsia="Times New Roman" w:cs="Arial"/>
          <w:sz w:val="18"/>
          <w:szCs w:val="18"/>
          <w:lang w:val="en-GB"/>
        </w:rPr>
        <w:t>the value of output less the value of intermediate consumption. It is a measure of the contribution to GDP made by an individual producer, industry or sector.</w:t>
      </w:r>
    </w:p>
  </w:footnote>
  <w:footnote w:id="31">
    <w:p w14:paraId="5CBB0A07"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Trade openness ratio = trade-to-GDP ratio = the average of total trade (i.e. the sum of exports and imports of goods and services) relative to GDP. </w:t>
      </w:r>
      <w:r w:rsidRPr="005E50B5">
        <w:rPr>
          <w:rFonts w:eastAsia="Times New Roman" w:cs="Times New Roman"/>
          <w:sz w:val="18"/>
          <w:szCs w:val="18"/>
          <w:lang w:val="en-GB"/>
        </w:rPr>
        <w:t>It is used to measure the importance of international transactions relative to domestic transactions.</w:t>
      </w:r>
    </w:p>
  </w:footnote>
  <w:footnote w:id="32">
    <w:p w14:paraId="15025B86" w14:textId="10D6F017" w:rsidR="00674231" w:rsidRPr="005E50B5" w:rsidRDefault="00674231" w:rsidP="00311B02">
      <w:pPr>
        <w:pStyle w:val="FootnoteText"/>
        <w:rPr>
          <w:sz w:val="18"/>
          <w:szCs w:val="18"/>
          <w:lang w:val="en-GB"/>
        </w:rPr>
      </w:pPr>
      <w:r w:rsidRPr="005E50B5">
        <w:rPr>
          <w:rStyle w:val="FootnoteReference"/>
          <w:sz w:val="18"/>
          <w:szCs w:val="18"/>
        </w:rPr>
        <w:footnoteRef/>
      </w:r>
      <w:r w:rsidRPr="005E50B5">
        <w:rPr>
          <w:sz w:val="18"/>
          <w:szCs w:val="18"/>
          <w:lang w:val="en-GB"/>
        </w:rPr>
        <w:t xml:space="preserve"> Regional data m</w:t>
      </w:r>
      <w:r>
        <w:rPr>
          <w:sz w:val="18"/>
          <w:szCs w:val="18"/>
          <w:lang w:val="en-GB"/>
        </w:rPr>
        <w:t>issing for Ukraine</w:t>
      </w:r>
      <w:r w:rsidRPr="005E50B5">
        <w:rPr>
          <w:sz w:val="18"/>
          <w:szCs w:val="18"/>
          <w:lang w:val="en-GB"/>
        </w:rPr>
        <w:t>; data missing for Armenia</w:t>
      </w:r>
    </w:p>
  </w:footnote>
  <w:footnote w:id="33">
    <w:p w14:paraId="5BAE1C15" w14:textId="77777777" w:rsidR="00674231" w:rsidRPr="005E50B5" w:rsidRDefault="00674231" w:rsidP="005072B1">
      <w:pPr>
        <w:pStyle w:val="FootnoteText"/>
        <w:rPr>
          <w:sz w:val="18"/>
          <w:szCs w:val="18"/>
          <w:lang w:val="en-GB"/>
        </w:rPr>
      </w:pPr>
      <w:r w:rsidRPr="005E50B5">
        <w:rPr>
          <w:rStyle w:val="FootnoteReference"/>
          <w:sz w:val="18"/>
          <w:szCs w:val="18"/>
        </w:rPr>
        <w:footnoteRef/>
      </w:r>
      <w:r w:rsidRPr="005E50B5">
        <w:rPr>
          <w:sz w:val="18"/>
          <w:szCs w:val="18"/>
          <w:lang w:val="en-GB"/>
        </w:rPr>
        <w:t xml:space="preserve"> Note that regional data is missing for several countries</w:t>
      </w:r>
    </w:p>
  </w:footnote>
  <w:footnote w:id="34">
    <w:p w14:paraId="41782CAB" w14:textId="3CD2F999" w:rsidR="00674231" w:rsidRPr="005E50B5" w:rsidRDefault="00674231" w:rsidP="00D16147">
      <w:pPr>
        <w:spacing w:after="0"/>
        <w:rPr>
          <w:rFonts w:eastAsia="Times New Roman" w:cs="Times New Roman"/>
          <w:sz w:val="18"/>
          <w:szCs w:val="18"/>
          <w:lang w:val="en-GB"/>
        </w:rPr>
      </w:pPr>
      <w:r w:rsidRPr="005E50B5">
        <w:rPr>
          <w:rStyle w:val="FootnoteReference"/>
          <w:sz w:val="18"/>
          <w:szCs w:val="18"/>
        </w:rPr>
        <w:footnoteRef/>
      </w:r>
      <w:r w:rsidRPr="005E50B5">
        <w:rPr>
          <w:sz w:val="18"/>
          <w:szCs w:val="18"/>
          <w:lang w:val="en-GB"/>
        </w:rPr>
        <w:t xml:space="preserve"> </w:t>
      </w:r>
      <w:r w:rsidRPr="005E50B5">
        <w:rPr>
          <w:rFonts w:eastAsia="Times New Roman" w:cs="Times New Roman"/>
          <w:sz w:val="18"/>
          <w:szCs w:val="18"/>
          <w:lang w:val="en-GB"/>
        </w:rPr>
        <w:t>Tertiary education includes academic education as well as advanced vocational or professional education.</w:t>
      </w:r>
      <w:r>
        <w:rPr>
          <w:rFonts w:eastAsia="Times New Roman" w:cs="Times New Roman"/>
          <w:sz w:val="18"/>
          <w:szCs w:val="18"/>
          <w:lang w:val="en-GB"/>
        </w:rPr>
        <w:t xml:space="preserve"> </w:t>
      </w:r>
      <w:r w:rsidRPr="00AA07FB">
        <w:rPr>
          <w:rFonts w:eastAsia="Times New Roman" w:cs="Times New Roman"/>
          <w:sz w:val="18"/>
          <w:szCs w:val="18"/>
          <w:lang w:val="en-GB"/>
        </w:rPr>
        <w:t xml:space="preserve">Gross </w:t>
      </w:r>
      <w:proofErr w:type="spellStart"/>
      <w:r w:rsidRPr="00AA07FB">
        <w:rPr>
          <w:rFonts w:eastAsia="Times New Roman" w:cs="Times New Roman"/>
          <w:sz w:val="18"/>
          <w:szCs w:val="18"/>
          <w:lang w:val="en-GB"/>
        </w:rPr>
        <w:t>enrollment</w:t>
      </w:r>
      <w:proofErr w:type="spellEnd"/>
      <w:r w:rsidRPr="00AA07FB">
        <w:rPr>
          <w:rFonts w:eastAsia="Times New Roman" w:cs="Times New Roman"/>
          <w:sz w:val="18"/>
          <w:szCs w:val="18"/>
          <w:lang w:val="en-GB"/>
        </w:rPr>
        <w:t xml:space="preserve"> ratio for tertiary school is calculated by dividing the number of students enrolled in tertiary education regardless of age by the population of the age group which officially corresponds to tertiary education, and multiplying by 100.</w:t>
      </w:r>
    </w:p>
  </w:footnote>
  <w:footnote w:id="35">
    <w:p w14:paraId="3A566A32"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Note: regional information received doesn’t allow to draw a comprehensive picture</w:t>
      </w:r>
    </w:p>
  </w:footnote>
  <w:footnote w:id="36">
    <w:p w14:paraId="2034E458"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w:t>
      </w:r>
      <w:proofErr w:type="gramStart"/>
      <w:r w:rsidRPr="005E50B5">
        <w:rPr>
          <w:sz w:val="18"/>
          <w:szCs w:val="18"/>
          <w:lang w:val="en-GB"/>
        </w:rPr>
        <w:t>National data for average monthly rate, 2010.</w:t>
      </w:r>
      <w:proofErr w:type="gramEnd"/>
    </w:p>
  </w:footnote>
  <w:footnote w:id="37">
    <w:p w14:paraId="2828D831"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Draft Note : Data provided by participating countries are not comparable (sometimes including higher education institutions, even if they do not carry out research activities) so more precise figures cannot be given</w:t>
      </w:r>
    </w:p>
  </w:footnote>
  <w:footnote w:id="38">
    <w:p w14:paraId="41FA8992" w14:textId="77777777" w:rsidR="00674231" w:rsidRPr="005E50B5" w:rsidRDefault="00674231" w:rsidP="005A08E1">
      <w:pPr>
        <w:pStyle w:val="FootnoteText"/>
        <w:jc w:val="both"/>
        <w:rPr>
          <w:sz w:val="18"/>
          <w:szCs w:val="18"/>
          <w:lang w:val="en-GB"/>
        </w:rPr>
      </w:pPr>
      <w:r w:rsidRPr="005E50B5">
        <w:rPr>
          <w:sz w:val="18"/>
          <w:szCs w:val="18"/>
          <w:vertAlign w:val="superscript"/>
        </w:rPr>
        <w:footnoteRef/>
      </w:r>
      <w:r w:rsidRPr="005E50B5">
        <w:rPr>
          <w:sz w:val="18"/>
          <w:szCs w:val="18"/>
          <w:vertAlign w:val="superscript"/>
          <w:lang w:val="en-GB"/>
        </w:rPr>
        <w:t xml:space="preserve"> </w:t>
      </w:r>
      <w:r w:rsidRPr="005E50B5">
        <w:rPr>
          <w:sz w:val="18"/>
          <w:szCs w:val="18"/>
          <w:lang w:val="en-GB"/>
        </w:rPr>
        <w:t xml:space="preserve">The Commission on the Protection of the Black Sea Against Pollution (the Black Sea Commission) via its Permanent Secretariat is the intergovernmental body established in implementation of the </w:t>
      </w:r>
      <w:hyperlink r:id="rId5" w:history="1">
        <w:r w:rsidRPr="005E50B5">
          <w:rPr>
            <w:sz w:val="18"/>
            <w:szCs w:val="18"/>
            <w:lang w:val="en-GB"/>
          </w:rPr>
          <w:t>Convention on the Protection of the Black Sea Against Pollution</w:t>
        </w:r>
      </w:hyperlink>
      <w:r w:rsidRPr="005E50B5">
        <w:rPr>
          <w:sz w:val="18"/>
          <w:szCs w:val="18"/>
          <w:lang w:val="en-GB"/>
        </w:rPr>
        <w:t xml:space="preserve"> (Bucharest Convention)</w:t>
      </w:r>
    </w:p>
  </w:footnote>
  <w:footnote w:id="39">
    <w:p w14:paraId="437C819A"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MONINFO project supported by the EU (DG ENV)</w:t>
      </w:r>
    </w:p>
  </w:footnote>
  <w:footnote w:id="40">
    <w:p w14:paraId="1A84C970"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Established under the Convention on the Conservation of European Wildlife and Natural Habitats (the Bern convention) 1982</w:t>
      </w:r>
    </w:p>
  </w:footnote>
  <w:footnote w:id="41">
    <w:p w14:paraId="73309504"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Under the </w:t>
      </w:r>
      <w:r w:rsidRPr="005E50B5">
        <w:rPr>
          <w:bCs/>
          <w:sz w:val="18"/>
          <w:szCs w:val="18"/>
          <w:lang w:val="en-GB"/>
        </w:rPr>
        <w:t>Convention</w:t>
      </w:r>
      <w:r w:rsidRPr="005E50B5">
        <w:rPr>
          <w:sz w:val="18"/>
          <w:szCs w:val="18"/>
          <w:lang w:val="en-GB"/>
        </w:rPr>
        <w:t xml:space="preserve"> on the Protection of the </w:t>
      </w:r>
      <w:r w:rsidRPr="005E50B5">
        <w:rPr>
          <w:bCs/>
          <w:sz w:val="18"/>
          <w:szCs w:val="18"/>
          <w:lang w:val="en-GB"/>
        </w:rPr>
        <w:t>Black Sea</w:t>
      </w:r>
      <w:r w:rsidRPr="005E50B5">
        <w:rPr>
          <w:sz w:val="18"/>
          <w:szCs w:val="18"/>
          <w:lang w:val="en-GB"/>
        </w:rPr>
        <w:t xml:space="preserve"> Against Pollution 1992</w:t>
      </w:r>
    </w:p>
  </w:footnote>
  <w:footnote w:id="42">
    <w:p w14:paraId="29D1B7A9"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w:t>
      </w:r>
      <w:proofErr w:type="gramStart"/>
      <w:r w:rsidRPr="005E50B5">
        <w:rPr>
          <w:sz w:val="18"/>
          <w:szCs w:val="18"/>
          <w:lang w:val="en-GB"/>
        </w:rPr>
        <w:t xml:space="preserve">In their declaration of October 2010 in </w:t>
      </w:r>
      <w:proofErr w:type="spellStart"/>
      <w:r w:rsidRPr="005E50B5">
        <w:rPr>
          <w:rFonts w:cs="Times New Roman"/>
          <w:sz w:val="18"/>
          <w:szCs w:val="18"/>
          <w:lang w:val="en-GB"/>
        </w:rPr>
        <w:t>Nafplion</w:t>
      </w:r>
      <w:proofErr w:type="spellEnd"/>
      <w:r w:rsidRPr="005E50B5">
        <w:rPr>
          <w:rFonts w:cs="Times New Roman"/>
          <w:sz w:val="18"/>
          <w:szCs w:val="18"/>
          <w:lang w:val="en-GB"/>
        </w:rPr>
        <w:t xml:space="preserve"> (Greece).</w:t>
      </w:r>
      <w:proofErr w:type="gramEnd"/>
      <w:r w:rsidRPr="005E50B5">
        <w:rPr>
          <w:rFonts w:cs="Times New Roman"/>
          <w:sz w:val="18"/>
          <w:szCs w:val="18"/>
          <w:lang w:val="en-GB"/>
        </w:rPr>
        <w:t xml:space="preserve"> BSEC</w:t>
      </w:r>
      <w:r w:rsidRPr="005E50B5">
        <w:rPr>
          <w:sz w:val="18"/>
          <w:szCs w:val="18"/>
          <w:lang w:val="en-GB"/>
        </w:rPr>
        <w:t xml:space="preserve"> (Black Sea Economic Cooperation) members include Albania, Armenia, Azerbaijan, Bulgaria, Georgia, Greece, Moldova, Romania, Russia, Turkey and Ukraine.</w:t>
      </w:r>
    </w:p>
  </w:footnote>
  <w:footnote w:id="43">
    <w:p w14:paraId="6D7F95F3"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Note that regional data for Russia is missing</w:t>
      </w:r>
    </w:p>
  </w:footnote>
  <w:footnote w:id="44">
    <w:p w14:paraId="52A87706"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w:t>
      </w:r>
      <w:proofErr w:type="gramStart"/>
      <w:r w:rsidRPr="005E50B5">
        <w:rPr>
          <w:sz w:val="18"/>
          <w:szCs w:val="18"/>
          <w:lang w:val="en-GB"/>
        </w:rPr>
        <w:t>In 2008, deaths per 100,000 population.</w:t>
      </w:r>
      <w:proofErr w:type="gramEnd"/>
      <w:r w:rsidRPr="005E50B5">
        <w:rPr>
          <w:sz w:val="18"/>
          <w:szCs w:val="18"/>
          <w:lang w:val="en-GB"/>
        </w:rPr>
        <w:t xml:space="preserve"> Highest rates - Armenia: 182, Romania: 145; Lowest rates - Turkey: 118, Georgia: 97 (WHO)</w:t>
      </w:r>
    </w:p>
  </w:footnote>
  <w:footnote w:id="45">
    <w:p w14:paraId="23EB02D0" w14:textId="67637C1C" w:rsidR="00674231" w:rsidRPr="005E50B5" w:rsidRDefault="00674231" w:rsidP="00D16147">
      <w:pPr>
        <w:pStyle w:val="FootnoteText"/>
        <w:rPr>
          <w:sz w:val="18"/>
          <w:szCs w:val="18"/>
          <w:lang w:val="en-GB"/>
        </w:rPr>
      </w:pPr>
      <w:r w:rsidRPr="005E50B5">
        <w:rPr>
          <w:rStyle w:val="FootnoteReference"/>
          <w:sz w:val="18"/>
          <w:szCs w:val="18"/>
        </w:rPr>
        <w:footnoteRef/>
      </w:r>
      <w:r>
        <w:rPr>
          <w:sz w:val="18"/>
          <w:szCs w:val="18"/>
          <w:lang w:val="en-GB"/>
        </w:rPr>
        <w:t xml:space="preserve"> M</w:t>
      </w:r>
      <w:r w:rsidRPr="005E50B5">
        <w:rPr>
          <w:sz w:val="18"/>
          <w:szCs w:val="18"/>
          <w:lang w:val="en-GB"/>
        </w:rPr>
        <w:t>aternal mortality in Turkey was divided by two between 2000 and 2010</w:t>
      </w:r>
    </w:p>
  </w:footnote>
  <w:footnote w:id="46">
    <w:p w14:paraId="09D7B30B"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Maternal mortality = ratio of the number of maternal deaths to the number of live births; Adolescent fertility = number of births to women ages 15–19 per 1,000 women ages 15–19</w:t>
      </w:r>
    </w:p>
  </w:footnote>
  <w:footnote w:id="47">
    <w:p w14:paraId="32FC596E"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UNDP gender inequality index is based on reproductive health (maternal mortality, adolescent fertility), empowerment (educational attainment, parliamentary representation) and labour force representation data</w:t>
      </w:r>
    </w:p>
  </w:footnote>
  <w:footnote w:id="48">
    <w:p w14:paraId="15FF9FCA"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Indicator on quality of port infrastructure included in the Global Competitiveness Index of the World Economic Forum, 2012-2013 report</w:t>
      </w:r>
    </w:p>
  </w:footnote>
  <w:footnote w:id="49">
    <w:p w14:paraId="0AA1BF29"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In July 2010 report on ports and maritime links, produced by the ‘Motorways of the Sea for the Black Sea and Caspian Sea’ project financed by EU’s TRACECA programme</w:t>
      </w:r>
    </w:p>
  </w:footnote>
  <w:footnote w:id="50">
    <w:p w14:paraId="7A2F32E6" w14:textId="77777777" w:rsidR="00674231" w:rsidRPr="005E50B5" w:rsidRDefault="00674231" w:rsidP="00D16147">
      <w:pPr>
        <w:pStyle w:val="FootnoteText"/>
        <w:rPr>
          <w:sz w:val="18"/>
          <w:szCs w:val="18"/>
          <w:lang w:val="en-GB"/>
        </w:rPr>
      </w:pPr>
      <w:r w:rsidRPr="005E50B5">
        <w:rPr>
          <w:rStyle w:val="FootnoteReference"/>
          <w:sz w:val="18"/>
          <w:szCs w:val="18"/>
        </w:rPr>
        <w:footnoteRef/>
      </w:r>
      <w:r w:rsidRPr="005E50B5">
        <w:rPr>
          <w:sz w:val="18"/>
          <w:szCs w:val="18"/>
          <w:lang w:val="en-GB"/>
        </w:rPr>
        <w:t xml:space="preserve"> Black Sea Partner Countries include Armenia, Azerbaijan, Belarus, Georgia, </w:t>
      </w:r>
      <w:r>
        <w:rPr>
          <w:sz w:val="18"/>
          <w:szCs w:val="18"/>
          <w:lang w:val="en-GB"/>
        </w:rPr>
        <w:t xml:space="preserve">Republic of </w:t>
      </w:r>
      <w:r w:rsidRPr="005E50B5">
        <w:rPr>
          <w:sz w:val="18"/>
          <w:szCs w:val="18"/>
          <w:lang w:val="en-GB"/>
        </w:rPr>
        <w:t>Moldova and Ukraine</w:t>
      </w:r>
    </w:p>
  </w:footnote>
  <w:footnote w:id="51">
    <w:p w14:paraId="7FC0ABCB" w14:textId="77777777" w:rsidR="00674231" w:rsidRPr="001B1DD8" w:rsidRDefault="00674231" w:rsidP="00500E6E">
      <w:pPr>
        <w:pStyle w:val="FootnoteText"/>
        <w:rPr>
          <w:sz w:val="18"/>
          <w:szCs w:val="18"/>
          <w:lang w:val="en-GB"/>
        </w:rPr>
      </w:pPr>
      <w:r w:rsidRPr="001B1DD8">
        <w:rPr>
          <w:rStyle w:val="FootnoteReference"/>
          <w:sz w:val="18"/>
          <w:szCs w:val="18"/>
        </w:rPr>
        <w:footnoteRef/>
      </w:r>
      <w:r w:rsidRPr="001B1DD8">
        <w:rPr>
          <w:sz w:val="18"/>
          <w:szCs w:val="18"/>
          <w:lang w:val="en-GB"/>
        </w:rPr>
        <w:t xml:space="preserve"> See a summary annexed to the programme (Annex 1)</w:t>
      </w:r>
    </w:p>
  </w:footnote>
  <w:footnote w:id="52">
    <w:p w14:paraId="1D8B8FE5" w14:textId="77777777" w:rsidR="00674231" w:rsidRPr="00682784" w:rsidRDefault="00674231">
      <w:pPr>
        <w:pStyle w:val="FootnoteText"/>
        <w:rPr>
          <w:lang w:val="en-GB"/>
        </w:rPr>
      </w:pPr>
      <w:r>
        <w:rPr>
          <w:rStyle w:val="FootnoteReference"/>
        </w:rPr>
        <w:footnoteRef/>
      </w:r>
      <w:r w:rsidRPr="00682784">
        <w:rPr>
          <w:lang w:val="en-GB"/>
        </w:rPr>
        <w:t xml:space="preserve"> </w:t>
      </w:r>
      <w:r w:rsidRPr="007F181A">
        <w:rPr>
          <w:sz w:val="18"/>
          <w:szCs w:val="18"/>
          <w:lang w:val="en-GB"/>
        </w:rPr>
        <w:t>See a summary annexed to the programme</w:t>
      </w:r>
      <w:r>
        <w:rPr>
          <w:sz w:val="18"/>
          <w:szCs w:val="18"/>
          <w:lang w:val="en-GB"/>
        </w:rPr>
        <w:t xml:space="preserve"> (Annex 1)</w:t>
      </w:r>
    </w:p>
  </w:footnote>
  <w:footnote w:id="53">
    <w:p w14:paraId="0E1C157E" w14:textId="77777777" w:rsidR="00674231" w:rsidRPr="003477F9" w:rsidRDefault="00674231">
      <w:pPr>
        <w:pStyle w:val="FootnoteText"/>
        <w:rPr>
          <w:lang w:val="en-GB"/>
        </w:rPr>
      </w:pPr>
      <w:r>
        <w:rPr>
          <w:rStyle w:val="FootnoteReference"/>
        </w:rPr>
        <w:footnoteRef/>
      </w:r>
      <w:r w:rsidRPr="006E2C3C">
        <w:rPr>
          <w:lang w:val="en-GB"/>
        </w:rPr>
        <w:t xml:space="preserve"> </w:t>
      </w:r>
      <w:r w:rsidRPr="007F181A">
        <w:rPr>
          <w:sz w:val="18"/>
          <w:szCs w:val="18"/>
          <w:lang w:val="en-GB"/>
        </w:rPr>
        <w:t>See a summary annexed to the programme</w:t>
      </w:r>
      <w:r>
        <w:rPr>
          <w:sz w:val="18"/>
          <w:szCs w:val="18"/>
          <w:lang w:val="en-GB"/>
        </w:rPr>
        <w:t xml:space="preserve"> (Annex 2)</w:t>
      </w:r>
    </w:p>
  </w:footnote>
  <w:footnote w:id="54">
    <w:p w14:paraId="66713952" w14:textId="77777777" w:rsidR="00674231" w:rsidRPr="004725B0" w:rsidRDefault="00674231">
      <w:pPr>
        <w:pStyle w:val="FootnoteText"/>
        <w:rPr>
          <w:lang w:val="en-GB"/>
        </w:rPr>
      </w:pPr>
      <w:r>
        <w:rPr>
          <w:rStyle w:val="FootnoteReference"/>
        </w:rPr>
        <w:footnoteRef/>
      </w:r>
      <w:r w:rsidRPr="004725B0">
        <w:rPr>
          <w:lang w:val="en-GB"/>
        </w:rPr>
        <w:t xml:space="preserve"> </w:t>
      </w:r>
      <w:r w:rsidRPr="004725B0">
        <w:rPr>
          <w:sz w:val="18"/>
          <w:szCs w:val="18"/>
          <w:lang w:val="en-GB"/>
        </w:rPr>
        <w:t>List of thematic objectives and priorities as available at the time in the draft version of the Programming document</w:t>
      </w:r>
    </w:p>
  </w:footnote>
  <w:footnote w:id="55">
    <w:p w14:paraId="3CCC5AA4"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Note, however, that health issues were sometimes included by stakeholders under Thematic Objective 4</w:t>
      </w:r>
    </w:p>
  </w:footnote>
  <w:footnote w:id="56">
    <w:p w14:paraId="06BE232B" w14:textId="77777777" w:rsidR="00674231" w:rsidRPr="005E50B5" w:rsidRDefault="00674231">
      <w:pPr>
        <w:pStyle w:val="FootnoteText"/>
        <w:rPr>
          <w:sz w:val="18"/>
          <w:szCs w:val="18"/>
          <w:lang w:val="en-GB"/>
        </w:rPr>
      </w:pPr>
      <w:r w:rsidRPr="005E50B5">
        <w:rPr>
          <w:rStyle w:val="FootnoteReference"/>
          <w:sz w:val="18"/>
          <w:szCs w:val="18"/>
        </w:rPr>
        <w:footnoteRef/>
      </w:r>
      <w:r w:rsidRPr="005E50B5">
        <w:rPr>
          <w:sz w:val="18"/>
          <w:szCs w:val="18"/>
          <w:lang w:val="en-GB"/>
        </w:rPr>
        <w:t xml:space="preserve"> Only relevant re</w:t>
      </w:r>
      <w:r>
        <w:rPr>
          <w:sz w:val="18"/>
          <w:szCs w:val="18"/>
          <w:lang w:val="en-GB"/>
        </w:rPr>
        <w:t>gional programmes &gt; €10 million</w:t>
      </w:r>
      <w:r w:rsidRPr="005E50B5">
        <w:rPr>
          <w:sz w:val="18"/>
          <w:szCs w:val="18"/>
          <w:lang w:val="en-GB"/>
        </w:rPr>
        <w:t xml:space="preserve"> were included </w:t>
      </w:r>
    </w:p>
  </w:footnote>
  <w:footnote w:id="57">
    <w:p w14:paraId="4757D714" w14:textId="5D083470" w:rsidR="00674231" w:rsidRPr="005E50B5" w:rsidRDefault="00674231" w:rsidP="00F16F0A">
      <w:pPr>
        <w:pStyle w:val="FootnoteText"/>
        <w:rPr>
          <w:sz w:val="18"/>
          <w:szCs w:val="18"/>
          <w:lang w:val="en-GB"/>
        </w:rPr>
      </w:pPr>
      <w:r w:rsidRPr="005E50B5">
        <w:rPr>
          <w:rStyle w:val="FootnoteReference"/>
          <w:sz w:val="18"/>
          <w:szCs w:val="18"/>
        </w:rPr>
        <w:footnoteRef/>
      </w:r>
      <w:r w:rsidRPr="005E50B5">
        <w:rPr>
          <w:sz w:val="18"/>
          <w:szCs w:val="18"/>
          <w:lang w:val="en-GB"/>
        </w:rPr>
        <w:t xml:space="preserve"> Including aquaculture, food industry and agro-industry</w:t>
      </w:r>
    </w:p>
  </w:footnote>
  <w:footnote w:id="58">
    <w:p w14:paraId="4B283AC5" w14:textId="775E724A" w:rsidR="00674231" w:rsidRPr="008F2FAE" w:rsidRDefault="00674231">
      <w:pPr>
        <w:pStyle w:val="FootnoteText"/>
        <w:rPr>
          <w:sz w:val="18"/>
          <w:szCs w:val="18"/>
          <w:lang w:val="en-GB"/>
        </w:rPr>
      </w:pPr>
      <w:r>
        <w:rPr>
          <w:rStyle w:val="FootnoteReference"/>
        </w:rPr>
        <w:footnoteRef/>
      </w:r>
      <w:r w:rsidRPr="001E5BE2">
        <w:rPr>
          <w:lang w:val="en-GB"/>
        </w:rPr>
        <w:t xml:space="preserve"> </w:t>
      </w:r>
      <w:r w:rsidRPr="0022333B">
        <w:rPr>
          <w:sz w:val="18"/>
          <w:szCs w:val="18"/>
          <w:lang w:val="en-GB"/>
        </w:rPr>
        <w:t>ENPARD: Eastern European Neighbourhood Programme for Agriculture and Rural Development</w:t>
      </w:r>
      <w:r>
        <w:rPr>
          <w:sz w:val="18"/>
          <w:szCs w:val="18"/>
          <w:lang w:val="en-GB"/>
        </w:rPr>
        <w:t xml:space="preserve">, </w:t>
      </w:r>
      <w:r w:rsidRPr="008F2FAE">
        <w:rPr>
          <w:sz w:val="18"/>
          <w:szCs w:val="18"/>
          <w:lang w:val="en-GB"/>
        </w:rPr>
        <w:t>support partner countries in their agricultural and rural development</w:t>
      </w:r>
    </w:p>
  </w:footnote>
  <w:footnote w:id="59">
    <w:p w14:paraId="0FE2E56C" w14:textId="77777777" w:rsidR="00674231" w:rsidRPr="005E50B5" w:rsidRDefault="00674231" w:rsidP="00F16F0A">
      <w:pPr>
        <w:spacing w:after="0" w:line="240" w:lineRule="auto"/>
        <w:jc w:val="both"/>
        <w:rPr>
          <w:sz w:val="18"/>
          <w:szCs w:val="18"/>
          <w:lang w:val="en-GB"/>
        </w:rPr>
      </w:pPr>
      <w:r w:rsidRPr="005E50B5">
        <w:rPr>
          <w:rStyle w:val="FootnoteReference"/>
          <w:sz w:val="18"/>
          <w:szCs w:val="18"/>
        </w:rPr>
        <w:footnoteRef/>
      </w:r>
      <w:r w:rsidRPr="005E50B5">
        <w:rPr>
          <w:sz w:val="18"/>
          <w:szCs w:val="18"/>
          <w:lang w:val="en-GB"/>
        </w:rPr>
        <w:t xml:space="preserve"> Marine litter is any persistent, manufactured or processed solid material discarded, disposed of or abandoned in the marine and coastal environment. Marine litter consists of items that have been made or used by people and deliberately discarded into the sea or rivers or on beaches; brought indirectly to the sea with rivers, sewage, storm water or winds; accidentally lost, including material lost at sea in bad weather (fishing gear, cargo); or deliberately left by people on beaches and shores. </w:t>
      </w:r>
      <w:proofErr w:type="gramStart"/>
      <w:r w:rsidRPr="005E50B5">
        <w:rPr>
          <w:sz w:val="18"/>
          <w:szCs w:val="18"/>
          <w:lang w:val="en-GB"/>
        </w:rPr>
        <w:t>Also known as marine debris.</w:t>
      </w:r>
      <w:proofErr w:type="gramEnd"/>
    </w:p>
  </w:footnote>
  <w:footnote w:id="60">
    <w:p w14:paraId="664D6136" w14:textId="20F8EB51" w:rsidR="00674231" w:rsidRPr="005E50B5" w:rsidRDefault="00674231" w:rsidP="000D5526">
      <w:pPr>
        <w:pStyle w:val="FootnoteText"/>
        <w:jc w:val="both"/>
        <w:rPr>
          <w:sz w:val="18"/>
          <w:szCs w:val="18"/>
          <w:lang w:val="en-GB"/>
        </w:rPr>
      </w:pPr>
      <w:r w:rsidRPr="005E50B5">
        <w:rPr>
          <w:rStyle w:val="FootnoteReference"/>
          <w:sz w:val="18"/>
          <w:szCs w:val="18"/>
        </w:rPr>
        <w:footnoteRef/>
      </w:r>
      <w:r w:rsidRPr="005E50B5">
        <w:rPr>
          <w:sz w:val="18"/>
          <w:szCs w:val="18"/>
          <w:lang w:val="en-GB"/>
        </w:rPr>
        <w:t>See ‘Complementarities and synergies’ for more details on the Commission for the Protection of the Black Sea Against Pollution (Black Sea Com</w:t>
      </w:r>
      <w:r>
        <w:rPr>
          <w:sz w:val="18"/>
          <w:szCs w:val="18"/>
          <w:lang w:val="en-GB"/>
        </w:rPr>
        <w:t>mission)</w:t>
      </w:r>
    </w:p>
  </w:footnote>
  <w:footnote w:id="61">
    <w:p w14:paraId="167A1282" w14:textId="77777777" w:rsidR="00674231" w:rsidRPr="005E50B5" w:rsidRDefault="00674231" w:rsidP="00F16F0A">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See report from the Black Sea Commission on Marine Litter in the Black Sea Region, 2009</w:t>
      </w:r>
    </w:p>
  </w:footnote>
  <w:footnote w:id="62">
    <w:p w14:paraId="6424B062" w14:textId="6564E2CE" w:rsidR="00674231" w:rsidRPr="00C619D3" w:rsidRDefault="00674231" w:rsidP="00F16F0A">
      <w:pPr>
        <w:pStyle w:val="FootnoteText"/>
        <w:rPr>
          <w:sz w:val="18"/>
          <w:szCs w:val="18"/>
          <w:lang w:val="pt-PT"/>
        </w:rPr>
      </w:pPr>
      <w:r w:rsidRPr="005E50B5">
        <w:rPr>
          <w:rStyle w:val="FootnoteReference"/>
          <w:sz w:val="18"/>
          <w:szCs w:val="18"/>
        </w:rPr>
        <w:footnoteRef/>
      </w:r>
      <w:r w:rsidRPr="00C619D3">
        <w:rPr>
          <w:sz w:val="18"/>
          <w:szCs w:val="18"/>
          <w:lang w:val="pt-PT"/>
        </w:rPr>
        <w:t xml:space="preserve"> Art. 4</w:t>
      </w:r>
      <w:r>
        <w:rPr>
          <w:sz w:val="18"/>
          <w:szCs w:val="18"/>
          <w:lang w:val="pt-PT"/>
        </w:rPr>
        <w:t xml:space="preserve"> – 3.</w:t>
      </w:r>
      <w:r w:rsidRPr="00C619D3">
        <w:rPr>
          <w:sz w:val="18"/>
          <w:szCs w:val="18"/>
          <w:lang w:val="pt-PT"/>
        </w:rPr>
        <w:t xml:space="preserve">c Regulations (EU) N° </w:t>
      </w:r>
      <w:r w:rsidRPr="00C619D3">
        <w:rPr>
          <w:rFonts w:cs="EUAlbertina"/>
          <w:bCs/>
          <w:sz w:val="18"/>
          <w:szCs w:val="18"/>
          <w:lang w:val="pt-PT"/>
        </w:rPr>
        <w:t>897/2014</w:t>
      </w:r>
    </w:p>
  </w:footnote>
  <w:footnote w:id="63">
    <w:p w14:paraId="6E8F916A" w14:textId="77777777" w:rsidR="00674231" w:rsidRPr="00682784" w:rsidRDefault="00674231">
      <w:pPr>
        <w:pStyle w:val="FootnoteText"/>
        <w:rPr>
          <w:sz w:val="18"/>
          <w:szCs w:val="18"/>
          <w:lang w:val="en-GB"/>
        </w:rPr>
      </w:pPr>
      <w:r w:rsidRPr="00350954">
        <w:rPr>
          <w:rStyle w:val="FootnoteReference"/>
          <w:sz w:val="18"/>
          <w:szCs w:val="18"/>
        </w:rPr>
        <w:footnoteRef/>
      </w:r>
      <w:r w:rsidRPr="00682784">
        <w:rPr>
          <w:sz w:val="18"/>
          <w:szCs w:val="18"/>
          <w:lang w:val="en-GB"/>
        </w:rPr>
        <w:t xml:space="preserve"> Note that COI 29 is used both for priorities 1.2 and 2.1</w:t>
      </w:r>
    </w:p>
  </w:footnote>
  <w:footnote w:id="64">
    <w:p w14:paraId="14CA8C57" w14:textId="09E10C48" w:rsidR="00674231" w:rsidRPr="00682784" w:rsidRDefault="00674231" w:rsidP="005A08E1">
      <w:pPr>
        <w:pStyle w:val="FootnoteText"/>
        <w:jc w:val="both"/>
        <w:rPr>
          <w:sz w:val="18"/>
          <w:szCs w:val="18"/>
          <w:lang w:val="en-GB"/>
        </w:rPr>
      </w:pPr>
      <w:r w:rsidRPr="00953164">
        <w:rPr>
          <w:rStyle w:val="FootnoteReference"/>
          <w:sz w:val="18"/>
          <w:szCs w:val="18"/>
        </w:rPr>
        <w:footnoteRef/>
      </w:r>
      <w:r w:rsidRPr="00682784">
        <w:rPr>
          <w:sz w:val="18"/>
          <w:szCs w:val="18"/>
          <w:lang w:val="en-GB"/>
        </w:rPr>
        <w:t xml:space="preserve"> D</w:t>
      </w:r>
      <w:r w:rsidRPr="00682784">
        <w:rPr>
          <w:rFonts w:cs="Times New Roman"/>
          <w:sz w:val="18"/>
          <w:szCs w:val="18"/>
          <w:lang w:val="en-GB"/>
        </w:rPr>
        <w:t>uring indicators monitoring process, tourism events and cultural events will be counted separat</w:t>
      </w:r>
      <w:r>
        <w:rPr>
          <w:rFonts w:cs="Times New Roman"/>
          <w:sz w:val="18"/>
          <w:szCs w:val="18"/>
          <w:lang w:val="en-GB"/>
        </w:rPr>
        <w:t>ely, as the latter might</w:t>
      </w:r>
      <w:r w:rsidRPr="00682784">
        <w:rPr>
          <w:rFonts w:cs="Times New Roman"/>
          <w:sz w:val="18"/>
          <w:szCs w:val="18"/>
          <w:lang w:val="en-GB"/>
        </w:rPr>
        <w:t xml:space="preserve"> become input for COI 8</w:t>
      </w:r>
    </w:p>
  </w:footnote>
  <w:footnote w:id="65">
    <w:p w14:paraId="2B7E95F9" w14:textId="62028A01" w:rsidR="00674231" w:rsidRPr="00C619D3" w:rsidRDefault="00674231">
      <w:pPr>
        <w:pStyle w:val="FootnoteText"/>
        <w:rPr>
          <w:lang w:val="en-GB"/>
        </w:rPr>
      </w:pPr>
      <w:r>
        <w:rPr>
          <w:rStyle w:val="FootnoteReference"/>
        </w:rPr>
        <w:footnoteRef/>
      </w:r>
      <w:r w:rsidRPr="00C619D3">
        <w:rPr>
          <w:lang w:val="en-GB"/>
        </w:rPr>
        <w:t xml:space="preserve"> </w:t>
      </w:r>
      <w:r w:rsidRPr="00C619D3">
        <w:rPr>
          <w:sz w:val="18"/>
          <w:szCs w:val="18"/>
          <w:lang w:val="en-GB"/>
        </w:rPr>
        <w:t xml:space="preserve">Survey carried out in May-June 2015. </w:t>
      </w:r>
      <w:proofErr w:type="spellStart"/>
      <w:r w:rsidRPr="00C619D3">
        <w:rPr>
          <w:sz w:val="18"/>
          <w:szCs w:val="18"/>
          <w:lang w:val="en-GB"/>
        </w:rPr>
        <w:t>Provisionnal</w:t>
      </w:r>
      <w:proofErr w:type="spellEnd"/>
      <w:r w:rsidRPr="00C619D3">
        <w:rPr>
          <w:sz w:val="18"/>
          <w:szCs w:val="18"/>
          <w:lang w:val="en-GB"/>
        </w:rPr>
        <w:t xml:space="preserve"> baseline and target values inserted in the table based on survey preliminary results, may be adjusted if necessary</w:t>
      </w:r>
      <w:r w:rsidRPr="00C619D3">
        <w:rPr>
          <w:lang w:val="en-GB"/>
        </w:rPr>
        <w:t xml:space="preserve">  </w:t>
      </w:r>
    </w:p>
  </w:footnote>
  <w:footnote w:id="66">
    <w:p w14:paraId="3976B0C2" w14:textId="77777777" w:rsidR="00674231" w:rsidRPr="005E50B5" w:rsidRDefault="00674231" w:rsidP="005A08E1">
      <w:pPr>
        <w:pStyle w:val="FootnoteText"/>
        <w:jc w:val="both"/>
        <w:rPr>
          <w:rStyle w:val="FootnoteReference"/>
          <w:sz w:val="18"/>
          <w:szCs w:val="18"/>
          <w:vertAlign w:val="baseline"/>
          <w:lang w:val="en-GB"/>
        </w:rPr>
      </w:pPr>
      <w:r w:rsidRPr="005E50B5">
        <w:rPr>
          <w:rStyle w:val="FootnoteReference"/>
          <w:sz w:val="18"/>
          <w:szCs w:val="18"/>
        </w:rPr>
        <w:footnoteRef/>
      </w:r>
      <w:r w:rsidRPr="005E50B5">
        <w:rPr>
          <w:rStyle w:val="FootnoteReference"/>
          <w:sz w:val="18"/>
          <w:szCs w:val="18"/>
          <w:vertAlign w:val="baseline"/>
          <w:lang w:val="en-GB"/>
        </w:rPr>
        <w:t xml:space="preserve"> MA: Managing Authority; </w:t>
      </w:r>
      <w:r>
        <w:rPr>
          <w:sz w:val="18"/>
          <w:szCs w:val="18"/>
          <w:lang w:val="en-GB"/>
        </w:rPr>
        <w:t>JTS</w:t>
      </w:r>
      <w:r w:rsidRPr="005E50B5">
        <w:rPr>
          <w:sz w:val="18"/>
          <w:szCs w:val="18"/>
          <w:lang w:val="en-GB"/>
        </w:rPr>
        <w:t xml:space="preserve">: Joint Technical Secretariat ; </w:t>
      </w:r>
      <w:r w:rsidRPr="005E50B5">
        <w:rPr>
          <w:rStyle w:val="FootnoteReference"/>
          <w:sz w:val="18"/>
          <w:szCs w:val="18"/>
          <w:vertAlign w:val="baseline"/>
          <w:lang w:val="en-GB"/>
        </w:rPr>
        <w:t>EC: European Commission; NA: National Authorities of participating countries </w:t>
      </w:r>
    </w:p>
  </w:footnote>
  <w:footnote w:id="67">
    <w:p w14:paraId="1967E370" w14:textId="7F1112E0"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Including for partner countries, countries having signed a Financing Agreement with the EU</w:t>
      </w:r>
    </w:p>
  </w:footnote>
  <w:footnote w:id="68">
    <w:p w14:paraId="418CF4D0" w14:textId="77777777" w:rsidR="00674231" w:rsidRPr="005E50B5" w:rsidRDefault="00674231" w:rsidP="002A26C5">
      <w:pPr>
        <w:pStyle w:val="FootnoteText"/>
        <w:rPr>
          <w:sz w:val="18"/>
          <w:szCs w:val="18"/>
          <w:lang w:val="en-GB"/>
        </w:rPr>
      </w:pPr>
      <w:r w:rsidRPr="005E50B5">
        <w:rPr>
          <w:rStyle w:val="FootnoteReference"/>
          <w:sz w:val="18"/>
          <w:szCs w:val="18"/>
        </w:rPr>
        <w:footnoteRef/>
      </w:r>
      <w:r w:rsidRPr="005E50B5">
        <w:rPr>
          <w:sz w:val="18"/>
          <w:szCs w:val="18"/>
          <w:lang w:val="en-GB"/>
        </w:rPr>
        <w:t xml:space="preserve"> Indicators provisionally developed, may still be revised</w:t>
      </w:r>
    </w:p>
  </w:footnote>
  <w:footnote w:id="69">
    <w:p w14:paraId="5798A115"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See further details under the section ‘BSB strategy definition’ of this document </w:t>
      </w:r>
    </w:p>
  </w:footnote>
  <w:footnote w:id="70">
    <w:p w14:paraId="15689473" w14:textId="4D0E0759"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Art. 45.1 </w:t>
      </w:r>
      <w:proofErr w:type="gramStart"/>
      <w:r w:rsidRPr="005E50B5">
        <w:rPr>
          <w:sz w:val="18"/>
          <w:szCs w:val="18"/>
          <w:lang w:val="en-GB"/>
        </w:rPr>
        <w:t>of</w:t>
      </w:r>
      <w:proofErr w:type="gramEnd"/>
      <w:r w:rsidRPr="005E50B5">
        <w:rPr>
          <w:sz w:val="18"/>
          <w:szCs w:val="18"/>
          <w:lang w:val="en-GB"/>
        </w:rPr>
        <w:t xml:space="preserve"> ENI CBC Regulation (EU) 897/2014. See section ‘Description of the Programme area’ of this document for more details on </w:t>
      </w:r>
      <w:r w:rsidRPr="002C30C5">
        <w:rPr>
          <w:sz w:val="18"/>
          <w:szCs w:val="18"/>
          <w:lang w:val="en-GB"/>
        </w:rPr>
        <w:t>participating countries.</w:t>
      </w:r>
    </w:p>
  </w:footnote>
  <w:footnote w:id="71">
    <w:p w14:paraId="6813AFE1"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5.33 and 6.7 Programming document 2014-20 ENI CBC  </w:t>
      </w:r>
    </w:p>
  </w:footnote>
  <w:footnote w:id="72">
    <w:p w14:paraId="564F3C1B" w14:textId="77777777" w:rsidR="00674231" w:rsidRPr="005E50B5" w:rsidRDefault="00674231" w:rsidP="005A08E1">
      <w:pPr>
        <w:pStyle w:val="FootnoteText"/>
        <w:jc w:val="both"/>
        <w:rPr>
          <w:rStyle w:val="FootnoteReference"/>
          <w:sz w:val="18"/>
          <w:szCs w:val="18"/>
          <w:vertAlign w:val="baseline"/>
          <w:lang w:val="en-GB"/>
        </w:rPr>
      </w:pPr>
      <w:r w:rsidRPr="005E50B5">
        <w:rPr>
          <w:rStyle w:val="FootnoteReference"/>
          <w:sz w:val="18"/>
          <w:szCs w:val="18"/>
        </w:rPr>
        <w:footnoteRef/>
      </w:r>
      <w:r w:rsidRPr="005E50B5">
        <w:rPr>
          <w:rStyle w:val="FootnoteReference"/>
          <w:sz w:val="18"/>
          <w:szCs w:val="18"/>
          <w:lang w:val="en-GB"/>
        </w:rPr>
        <w:t xml:space="preserve"> </w:t>
      </w:r>
      <w:r w:rsidRPr="005E50B5">
        <w:rPr>
          <w:rStyle w:val="FootnoteReference"/>
          <w:sz w:val="18"/>
          <w:szCs w:val="18"/>
          <w:vertAlign w:val="baseline"/>
          <w:lang w:val="en-GB"/>
        </w:rPr>
        <w:t>Ar</w:t>
      </w:r>
      <w:r w:rsidRPr="005E50B5">
        <w:rPr>
          <w:sz w:val="18"/>
          <w:szCs w:val="18"/>
          <w:lang w:val="en-GB"/>
        </w:rPr>
        <w:t xml:space="preserve">. 6.3 of ENI Regulation (EU) 232/2014 </w:t>
      </w:r>
      <w:proofErr w:type="spellStart"/>
      <w:r w:rsidRPr="005E50B5">
        <w:rPr>
          <w:sz w:val="18"/>
          <w:szCs w:val="18"/>
          <w:lang w:val="en-GB"/>
        </w:rPr>
        <w:t>refering</w:t>
      </w:r>
      <w:proofErr w:type="spellEnd"/>
      <w:r w:rsidRPr="005E50B5">
        <w:rPr>
          <w:sz w:val="18"/>
          <w:szCs w:val="18"/>
          <w:lang w:val="en-GB"/>
        </w:rPr>
        <w:t xml:space="preserve"> to </w:t>
      </w:r>
      <w:r w:rsidRPr="005E50B5">
        <w:rPr>
          <w:rStyle w:val="FootnoteReference"/>
          <w:sz w:val="18"/>
          <w:szCs w:val="18"/>
          <w:vertAlign w:val="baseline"/>
          <w:lang w:val="en-GB"/>
        </w:rPr>
        <w:t>EU Regulation N°236/2014 laying down common rules and procedures for the implementation of the Union's instruments for financing external action</w:t>
      </w:r>
      <w:r w:rsidRPr="005E50B5">
        <w:rPr>
          <w:sz w:val="18"/>
          <w:szCs w:val="18"/>
          <w:lang w:val="en-GB"/>
        </w:rPr>
        <w:t xml:space="preserve"> (Ar</w:t>
      </w:r>
      <w:r w:rsidRPr="005E50B5">
        <w:rPr>
          <w:rStyle w:val="FootnoteReference"/>
          <w:sz w:val="18"/>
          <w:szCs w:val="18"/>
          <w:vertAlign w:val="baseline"/>
          <w:lang w:val="en-GB"/>
        </w:rPr>
        <w:t>t 8.1, 8.7 and 9.1</w:t>
      </w:r>
      <w:r w:rsidRPr="005E50B5">
        <w:rPr>
          <w:sz w:val="18"/>
          <w:szCs w:val="18"/>
          <w:lang w:val="en-GB"/>
        </w:rPr>
        <w:t>)</w:t>
      </w:r>
    </w:p>
  </w:footnote>
  <w:footnote w:id="73">
    <w:p w14:paraId="38C1AAD4"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See section ‘Description of the Programme area’ of the strategy part of the JOP for further details on the programme area. </w:t>
      </w:r>
    </w:p>
  </w:footnote>
  <w:footnote w:id="74">
    <w:p w14:paraId="78C36ABE" w14:textId="77777777" w:rsidR="00674231" w:rsidRPr="005E50B5" w:rsidRDefault="00674231" w:rsidP="00C50F00">
      <w:pPr>
        <w:pStyle w:val="FootnoteText"/>
        <w:rPr>
          <w:sz w:val="18"/>
          <w:szCs w:val="18"/>
          <w:lang w:val="en-GB"/>
        </w:rPr>
      </w:pPr>
      <w:r w:rsidRPr="005E50B5">
        <w:rPr>
          <w:rStyle w:val="FootnoteReference"/>
          <w:sz w:val="18"/>
          <w:szCs w:val="18"/>
        </w:rPr>
        <w:footnoteRef/>
      </w:r>
      <w:r w:rsidRPr="005E50B5">
        <w:rPr>
          <w:sz w:val="18"/>
          <w:szCs w:val="18"/>
          <w:lang w:val="en-GB"/>
        </w:rPr>
        <w:t xml:space="preserve"> Art. 45.3 (a) of ENI CBC Regulation (EU) 897/2014</w:t>
      </w:r>
    </w:p>
  </w:footnote>
  <w:footnote w:id="75">
    <w:p w14:paraId="7BE2F228" w14:textId="77777777" w:rsidR="00674231" w:rsidRPr="005E50B5" w:rsidRDefault="00674231" w:rsidP="00C50F00">
      <w:pPr>
        <w:pStyle w:val="FootnoteText"/>
        <w:rPr>
          <w:sz w:val="18"/>
          <w:szCs w:val="18"/>
          <w:lang w:val="en-GB"/>
        </w:rPr>
      </w:pPr>
      <w:r w:rsidRPr="005E50B5">
        <w:rPr>
          <w:rStyle w:val="FootnoteReference"/>
          <w:sz w:val="18"/>
          <w:szCs w:val="18"/>
        </w:rPr>
        <w:footnoteRef/>
      </w:r>
      <w:r w:rsidRPr="005E50B5">
        <w:rPr>
          <w:sz w:val="18"/>
          <w:szCs w:val="18"/>
          <w:lang w:val="en-GB"/>
        </w:rPr>
        <w:t xml:space="preserve"> Art. 39 of ENI CBC Regulation (EU) 897/2014 and further restrictions agreed within ENI CBC BSB programme</w:t>
      </w:r>
    </w:p>
  </w:footnote>
  <w:footnote w:id="76">
    <w:p w14:paraId="4C70E18A" w14:textId="77777777" w:rsidR="00674231" w:rsidRPr="005E50B5" w:rsidRDefault="00674231" w:rsidP="00C50F00">
      <w:pPr>
        <w:pStyle w:val="FootnoteText"/>
        <w:rPr>
          <w:sz w:val="18"/>
          <w:szCs w:val="18"/>
          <w:lang w:val="en-GB"/>
        </w:rPr>
      </w:pPr>
      <w:r w:rsidRPr="005E50B5">
        <w:rPr>
          <w:rStyle w:val="FootnoteReference"/>
          <w:sz w:val="18"/>
          <w:szCs w:val="18"/>
        </w:rPr>
        <w:footnoteRef/>
      </w:r>
      <w:r w:rsidRPr="005E50B5">
        <w:rPr>
          <w:sz w:val="18"/>
          <w:szCs w:val="18"/>
          <w:lang w:val="en-GB"/>
        </w:rPr>
        <w:t xml:space="preserve"> Art. 40 of ENI CBC Regulation (EU) 897/2014</w:t>
      </w:r>
    </w:p>
  </w:footnote>
  <w:footnote w:id="77">
    <w:p w14:paraId="21895276" w14:textId="77777777" w:rsidR="00674231" w:rsidRPr="005E50B5" w:rsidRDefault="00674231" w:rsidP="00F16F0A">
      <w:pPr>
        <w:pStyle w:val="Default"/>
        <w:rPr>
          <w:rFonts w:asciiTheme="minorHAnsi" w:hAnsiTheme="minorHAnsi" w:cs="EUAlbertina"/>
          <w:sz w:val="18"/>
          <w:szCs w:val="18"/>
          <w:lang w:val="en-GB"/>
        </w:rPr>
      </w:pPr>
      <w:r w:rsidRPr="005E50B5">
        <w:rPr>
          <w:rStyle w:val="FootnoteReference"/>
          <w:rFonts w:asciiTheme="minorHAnsi" w:hAnsiTheme="minorHAnsi"/>
          <w:sz w:val="18"/>
          <w:szCs w:val="18"/>
        </w:rPr>
        <w:footnoteRef/>
      </w:r>
      <w:r w:rsidRPr="005E50B5">
        <w:rPr>
          <w:rFonts w:asciiTheme="minorHAnsi" w:hAnsiTheme="minorHAnsi"/>
          <w:sz w:val="18"/>
          <w:szCs w:val="18"/>
          <w:lang w:val="en-GB"/>
        </w:rPr>
        <w:t xml:space="preserve"> Art. 4.3 Regulations (EU) N° </w:t>
      </w:r>
      <w:r w:rsidRPr="005E50B5">
        <w:rPr>
          <w:rFonts w:asciiTheme="minorHAnsi" w:hAnsiTheme="minorHAnsi" w:cs="EUAlbertina"/>
          <w:bCs/>
          <w:sz w:val="18"/>
          <w:szCs w:val="18"/>
          <w:lang w:val="en-GB"/>
        </w:rPr>
        <w:t>897/2014</w:t>
      </w:r>
    </w:p>
  </w:footnote>
  <w:footnote w:id="78">
    <w:p w14:paraId="2C2D3EDA" w14:textId="77777777" w:rsidR="00674231" w:rsidRPr="00682784" w:rsidRDefault="00674231">
      <w:pPr>
        <w:pStyle w:val="FootnoteText"/>
        <w:rPr>
          <w:sz w:val="18"/>
          <w:szCs w:val="18"/>
          <w:lang w:val="en-GB"/>
        </w:rPr>
      </w:pPr>
      <w:r w:rsidRPr="005E50B5">
        <w:rPr>
          <w:rStyle w:val="FootnoteReference"/>
          <w:sz w:val="18"/>
          <w:szCs w:val="18"/>
        </w:rPr>
        <w:footnoteRef/>
      </w:r>
      <w:r w:rsidRPr="00682784">
        <w:rPr>
          <w:sz w:val="18"/>
          <w:szCs w:val="18"/>
          <w:lang w:val="en-GB"/>
        </w:rPr>
        <w:t xml:space="preserve"> </w:t>
      </w:r>
      <w:r w:rsidRPr="005E50B5">
        <w:rPr>
          <w:sz w:val="18"/>
          <w:szCs w:val="18"/>
          <w:lang w:val="en-GB"/>
        </w:rPr>
        <w:t>See section ‘Horizontal issues and modalities’ of this chapter for more details</w:t>
      </w:r>
    </w:p>
  </w:footnote>
  <w:footnote w:id="79">
    <w:p w14:paraId="5ED0FDB2" w14:textId="77777777" w:rsidR="00674231" w:rsidRPr="004D6B37" w:rsidRDefault="00674231" w:rsidP="005A08E1">
      <w:pPr>
        <w:jc w:val="both"/>
        <w:rPr>
          <w:lang w:val="en-GB"/>
        </w:rPr>
      </w:pPr>
      <w:r>
        <w:rPr>
          <w:rStyle w:val="FootnoteReference"/>
        </w:rPr>
        <w:footnoteRef/>
      </w:r>
      <w:r w:rsidRPr="004D6B37">
        <w:rPr>
          <w:lang w:val="en-GB"/>
        </w:rPr>
        <w:t xml:space="preserve"> </w:t>
      </w:r>
      <w:r w:rsidRPr="004D6B37">
        <w:rPr>
          <w:sz w:val="18"/>
          <w:szCs w:val="18"/>
          <w:lang w:val="en-GB"/>
        </w:rPr>
        <w:t>Following the screening processes in Romania and Bulgaria</w:t>
      </w:r>
      <w:r w:rsidRPr="004D6B37">
        <w:rPr>
          <w:lang w:val="en-GB"/>
        </w:rPr>
        <w:t xml:space="preserve"> </w:t>
      </w:r>
      <w:r w:rsidRPr="004D6B37">
        <w:rPr>
          <w:sz w:val="18"/>
          <w:szCs w:val="18"/>
          <w:lang w:val="en-GB"/>
        </w:rPr>
        <w:t xml:space="preserve">to determine whether the programme is likely to have an environmental effect, the following conditions were imposed: Romania: Projects which might have an environmental effect should be subject to an EIA. Bulgaria: </w:t>
      </w:r>
      <w:r w:rsidRPr="00881B89">
        <w:rPr>
          <w:sz w:val="18"/>
          <w:szCs w:val="18"/>
          <w:lang w:val="en-GB"/>
        </w:rPr>
        <w:t>The decision was made based on two conditions related to environmental impact assessment where necessary and good water status and manag</w:t>
      </w:r>
      <w:r>
        <w:rPr>
          <w:sz w:val="18"/>
          <w:szCs w:val="18"/>
          <w:lang w:val="en-GB"/>
        </w:rPr>
        <w:t xml:space="preserve">ement of flood risk. </w:t>
      </w:r>
    </w:p>
  </w:footnote>
  <w:footnote w:id="80">
    <w:p w14:paraId="12A180F7" w14:textId="77777777" w:rsidR="00674231" w:rsidRPr="00682784" w:rsidRDefault="00674231" w:rsidP="005A08E1">
      <w:pPr>
        <w:pStyle w:val="FootnoteText"/>
        <w:jc w:val="both"/>
        <w:rPr>
          <w:sz w:val="18"/>
          <w:szCs w:val="18"/>
          <w:lang w:val="en-GB"/>
        </w:rPr>
      </w:pPr>
      <w:r w:rsidRPr="005E50B5">
        <w:rPr>
          <w:rStyle w:val="FootnoteReference"/>
          <w:sz w:val="18"/>
          <w:szCs w:val="18"/>
        </w:rPr>
        <w:footnoteRef/>
      </w:r>
      <w:r w:rsidRPr="00682784">
        <w:rPr>
          <w:sz w:val="18"/>
          <w:szCs w:val="18"/>
          <w:lang w:val="en-GB"/>
        </w:rPr>
        <w:t xml:space="preserve"> </w:t>
      </w:r>
      <w:r w:rsidRPr="005E50B5">
        <w:rPr>
          <w:rStyle w:val="FootnoteReference"/>
          <w:sz w:val="18"/>
          <w:szCs w:val="18"/>
          <w:vertAlign w:val="baseline"/>
          <w:lang w:val="en-GB"/>
        </w:rPr>
        <w:t>For more details please refer to chapter ‘Overall strategic framework’</w:t>
      </w:r>
    </w:p>
  </w:footnote>
  <w:footnote w:id="81">
    <w:p w14:paraId="58DD3B67"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w:t>
      </w:r>
      <w:r w:rsidRPr="005E50B5">
        <w:rPr>
          <w:rStyle w:val="FootnoteReference"/>
          <w:sz w:val="18"/>
          <w:szCs w:val="18"/>
          <w:vertAlign w:val="baseline"/>
          <w:lang w:val="en-GB"/>
        </w:rPr>
        <w:t xml:space="preserve">For more details please refer </w:t>
      </w:r>
      <w:r w:rsidRPr="005E50B5">
        <w:rPr>
          <w:sz w:val="18"/>
          <w:szCs w:val="18"/>
          <w:lang w:val="en-GB"/>
        </w:rPr>
        <w:t>to ‘Consistency with other EU programmes’ under chapter ‘</w:t>
      </w:r>
      <w:r w:rsidRPr="005E50B5">
        <w:rPr>
          <w:rStyle w:val="FootnoteReference"/>
          <w:sz w:val="18"/>
          <w:szCs w:val="18"/>
          <w:vertAlign w:val="baseline"/>
          <w:lang w:val="en-GB"/>
        </w:rPr>
        <w:t>Black Sea Basin strategic analyses and consultations</w:t>
      </w:r>
      <w:r w:rsidRPr="005E50B5">
        <w:rPr>
          <w:sz w:val="18"/>
          <w:szCs w:val="18"/>
          <w:lang w:val="en-GB"/>
        </w:rPr>
        <w:t xml:space="preserve">’ </w:t>
      </w:r>
    </w:p>
  </w:footnote>
  <w:footnote w:id="82">
    <w:p w14:paraId="3A3CB6AF"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682784">
        <w:rPr>
          <w:sz w:val="18"/>
          <w:szCs w:val="18"/>
          <w:lang w:val="en-GB"/>
        </w:rPr>
        <w:t xml:space="preserve"> </w:t>
      </w:r>
      <w:r w:rsidRPr="005E50B5">
        <w:rPr>
          <w:sz w:val="18"/>
          <w:szCs w:val="18"/>
          <w:lang w:val="en-GB"/>
        </w:rPr>
        <w:t>For more details please refer to ‘Stakeholders consultations’ under chapter ‘</w:t>
      </w:r>
      <w:r w:rsidRPr="005E50B5">
        <w:rPr>
          <w:rStyle w:val="FootnoteReference"/>
          <w:sz w:val="18"/>
          <w:szCs w:val="18"/>
          <w:vertAlign w:val="baseline"/>
          <w:lang w:val="en-GB"/>
        </w:rPr>
        <w:t>Black Sea Basin strategic analyses and consultations</w:t>
      </w:r>
      <w:r w:rsidRPr="005E50B5">
        <w:rPr>
          <w:sz w:val="18"/>
          <w:szCs w:val="18"/>
          <w:lang w:val="en-GB"/>
        </w:rPr>
        <w:t xml:space="preserve">’ </w:t>
      </w:r>
    </w:p>
  </w:footnote>
  <w:footnote w:id="83">
    <w:p w14:paraId="4639305D" w14:textId="77777777" w:rsidR="00674231" w:rsidRPr="00682784" w:rsidRDefault="00674231" w:rsidP="005A08E1">
      <w:pPr>
        <w:pStyle w:val="FootnoteText"/>
        <w:jc w:val="both"/>
        <w:rPr>
          <w:sz w:val="18"/>
          <w:szCs w:val="18"/>
          <w:lang w:val="en-GB"/>
        </w:rPr>
      </w:pPr>
      <w:r w:rsidRPr="005E50B5">
        <w:rPr>
          <w:rStyle w:val="FootnoteReference"/>
          <w:sz w:val="18"/>
          <w:szCs w:val="18"/>
        </w:rPr>
        <w:footnoteRef/>
      </w:r>
      <w:r w:rsidRPr="00682784">
        <w:rPr>
          <w:sz w:val="18"/>
          <w:szCs w:val="18"/>
          <w:lang w:val="en-GB"/>
        </w:rPr>
        <w:t xml:space="preserve"> </w:t>
      </w:r>
      <w:r w:rsidRPr="005E50B5">
        <w:rPr>
          <w:sz w:val="18"/>
          <w:szCs w:val="18"/>
          <w:lang w:val="en-GB"/>
        </w:rPr>
        <w:t>For more details please refer to ‘Socio-economic and SWOT analysis’ under chapter ‘</w:t>
      </w:r>
      <w:r w:rsidRPr="005E50B5">
        <w:rPr>
          <w:rStyle w:val="FootnoteReference"/>
          <w:sz w:val="18"/>
          <w:szCs w:val="18"/>
          <w:vertAlign w:val="baseline"/>
          <w:lang w:val="en-GB"/>
        </w:rPr>
        <w:t>Black Sea Basin strategic analyses and consultations</w:t>
      </w:r>
      <w:r w:rsidRPr="005E50B5">
        <w:rPr>
          <w:sz w:val="18"/>
          <w:szCs w:val="18"/>
          <w:lang w:val="en-GB"/>
        </w:rPr>
        <w:t>’</w:t>
      </w:r>
    </w:p>
  </w:footnote>
  <w:footnote w:id="84">
    <w:p w14:paraId="1B0142FE" w14:textId="77777777" w:rsidR="00674231" w:rsidRPr="005E50B5" w:rsidRDefault="00674231" w:rsidP="005A08E1">
      <w:pPr>
        <w:pStyle w:val="FootnoteText"/>
        <w:jc w:val="both"/>
        <w:rPr>
          <w:sz w:val="18"/>
          <w:szCs w:val="18"/>
          <w:lang w:val="en-GB"/>
        </w:rPr>
      </w:pPr>
      <w:r w:rsidRPr="005E50B5">
        <w:rPr>
          <w:rStyle w:val="FootnoteReference"/>
          <w:sz w:val="18"/>
          <w:szCs w:val="18"/>
        </w:rPr>
        <w:footnoteRef/>
      </w:r>
      <w:r w:rsidRPr="005E50B5">
        <w:rPr>
          <w:sz w:val="18"/>
          <w:szCs w:val="18"/>
          <w:lang w:val="en-GB"/>
        </w:rPr>
        <w:t xml:space="preserve"> In line with the Programming document </w:t>
      </w:r>
      <w:proofErr w:type="gramStart"/>
      <w:r w:rsidRPr="005E50B5">
        <w:rPr>
          <w:sz w:val="18"/>
          <w:szCs w:val="18"/>
          <w:lang w:val="en-GB"/>
        </w:rPr>
        <w:t>2014-20 ENI CBC (6.7)</w:t>
      </w:r>
      <w:proofErr w:type="gramEnd"/>
      <w:r w:rsidRPr="005E50B5">
        <w:rPr>
          <w:sz w:val="18"/>
          <w:szCs w:val="18"/>
          <w:lang w:val="en-GB"/>
        </w:rPr>
        <w:t xml:space="preserve">. Further guidance on eligibility of project partners will be provided in the Guidelines for Applicants. </w:t>
      </w:r>
    </w:p>
  </w:footnote>
  <w:footnote w:id="85">
    <w:p w14:paraId="68179FD4" w14:textId="77777777" w:rsidR="00674231" w:rsidRPr="005E50B5" w:rsidRDefault="00674231" w:rsidP="00F16F0A">
      <w:pPr>
        <w:pStyle w:val="FootnoteText"/>
        <w:rPr>
          <w:sz w:val="18"/>
          <w:szCs w:val="18"/>
          <w:lang w:val="en-GB"/>
        </w:rPr>
      </w:pPr>
      <w:r w:rsidRPr="005E50B5">
        <w:rPr>
          <w:rStyle w:val="FootnoteReference"/>
          <w:sz w:val="18"/>
          <w:szCs w:val="18"/>
        </w:rPr>
        <w:footnoteRef/>
      </w:r>
      <w:r w:rsidRPr="005E50B5">
        <w:rPr>
          <w:sz w:val="18"/>
          <w:szCs w:val="18"/>
          <w:lang w:val="en-GB"/>
        </w:rPr>
        <w:t xml:space="preserve"> See further details in the chapter ‘Communication strategy’ of this document</w:t>
      </w:r>
    </w:p>
  </w:footnote>
  <w:footnote w:id="86">
    <w:p w14:paraId="6D5B8512" w14:textId="77777777" w:rsidR="00674231" w:rsidRPr="005E50B5" w:rsidRDefault="00674231" w:rsidP="00F16F0A">
      <w:pPr>
        <w:pStyle w:val="FootnoteText"/>
        <w:rPr>
          <w:sz w:val="18"/>
          <w:szCs w:val="18"/>
          <w:lang w:val="en-GB"/>
        </w:rPr>
      </w:pPr>
      <w:r w:rsidRPr="005E50B5">
        <w:rPr>
          <w:rStyle w:val="FootnoteReference"/>
          <w:sz w:val="18"/>
          <w:szCs w:val="18"/>
        </w:rPr>
        <w:footnoteRef/>
      </w:r>
      <w:r w:rsidRPr="005E50B5">
        <w:rPr>
          <w:sz w:val="18"/>
          <w:szCs w:val="18"/>
          <w:lang w:val="en-GB"/>
        </w:rPr>
        <w:t xml:space="preserve"> See Table 3 within ‘Consistency with other EU programmes’ under chapter ‘</w:t>
      </w:r>
      <w:r w:rsidRPr="005E50B5">
        <w:rPr>
          <w:rStyle w:val="FootnoteReference"/>
          <w:sz w:val="18"/>
          <w:szCs w:val="18"/>
          <w:vertAlign w:val="baseline"/>
          <w:lang w:val="en-GB"/>
        </w:rPr>
        <w:t>Black Sea Basin strategic analyses and consultations</w:t>
      </w:r>
      <w:r w:rsidRPr="005E50B5">
        <w:rPr>
          <w:sz w:val="18"/>
          <w:szCs w:val="18"/>
          <w:lang w:val="en-GB"/>
        </w:rPr>
        <w:t xml:space="preserve">’ of this document </w:t>
      </w:r>
    </w:p>
  </w:footnote>
  <w:footnote w:id="87">
    <w:p w14:paraId="6B0CE372" w14:textId="77777777" w:rsidR="00674231" w:rsidRPr="005E50B5" w:rsidRDefault="00674231" w:rsidP="00F16F0A">
      <w:pPr>
        <w:pStyle w:val="FootnoteText"/>
        <w:rPr>
          <w:sz w:val="18"/>
          <w:szCs w:val="18"/>
          <w:lang w:val="en-GB"/>
        </w:rPr>
      </w:pPr>
      <w:r w:rsidRPr="005E50B5">
        <w:rPr>
          <w:rStyle w:val="FootnoteReference"/>
          <w:sz w:val="18"/>
          <w:szCs w:val="18"/>
        </w:rPr>
        <w:footnoteRef/>
      </w:r>
      <w:r w:rsidRPr="005E50B5">
        <w:rPr>
          <w:sz w:val="18"/>
          <w:szCs w:val="18"/>
          <w:lang w:val="en-GB"/>
        </w:rPr>
        <w:t xml:space="preserve"> See further details in the chapter ‘Communication strategy’ of this document </w:t>
      </w:r>
    </w:p>
  </w:footnote>
  <w:footnote w:id="88">
    <w:p w14:paraId="687E796F" w14:textId="77777777" w:rsidR="00674231" w:rsidRPr="00682784" w:rsidRDefault="00674231" w:rsidP="005A08E1">
      <w:pPr>
        <w:pStyle w:val="FootnoteText"/>
        <w:spacing w:line="276" w:lineRule="auto"/>
        <w:jc w:val="both"/>
        <w:rPr>
          <w:sz w:val="18"/>
          <w:szCs w:val="18"/>
          <w:lang w:val="en-GB"/>
        </w:rPr>
      </w:pPr>
      <w:r w:rsidRPr="005E50B5">
        <w:rPr>
          <w:rStyle w:val="FootnoteReference"/>
          <w:sz w:val="18"/>
          <w:szCs w:val="18"/>
        </w:rPr>
        <w:footnoteRef/>
      </w:r>
      <w:r w:rsidRPr="00682784">
        <w:rPr>
          <w:sz w:val="18"/>
          <w:szCs w:val="18"/>
          <w:lang w:val="en-GB"/>
        </w:rPr>
        <w:t xml:space="preserve"> A SC will be used for the first call for proposals but it was agreed during the development of the programme to keep open the option of not using a SC in subsequent calls </w:t>
      </w:r>
    </w:p>
  </w:footnote>
  <w:footnote w:id="89">
    <w:p w14:paraId="57057C40" w14:textId="77777777" w:rsidR="00674231" w:rsidRPr="006D67E5" w:rsidRDefault="00674231" w:rsidP="00B42858">
      <w:pPr>
        <w:pStyle w:val="FootnoteText"/>
        <w:rPr>
          <w:sz w:val="18"/>
          <w:szCs w:val="18"/>
          <w:lang w:val="en-GB"/>
        </w:rPr>
      </w:pPr>
      <w:r w:rsidRPr="00813F1C">
        <w:rPr>
          <w:rStyle w:val="FootnoteReference"/>
          <w:sz w:val="18"/>
          <w:szCs w:val="18"/>
        </w:rPr>
        <w:footnoteRef/>
      </w:r>
      <w:r w:rsidRPr="006D67E5">
        <w:rPr>
          <w:sz w:val="18"/>
          <w:szCs w:val="18"/>
          <w:lang w:val="en-GB"/>
        </w:rPr>
        <w:t xml:space="preserve"> </w:t>
      </w:r>
      <w:hyperlink r:id="rId6" w:history="1">
        <w:r w:rsidRPr="006D67E5">
          <w:rPr>
            <w:rStyle w:val="Hyperlink"/>
            <w:color w:val="auto"/>
            <w:sz w:val="18"/>
            <w:szCs w:val="18"/>
            <w:lang w:val="en-GB"/>
          </w:rPr>
          <w:t>http://eca.europa.eu/portal/pls/portal/docs/1/133817.PDF</w:t>
        </w:r>
      </w:hyperlink>
      <w:r w:rsidRPr="006D67E5">
        <w:rPr>
          <w:sz w:val="18"/>
          <w:szCs w:val="18"/>
          <w:lang w:val="en-GB"/>
        </w:rPr>
        <w:t xml:space="preserve"> </w:t>
      </w:r>
    </w:p>
  </w:footnote>
  <w:footnote w:id="90">
    <w:p w14:paraId="087C96CB" w14:textId="77777777" w:rsidR="00674231" w:rsidRPr="006D67E5" w:rsidRDefault="00674231" w:rsidP="00B42858">
      <w:pPr>
        <w:pStyle w:val="FootnoteText"/>
        <w:rPr>
          <w:sz w:val="18"/>
          <w:szCs w:val="18"/>
          <w:lang w:val="en-GB"/>
        </w:rPr>
      </w:pPr>
      <w:r w:rsidRPr="00813F1C">
        <w:rPr>
          <w:rStyle w:val="FootnoteReference"/>
          <w:sz w:val="18"/>
          <w:szCs w:val="18"/>
        </w:rPr>
        <w:footnoteRef/>
      </w:r>
      <w:r w:rsidRPr="006D67E5">
        <w:rPr>
          <w:sz w:val="18"/>
          <w:szCs w:val="18"/>
          <w:lang w:val="en-GB"/>
        </w:rPr>
        <w:t xml:space="preserve"> </w:t>
      </w:r>
      <w:hyperlink r:id="rId7" w:history="1">
        <w:r w:rsidRPr="006D67E5">
          <w:rPr>
            <w:rStyle w:val="Hyperlink"/>
            <w:color w:val="auto"/>
            <w:sz w:val="18"/>
            <w:szCs w:val="18"/>
            <w:lang w:val="en-GB"/>
          </w:rPr>
          <w:t>http://www.issai.org/media/13128/issai_1610_e_.pdf</w:t>
        </w:r>
      </w:hyperlink>
      <w:r w:rsidRPr="006D67E5">
        <w:rPr>
          <w:sz w:val="18"/>
          <w:szCs w:val="18"/>
          <w:lang w:val="en-GB"/>
        </w:rPr>
        <w:t xml:space="preserve"> </w:t>
      </w:r>
    </w:p>
  </w:footnote>
  <w:footnote w:id="91">
    <w:p w14:paraId="2EB1A0AB" w14:textId="77777777" w:rsidR="00674231" w:rsidRPr="006D67E5" w:rsidRDefault="00674231" w:rsidP="00B42858">
      <w:pPr>
        <w:pStyle w:val="FootnoteText"/>
        <w:rPr>
          <w:lang w:val="en-GB"/>
        </w:rPr>
      </w:pPr>
      <w:r w:rsidRPr="00813F1C">
        <w:rPr>
          <w:rStyle w:val="FootnoteReference"/>
          <w:sz w:val="18"/>
          <w:szCs w:val="18"/>
        </w:rPr>
        <w:footnoteRef/>
      </w:r>
      <w:r w:rsidRPr="006D67E5">
        <w:rPr>
          <w:sz w:val="18"/>
          <w:szCs w:val="18"/>
          <w:lang w:val="en-GB"/>
        </w:rPr>
        <w:t xml:space="preserve"> </w:t>
      </w:r>
      <w:hyperlink r:id="rId8" w:history="1">
        <w:r w:rsidRPr="006D67E5">
          <w:rPr>
            <w:rStyle w:val="Hyperlink"/>
            <w:color w:val="auto"/>
            <w:sz w:val="18"/>
            <w:szCs w:val="18"/>
            <w:lang w:val="en-GB"/>
          </w:rPr>
          <w:t>http://www.issai.org/media/13188/issai_1620_e_.pdf</w:t>
        </w:r>
      </w:hyperlink>
      <w:r w:rsidRPr="006D67E5">
        <w:rPr>
          <w:lang w:val="en-GB"/>
        </w:rPr>
        <w:t xml:space="preserve"> </w:t>
      </w:r>
    </w:p>
  </w:footnote>
  <w:footnote w:id="92">
    <w:p w14:paraId="6F6D9F6D" w14:textId="77777777" w:rsidR="00674231" w:rsidRPr="005E50B5" w:rsidRDefault="00674231" w:rsidP="00EE745F">
      <w:pPr>
        <w:pStyle w:val="FootnoteText"/>
        <w:rPr>
          <w:rStyle w:val="FootnoteReference"/>
          <w:sz w:val="18"/>
          <w:szCs w:val="18"/>
          <w:lang w:val="en-GB"/>
        </w:rPr>
      </w:pPr>
      <w:r w:rsidRPr="005E50B5">
        <w:rPr>
          <w:rStyle w:val="FootnoteReference"/>
          <w:sz w:val="18"/>
          <w:szCs w:val="18"/>
        </w:rPr>
        <w:footnoteRef/>
      </w:r>
      <w:r w:rsidRPr="005E50B5">
        <w:rPr>
          <w:sz w:val="18"/>
          <w:szCs w:val="18"/>
          <w:lang w:val="en-GB"/>
        </w:rPr>
        <w:t xml:space="preserve"> From the date of the adoption of the programme by the EC, art. 15 ENI CBC Regulation (EU) 897/2014  </w:t>
      </w:r>
      <w:r w:rsidRPr="005E50B5">
        <w:rPr>
          <w:rStyle w:val="FootnoteReference"/>
          <w:sz w:val="18"/>
          <w:szCs w:val="18"/>
          <w:lang w:val="en-GB"/>
        </w:rPr>
        <w:t xml:space="preserve"> </w:t>
      </w:r>
    </w:p>
  </w:footnote>
  <w:footnote w:id="93">
    <w:p w14:paraId="5B8A1A99" w14:textId="2E3CB16F" w:rsidR="00674231" w:rsidRPr="005E50B5" w:rsidRDefault="00674231" w:rsidP="00EE745F">
      <w:pPr>
        <w:pStyle w:val="FootnoteText"/>
        <w:rPr>
          <w:sz w:val="18"/>
          <w:szCs w:val="18"/>
          <w:lang w:val="en-GB"/>
        </w:rPr>
      </w:pPr>
      <w:r w:rsidRPr="005E50B5">
        <w:rPr>
          <w:rStyle w:val="FootnoteReference"/>
          <w:sz w:val="18"/>
          <w:szCs w:val="18"/>
        </w:rPr>
        <w:footnoteRef/>
      </w:r>
      <w:r w:rsidRPr="005E50B5">
        <w:rPr>
          <w:sz w:val="18"/>
          <w:szCs w:val="18"/>
          <w:lang w:val="en-GB"/>
        </w:rPr>
        <w:t xml:space="preserve"> Signature of Financing Agreement by partner countries </w:t>
      </w:r>
    </w:p>
  </w:footnote>
  <w:footnote w:id="94">
    <w:p w14:paraId="5C2B3F1D" w14:textId="77777777" w:rsidR="00674231" w:rsidRPr="006C4931" w:rsidRDefault="00674231">
      <w:pPr>
        <w:pStyle w:val="FootnoteText"/>
        <w:rPr>
          <w:lang w:val="pt-PT"/>
        </w:rPr>
      </w:pPr>
      <w:r>
        <w:rPr>
          <w:rStyle w:val="FootnoteReference"/>
        </w:rPr>
        <w:footnoteRef/>
      </w:r>
      <w:r w:rsidRPr="006C4931">
        <w:rPr>
          <w:lang w:val="pt-PT"/>
        </w:rPr>
        <w:t xml:space="preserve"> </w:t>
      </w:r>
      <w:r w:rsidRPr="006C4931">
        <w:rPr>
          <w:sz w:val="18"/>
          <w:szCs w:val="18"/>
          <w:lang w:val="pt-PT"/>
        </w:rPr>
        <w:t xml:space="preserve">Art. 4.5h Regulation (EU) N° </w:t>
      </w:r>
      <w:r w:rsidRPr="006C4931">
        <w:rPr>
          <w:rFonts w:cs="EUAlbertina"/>
          <w:bCs/>
          <w:sz w:val="18"/>
          <w:szCs w:val="18"/>
          <w:lang w:val="pt-PT"/>
        </w:rPr>
        <w:t>897/2014</w:t>
      </w:r>
    </w:p>
  </w:footnote>
  <w:footnote w:id="95">
    <w:p w14:paraId="02212C15" w14:textId="77777777" w:rsidR="00674231" w:rsidRPr="00682784" w:rsidRDefault="00674231" w:rsidP="0078216E">
      <w:pPr>
        <w:spacing w:before="120" w:after="0" w:line="252" w:lineRule="auto"/>
        <w:jc w:val="both"/>
        <w:rPr>
          <w:lang w:val="en-GB"/>
        </w:rPr>
      </w:pPr>
      <w:r w:rsidRPr="00B52CAE">
        <w:rPr>
          <w:rStyle w:val="FootnoteReference"/>
          <w:sz w:val="18"/>
          <w:szCs w:val="18"/>
        </w:rPr>
        <w:footnoteRef/>
      </w:r>
      <w:r w:rsidRPr="00682784">
        <w:rPr>
          <w:sz w:val="18"/>
          <w:szCs w:val="18"/>
          <w:lang w:val="en-GB"/>
        </w:rPr>
        <w:t xml:space="preserve"> </w:t>
      </w:r>
      <w:proofErr w:type="spellStart"/>
      <w:proofErr w:type="gramStart"/>
      <w:r w:rsidRPr="00B52CAE">
        <w:rPr>
          <w:sz w:val="18"/>
          <w:szCs w:val="18"/>
          <w:lang w:val="en-GB"/>
        </w:rPr>
        <w:t>Hot</w:t>
      </w:r>
      <w:r w:rsidRPr="00B52CAE">
        <w:rPr>
          <w:rFonts w:ascii="Times New Roman" w:hAnsi="Times New Roman" w:cs="Times New Roman"/>
          <w:sz w:val="18"/>
          <w:szCs w:val="18"/>
          <w:lang w:val="en-GB"/>
        </w:rPr>
        <w:t>ă</w:t>
      </w:r>
      <w:r w:rsidRPr="00B52CAE">
        <w:rPr>
          <w:sz w:val="18"/>
          <w:szCs w:val="18"/>
          <w:lang w:val="en-GB"/>
        </w:rPr>
        <w:t>rârea</w:t>
      </w:r>
      <w:proofErr w:type="spellEnd"/>
      <w:r w:rsidRPr="00B52CAE">
        <w:rPr>
          <w:sz w:val="18"/>
          <w:szCs w:val="18"/>
          <w:lang w:val="en-GB"/>
        </w:rPr>
        <w:t xml:space="preserve"> </w:t>
      </w:r>
      <w:proofErr w:type="spellStart"/>
      <w:r w:rsidRPr="00B52CAE">
        <w:rPr>
          <w:sz w:val="18"/>
          <w:szCs w:val="18"/>
          <w:lang w:val="en-GB"/>
        </w:rPr>
        <w:t>Guvernului</w:t>
      </w:r>
      <w:proofErr w:type="spellEnd"/>
      <w:r w:rsidRPr="00B52CAE">
        <w:rPr>
          <w:sz w:val="18"/>
          <w:szCs w:val="18"/>
          <w:lang w:val="en-GB"/>
        </w:rPr>
        <w:t xml:space="preserve"> </w:t>
      </w:r>
      <w:proofErr w:type="spellStart"/>
      <w:r w:rsidRPr="00B52CAE">
        <w:rPr>
          <w:sz w:val="18"/>
          <w:szCs w:val="18"/>
          <w:lang w:val="en-GB"/>
        </w:rPr>
        <w:t>nr</w:t>
      </w:r>
      <w:proofErr w:type="spellEnd"/>
      <w:r w:rsidRPr="00B52CAE">
        <w:rPr>
          <w:sz w:val="18"/>
          <w:szCs w:val="18"/>
          <w:lang w:val="en-GB"/>
        </w:rPr>
        <w:t>.</w:t>
      </w:r>
      <w:proofErr w:type="gramEnd"/>
      <w:r w:rsidRPr="00B52CAE">
        <w:rPr>
          <w:sz w:val="18"/>
          <w:szCs w:val="18"/>
          <w:lang w:val="en-GB"/>
        </w:rPr>
        <w:t xml:space="preserve"> 1076/2004</w:t>
      </w:r>
    </w:p>
  </w:footnote>
  <w:footnote w:id="96">
    <w:p w14:paraId="4DA4CE5C" w14:textId="77777777" w:rsidR="00674231" w:rsidRPr="00682784" w:rsidRDefault="00674231" w:rsidP="00E017DD">
      <w:pPr>
        <w:pStyle w:val="FootnoteText"/>
        <w:rPr>
          <w:sz w:val="18"/>
          <w:szCs w:val="18"/>
          <w:lang w:val="en-GB"/>
        </w:rPr>
      </w:pPr>
      <w:r w:rsidRPr="00BB7F6F">
        <w:rPr>
          <w:rStyle w:val="FootnoteReference"/>
          <w:sz w:val="18"/>
          <w:szCs w:val="18"/>
        </w:rPr>
        <w:footnoteRef/>
      </w:r>
      <w:r w:rsidRPr="00682784">
        <w:rPr>
          <w:sz w:val="18"/>
          <w:szCs w:val="18"/>
          <w:lang w:val="en-GB"/>
        </w:rPr>
        <w:t xml:space="preserve"> As indicated in the chapter above on </w:t>
      </w:r>
      <w:r w:rsidRPr="00BB7F6F">
        <w:rPr>
          <w:noProof/>
          <w:sz w:val="18"/>
          <w:szCs w:val="18"/>
          <w:lang w:val="en-GB"/>
        </w:rPr>
        <w:t>Black Sea Basin ENI CBC programme strategy</w:t>
      </w:r>
    </w:p>
  </w:footnote>
  <w:footnote w:id="97">
    <w:p w14:paraId="468D8A1F" w14:textId="77777777" w:rsidR="00674231" w:rsidRPr="001B13B3" w:rsidRDefault="00674231" w:rsidP="001B13B3">
      <w:pPr>
        <w:pStyle w:val="FootnoteText"/>
        <w:rPr>
          <w:sz w:val="18"/>
          <w:szCs w:val="18"/>
          <w:lang w:val="en-GB"/>
        </w:rPr>
      </w:pPr>
      <w:r w:rsidRPr="001B13B3">
        <w:rPr>
          <w:rStyle w:val="FootnoteReference"/>
          <w:sz w:val="18"/>
          <w:szCs w:val="18"/>
        </w:rPr>
        <w:footnoteRef/>
      </w:r>
      <w:r w:rsidRPr="00682784">
        <w:rPr>
          <w:sz w:val="18"/>
          <w:szCs w:val="18"/>
          <w:lang w:val="en-GB"/>
        </w:rPr>
        <w:t xml:space="preserve"> Although public consultation is not required under the EU SEA Directive for the screening process, this was done in Romania as it is required under Romanian law. </w:t>
      </w:r>
      <w:r w:rsidRPr="001B13B3">
        <w:rPr>
          <w:sz w:val="18"/>
          <w:szCs w:val="18"/>
          <w:lang w:val="en-GB"/>
        </w:rPr>
        <w:t xml:space="preserve">The public in the programme area had been consulted previously during the development of the strategy. </w:t>
      </w:r>
    </w:p>
  </w:footnote>
  <w:footnote w:id="98">
    <w:p w14:paraId="3EF8AAEB" w14:textId="77777777" w:rsidR="00674231" w:rsidRPr="004725B0" w:rsidRDefault="00674231">
      <w:pPr>
        <w:pStyle w:val="FootnoteText"/>
        <w:rPr>
          <w:lang w:val="en-GB"/>
        </w:rPr>
      </w:pPr>
      <w:r>
        <w:rPr>
          <w:rStyle w:val="FootnoteReference"/>
        </w:rPr>
        <w:footnoteRef/>
      </w:r>
      <w:r w:rsidRPr="004725B0">
        <w:rPr>
          <w:lang w:val="en-GB"/>
        </w:rPr>
        <w:t xml:space="preserve"> </w:t>
      </w:r>
      <w:r w:rsidRPr="0071194D">
        <w:rPr>
          <w:sz w:val="18"/>
          <w:szCs w:val="18"/>
          <w:lang w:val="en-GB"/>
        </w:rPr>
        <w:t xml:space="preserve">As stipulated in Article 85, pt. 4 and pt. 5 of the </w:t>
      </w:r>
      <w:r w:rsidRPr="0071194D">
        <w:rPr>
          <w:i/>
          <w:sz w:val="18"/>
          <w:szCs w:val="18"/>
          <w:lang w:val="en-GB"/>
        </w:rPr>
        <w:t>Law on Environmental Protection</w:t>
      </w:r>
      <w:r w:rsidRPr="0071194D">
        <w:rPr>
          <w:sz w:val="18"/>
          <w:szCs w:val="18"/>
          <w:lang w:val="en-GB"/>
        </w:rPr>
        <w:t xml:space="preserve">, Art. </w:t>
      </w:r>
      <w:proofErr w:type="gramStart"/>
      <w:r w:rsidRPr="0071194D">
        <w:rPr>
          <w:sz w:val="18"/>
          <w:szCs w:val="18"/>
          <w:lang w:val="en-GB"/>
        </w:rPr>
        <w:t>4, pt. 1 and Art.</w:t>
      </w:r>
      <w:proofErr w:type="gramEnd"/>
      <w:r w:rsidRPr="0071194D">
        <w:rPr>
          <w:sz w:val="18"/>
          <w:szCs w:val="18"/>
          <w:lang w:val="en-GB"/>
        </w:rPr>
        <w:t xml:space="preserve"> </w:t>
      </w:r>
      <w:proofErr w:type="gramStart"/>
      <w:r w:rsidRPr="0071194D">
        <w:rPr>
          <w:sz w:val="18"/>
          <w:szCs w:val="18"/>
          <w:lang w:val="en-GB"/>
        </w:rPr>
        <w:t xml:space="preserve">14, pt. 2 of the </w:t>
      </w:r>
      <w:r w:rsidRPr="0071194D">
        <w:rPr>
          <w:i/>
          <w:sz w:val="18"/>
          <w:szCs w:val="18"/>
          <w:lang w:val="en-GB"/>
        </w:rPr>
        <w:t>Ordinance on the conditions and procedures for environmental assessment of plans and programs</w:t>
      </w:r>
      <w:r w:rsidRPr="0071194D">
        <w:rPr>
          <w:sz w:val="18"/>
          <w:szCs w:val="18"/>
          <w:lang w:val="en-GB"/>
        </w:rPr>
        <w:t>, Art.</w:t>
      </w:r>
      <w:proofErr w:type="gramEnd"/>
      <w:r w:rsidRPr="0071194D">
        <w:rPr>
          <w:sz w:val="18"/>
          <w:szCs w:val="18"/>
          <w:lang w:val="en-GB"/>
        </w:rPr>
        <w:t xml:space="preserve"> 37, pt. 4 of the </w:t>
      </w:r>
      <w:r w:rsidRPr="0071194D">
        <w:rPr>
          <w:i/>
          <w:sz w:val="18"/>
          <w:szCs w:val="18"/>
          <w:lang w:val="en-GB"/>
        </w:rPr>
        <w:t>Ordinance on the conditions and procedures for assessing the compatibility of plans, programs, projects and investment proposals with the object and purpose of conserving protected areas</w:t>
      </w:r>
    </w:p>
  </w:footnote>
  <w:footnote w:id="99">
    <w:p w14:paraId="04C463DE" w14:textId="77777777" w:rsidR="00674231" w:rsidRPr="000E24D7" w:rsidRDefault="00674231" w:rsidP="00AF72BB">
      <w:pPr>
        <w:pStyle w:val="FootnoteText"/>
        <w:rPr>
          <w:sz w:val="18"/>
          <w:szCs w:val="18"/>
          <w:lang w:val="en-GB"/>
        </w:rPr>
      </w:pPr>
      <w:r>
        <w:rPr>
          <w:rStyle w:val="FootnoteReference"/>
        </w:rPr>
        <w:footnoteRef/>
      </w:r>
      <w:r w:rsidRPr="000E24D7">
        <w:rPr>
          <w:lang w:val="en-GB"/>
        </w:rPr>
        <w:t xml:space="preserve"> </w:t>
      </w:r>
      <w:proofErr w:type="gramStart"/>
      <w:r w:rsidRPr="000E24D7">
        <w:rPr>
          <w:sz w:val="18"/>
          <w:szCs w:val="18"/>
          <w:lang w:val="en-GB"/>
        </w:rPr>
        <w:t>According to the Joint Ministerial Decree.</w:t>
      </w:r>
      <w:proofErr w:type="gramEnd"/>
      <w:r w:rsidRPr="000E24D7">
        <w:rPr>
          <w:sz w:val="18"/>
          <w:szCs w:val="18"/>
          <w:lang w:val="en-GB"/>
        </w:rPr>
        <w:t xml:space="preserve"> No. 107017/5-9-06 for the assessment of environmental impact of programmes, in accordance with Directive 2001/42/EC (B’ 1225)</w:t>
      </w:r>
    </w:p>
  </w:footnote>
  <w:footnote w:id="100">
    <w:p w14:paraId="7A5FA3B8" w14:textId="429A6B55" w:rsidR="00674231" w:rsidRPr="006C4931" w:rsidRDefault="00674231">
      <w:pPr>
        <w:pStyle w:val="FootnoteText"/>
        <w:rPr>
          <w:lang w:val="en-GB"/>
        </w:rPr>
      </w:pPr>
      <w:r>
        <w:rPr>
          <w:rStyle w:val="FootnoteReference"/>
        </w:rPr>
        <w:footnoteRef/>
      </w:r>
      <w:r>
        <w:t xml:space="preserve"> </w:t>
      </w:r>
      <w:r w:rsidRPr="006C4931">
        <w:rPr>
          <w:sz w:val="18"/>
          <w:szCs w:val="18"/>
        </w:rPr>
        <w:t xml:space="preserve">For the participation of </w:t>
      </w:r>
      <w:proofErr w:type="spellStart"/>
      <w:r w:rsidRPr="006C4931">
        <w:rPr>
          <w:sz w:val="18"/>
          <w:szCs w:val="18"/>
        </w:rPr>
        <w:t>Turkey</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BAA96F" w14:textId="77777777" w:rsidR="00674231" w:rsidRDefault="00674231">
    <w:pPr>
      <w:pStyle w:val="Header"/>
    </w:pPr>
  </w:p>
  <w:p w14:paraId="0D02EFED" w14:textId="77777777" w:rsidR="00674231" w:rsidRDefault="006742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265D4" w14:textId="77777777" w:rsidR="00674231" w:rsidRDefault="00674231" w:rsidP="000E53F1">
    <w:pPr>
      <w:pStyle w:val="Header-FooterRight"/>
      <w:jc w:val="left"/>
    </w:pPr>
  </w:p>
  <w:p w14:paraId="1939437F" w14:textId="77777777" w:rsidR="00674231" w:rsidRDefault="006742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0BAEE" w14:textId="77777777" w:rsidR="00674231" w:rsidRDefault="006742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BB2D7" w14:textId="77777777" w:rsidR="00674231" w:rsidRDefault="00674231" w:rsidP="000E53F1">
    <w:pPr>
      <w:pStyle w:val="Header-FooterRigh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0A3CA2"/>
    <w:lvl w:ilvl="0">
      <w:start w:val="1"/>
      <w:numFmt w:val="decimal"/>
      <w:pStyle w:val="ListNumber"/>
      <w:lvlText w:val="%1."/>
      <w:lvlJc w:val="left"/>
      <w:pPr>
        <w:tabs>
          <w:tab w:val="num" w:pos="360"/>
        </w:tabs>
        <w:ind w:left="360" w:hanging="360"/>
      </w:pPr>
      <w:rPr>
        <w:rFonts w:hint="default"/>
        <w:color w:val="808080" w:themeColor="background1" w:themeShade="80"/>
      </w:rPr>
    </w:lvl>
  </w:abstractNum>
  <w:abstractNum w:abstractNumId="1">
    <w:nsid w:val="FFFFFF89"/>
    <w:multiLevelType w:val="singleLevel"/>
    <w:tmpl w:val="2ADA3A6C"/>
    <w:lvl w:ilvl="0">
      <w:start w:val="1"/>
      <w:numFmt w:val="bullet"/>
      <w:pStyle w:val="ListBullet"/>
      <w:lvlText w:val="n"/>
      <w:lvlJc w:val="left"/>
      <w:pPr>
        <w:tabs>
          <w:tab w:val="num" w:pos="360"/>
        </w:tabs>
        <w:ind w:left="360" w:hanging="360"/>
      </w:pPr>
      <w:rPr>
        <w:rFonts w:ascii="Wingdings" w:hAnsi="Wingdings" w:hint="default"/>
        <w:color w:val="983620" w:themeColor="accent2"/>
      </w:rPr>
    </w:lvl>
  </w:abstractNum>
  <w:abstractNum w:abstractNumId="2">
    <w:nsid w:val="02A824A6"/>
    <w:multiLevelType w:val="hybridMultilevel"/>
    <w:tmpl w:val="7A2C877A"/>
    <w:lvl w:ilvl="0" w:tplc="F4CAAF5C">
      <w:start w:val="1"/>
      <w:numFmt w:val="bullet"/>
      <w:lvlText w:val="◦"/>
      <w:lvlJc w:val="left"/>
      <w:pPr>
        <w:tabs>
          <w:tab w:val="num" w:pos="720"/>
        </w:tabs>
        <w:ind w:left="720" w:hanging="360"/>
      </w:pPr>
      <w:rPr>
        <w:rFonts w:ascii="Verdana" w:hAnsi="Verdana" w:hint="default"/>
      </w:rPr>
    </w:lvl>
    <w:lvl w:ilvl="1" w:tplc="EA901584">
      <w:start w:val="1"/>
      <w:numFmt w:val="bullet"/>
      <w:lvlText w:val="◦"/>
      <w:lvlJc w:val="left"/>
      <w:pPr>
        <w:tabs>
          <w:tab w:val="num" w:pos="1440"/>
        </w:tabs>
        <w:ind w:left="1440" w:hanging="360"/>
      </w:pPr>
      <w:rPr>
        <w:rFonts w:ascii="Verdana" w:hAnsi="Verdana" w:hint="default"/>
      </w:rPr>
    </w:lvl>
    <w:lvl w:ilvl="2" w:tplc="C3A888DC" w:tentative="1">
      <w:start w:val="1"/>
      <w:numFmt w:val="bullet"/>
      <w:lvlText w:val="◦"/>
      <w:lvlJc w:val="left"/>
      <w:pPr>
        <w:tabs>
          <w:tab w:val="num" w:pos="2160"/>
        </w:tabs>
        <w:ind w:left="2160" w:hanging="360"/>
      </w:pPr>
      <w:rPr>
        <w:rFonts w:ascii="Verdana" w:hAnsi="Verdana" w:hint="default"/>
      </w:rPr>
    </w:lvl>
    <w:lvl w:ilvl="3" w:tplc="E6DC0DB2" w:tentative="1">
      <w:start w:val="1"/>
      <w:numFmt w:val="bullet"/>
      <w:lvlText w:val="◦"/>
      <w:lvlJc w:val="left"/>
      <w:pPr>
        <w:tabs>
          <w:tab w:val="num" w:pos="2880"/>
        </w:tabs>
        <w:ind w:left="2880" w:hanging="360"/>
      </w:pPr>
      <w:rPr>
        <w:rFonts w:ascii="Verdana" w:hAnsi="Verdana" w:hint="default"/>
      </w:rPr>
    </w:lvl>
    <w:lvl w:ilvl="4" w:tplc="A76E907C" w:tentative="1">
      <w:start w:val="1"/>
      <w:numFmt w:val="bullet"/>
      <w:lvlText w:val="◦"/>
      <w:lvlJc w:val="left"/>
      <w:pPr>
        <w:tabs>
          <w:tab w:val="num" w:pos="3600"/>
        </w:tabs>
        <w:ind w:left="3600" w:hanging="360"/>
      </w:pPr>
      <w:rPr>
        <w:rFonts w:ascii="Verdana" w:hAnsi="Verdana" w:hint="default"/>
      </w:rPr>
    </w:lvl>
    <w:lvl w:ilvl="5" w:tplc="91ACFBB2" w:tentative="1">
      <w:start w:val="1"/>
      <w:numFmt w:val="bullet"/>
      <w:lvlText w:val="◦"/>
      <w:lvlJc w:val="left"/>
      <w:pPr>
        <w:tabs>
          <w:tab w:val="num" w:pos="4320"/>
        </w:tabs>
        <w:ind w:left="4320" w:hanging="360"/>
      </w:pPr>
      <w:rPr>
        <w:rFonts w:ascii="Verdana" w:hAnsi="Verdana" w:hint="default"/>
      </w:rPr>
    </w:lvl>
    <w:lvl w:ilvl="6" w:tplc="804A3002" w:tentative="1">
      <w:start w:val="1"/>
      <w:numFmt w:val="bullet"/>
      <w:lvlText w:val="◦"/>
      <w:lvlJc w:val="left"/>
      <w:pPr>
        <w:tabs>
          <w:tab w:val="num" w:pos="5040"/>
        </w:tabs>
        <w:ind w:left="5040" w:hanging="360"/>
      </w:pPr>
      <w:rPr>
        <w:rFonts w:ascii="Verdana" w:hAnsi="Verdana" w:hint="default"/>
      </w:rPr>
    </w:lvl>
    <w:lvl w:ilvl="7" w:tplc="04766A44" w:tentative="1">
      <w:start w:val="1"/>
      <w:numFmt w:val="bullet"/>
      <w:lvlText w:val="◦"/>
      <w:lvlJc w:val="left"/>
      <w:pPr>
        <w:tabs>
          <w:tab w:val="num" w:pos="5760"/>
        </w:tabs>
        <w:ind w:left="5760" w:hanging="360"/>
      </w:pPr>
      <w:rPr>
        <w:rFonts w:ascii="Verdana" w:hAnsi="Verdana" w:hint="default"/>
      </w:rPr>
    </w:lvl>
    <w:lvl w:ilvl="8" w:tplc="4ACA9B3C" w:tentative="1">
      <w:start w:val="1"/>
      <w:numFmt w:val="bullet"/>
      <w:lvlText w:val="◦"/>
      <w:lvlJc w:val="left"/>
      <w:pPr>
        <w:tabs>
          <w:tab w:val="num" w:pos="6480"/>
        </w:tabs>
        <w:ind w:left="6480" w:hanging="360"/>
      </w:pPr>
      <w:rPr>
        <w:rFonts w:ascii="Verdana" w:hAnsi="Verdana" w:hint="default"/>
      </w:rPr>
    </w:lvl>
  </w:abstractNum>
  <w:abstractNum w:abstractNumId="3">
    <w:nsid w:val="03132437"/>
    <w:multiLevelType w:val="hybridMultilevel"/>
    <w:tmpl w:val="1206E6E4"/>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4">
    <w:nsid w:val="05C164F2"/>
    <w:multiLevelType w:val="hybridMultilevel"/>
    <w:tmpl w:val="A5A4FB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062F7053"/>
    <w:multiLevelType w:val="hybridMultilevel"/>
    <w:tmpl w:val="F4EEF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853F32"/>
    <w:multiLevelType w:val="hybridMultilevel"/>
    <w:tmpl w:val="262E30DA"/>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72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6AA66C8"/>
    <w:multiLevelType w:val="hybridMultilevel"/>
    <w:tmpl w:val="988A86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B3815AA"/>
    <w:multiLevelType w:val="hybridMultilevel"/>
    <w:tmpl w:val="9FDAFF1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0C6520D5"/>
    <w:multiLevelType w:val="hybridMultilevel"/>
    <w:tmpl w:val="9D902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0BB0A90"/>
    <w:multiLevelType w:val="hybridMultilevel"/>
    <w:tmpl w:val="E5B01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24A58D9"/>
    <w:multiLevelType w:val="hybridMultilevel"/>
    <w:tmpl w:val="DE609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6F15DCD"/>
    <w:multiLevelType w:val="hybridMultilevel"/>
    <w:tmpl w:val="B146771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17542627"/>
    <w:multiLevelType w:val="hybridMultilevel"/>
    <w:tmpl w:val="C80059D6"/>
    <w:lvl w:ilvl="0" w:tplc="94B0955E">
      <w:start w:val="1"/>
      <w:numFmt w:val="bullet"/>
      <w:lvlText w:val="•"/>
      <w:lvlJc w:val="left"/>
      <w:pPr>
        <w:ind w:left="850" w:hanging="708"/>
      </w:pPr>
      <w:rPr>
        <w:rFonts w:ascii="Calibri" w:eastAsiaTheme="minorEastAsia" w:hAnsi="Calibri" w:cs="ArialMT"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4">
    <w:nsid w:val="19620A2D"/>
    <w:multiLevelType w:val="hybridMultilevel"/>
    <w:tmpl w:val="5AEC88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B3C78B8"/>
    <w:multiLevelType w:val="multilevel"/>
    <w:tmpl w:val="E9202990"/>
    <w:name w:val="Point"/>
    <w:lvl w:ilvl="0">
      <w:start w:val="1"/>
      <w:numFmt w:val="lowerLetter"/>
      <w:lvlRestart w:val="0"/>
      <w:pStyle w:val="Point0number"/>
      <w:lvlText w:val="(%1)"/>
      <w:lvlJc w:val="left"/>
      <w:pPr>
        <w:tabs>
          <w:tab w:val="num" w:pos="850"/>
        </w:tabs>
        <w:ind w:left="850" w:hanging="850"/>
      </w:pPr>
      <w:rPr>
        <w:rFonts w:ascii="Times New Roman" w:eastAsia="Calibri" w:hAnsi="Times New Roman" w:cs="Times New Roman"/>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E305085"/>
    <w:multiLevelType w:val="hybridMultilevel"/>
    <w:tmpl w:val="634CF3AE"/>
    <w:lvl w:ilvl="0" w:tplc="E4D2D32C">
      <w:start w:val="1"/>
      <w:numFmt w:val="decimal"/>
      <w:lvlText w:val="%1."/>
      <w:lvlJc w:val="left"/>
      <w:pPr>
        <w:ind w:left="1797" w:hanging="720"/>
      </w:pPr>
      <w:rPr>
        <w:rFonts w:hint="default"/>
        <w:sz w:val="40"/>
        <w:szCs w:val="40"/>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7">
    <w:nsid w:val="1FD85181"/>
    <w:multiLevelType w:val="hybridMultilevel"/>
    <w:tmpl w:val="230CEF14"/>
    <w:lvl w:ilvl="0" w:tplc="260E6348">
      <w:start w:val="1"/>
      <w:numFmt w:val="bullet"/>
      <w:lvlText w:val=""/>
      <w:lvlJc w:val="left"/>
      <w:pPr>
        <w:ind w:left="720" w:hanging="360"/>
      </w:pPr>
      <w:rPr>
        <w:rFonts w:ascii="Wingdings 2" w:hAnsi="Wingdings 2"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1062C90"/>
    <w:multiLevelType w:val="hybridMultilevel"/>
    <w:tmpl w:val="AEFEED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1532F79"/>
    <w:multiLevelType w:val="hybridMultilevel"/>
    <w:tmpl w:val="C2B071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2141713"/>
    <w:multiLevelType w:val="hybridMultilevel"/>
    <w:tmpl w:val="2BD03D94"/>
    <w:lvl w:ilvl="0" w:tplc="2D265D06">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4BA3767"/>
    <w:multiLevelType w:val="multilevel"/>
    <w:tmpl w:val="427E3F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5AE4015"/>
    <w:multiLevelType w:val="multilevel"/>
    <w:tmpl w:val="4DD07400"/>
    <w:lvl w:ilvl="0">
      <w:start w:val="1"/>
      <w:numFmt w:val="bullet"/>
      <w:lvlText w:val=""/>
      <w:lvlJc w:val="left"/>
      <w:pPr>
        <w:tabs>
          <w:tab w:val="num" w:pos="360"/>
        </w:tabs>
        <w:ind w:left="360" w:hanging="360"/>
      </w:pPr>
      <w:rPr>
        <w:rFonts w:ascii="Wingdings" w:hAnsi="Wingdings" w:cs="ArialMT"/>
        <w:color w:val="000000"/>
      </w:rPr>
    </w:lvl>
    <w:lvl w:ilvl="1">
      <w:start w:val="3"/>
      <w:numFmt w:val="bullet"/>
      <w:lvlText w:val="-"/>
      <w:lvlJc w:val="left"/>
      <w:pPr>
        <w:tabs>
          <w:tab w:val="num" w:pos="2160"/>
        </w:tabs>
        <w:ind w:left="2160" w:hanging="360"/>
      </w:pPr>
      <w:rPr>
        <w:rFonts w:ascii="Thorndale AMT" w:hAnsi="Thorndale AMT"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720"/>
        </w:tabs>
        <w:ind w:left="720" w:hanging="360"/>
      </w:pPr>
      <w:rPr>
        <w:rFonts w:ascii="Symbol" w:hAnsi="Symbol"/>
      </w:rPr>
    </w:lvl>
    <w:lvl w:ilvl="4">
      <w:start w:val="1"/>
      <w:numFmt w:val="bullet"/>
      <w:lvlText w:val="o"/>
      <w:lvlJc w:val="left"/>
      <w:pPr>
        <w:tabs>
          <w:tab w:val="num" w:pos="0"/>
        </w:tabs>
        <w:ind w:left="0" w:hanging="360"/>
      </w:pPr>
      <w:rPr>
        <w:rFonts w:ascii="Courier New" w:hAnsi="Courier New" w:cs="Courier New"/>
      </w:rPr>
    </w:lvl>
    <w:lvl w:ilvl="5">
      <w:start w:val="3"/>
      <w:numFmt w:val="bullet"/>
      <w:lvlText w:val="-"/>
      <w:lvlJc w:val="left"/>
      <w:pPr>
        <w:tabs>
          <w:tab w:val="num" w:pos="720"/>
        </w:tabs>
        <w:ind w:left="720" w:hanging="360"/>
      </w:pPr>
      <w:rPr>
        <w:rFonts w:cs="ArialMT" w:hint="default"/>
        <w:b w:val="0"/>
        <w:i w:val="0"/>
        <w:color w:val="auto"/>
        <w:sz w:val="16"/>
      </w:rPr>
    </w:lvl>
    <w:lvl w:ilvl="6">
      <w:start w:val="1"/>
      <w:numFmt w:val="bullet"/>
      <w:lvlText w:val=""/>
      <w:lvlJc w:val="left"/>
      <w:pPr>
        <w:tabs>
          <w:tab w:val="num" w:pos="1440"/>
        </w:tabs>
        <w:ind w:left="1440" w:hanging="360"/>
      </w:pPr>
      <w:rPr>
        <w:rFonts w:ascii="Symbol" w:hAnsi="Symbol"/>
      </w:rPr>
    </w:lvl>
    <w:lvl w:ilvl="7">
      <w:start w:val="1"/>
      <w:numFmt w:val="bullet"/>
      <w:lvlText w:val="o"/>
      <w:lvlJc w:val="left"/>
      <w:pPr>
        <w:tabs>
          <w:tab w:val="num" w:pos="2160"/>
        </w:tabs>
        <w:ind w:left="2160" w:hanging="360"/>
      </w:pPr>
      <w:rPr>
        <w:rFonts w:ascii="Courier New" w:hAnsi="Courier New" w:cs="Courier New"/>
      </w:rPr>
    </w:lvl>
    <w:lvl w:ilvl="8">
      <w:start w:val="1"/>
      <w:numFmt w:val="bullet"/>
      <w:lvlText w:val=""/>
      <w:lvlJc w:val="left"/>
      <w:pPr>
        <w:tabs>
          <w:tab w:val="num" w:pos="2880"/>
        </w:tabs>
        <w:ind w:left="2880" w:hanging="360"/>
      </w:pPr>
      <w:rPr>
        <w:rFonts w:ascii="Wingdings" w:hAnsi="Wingdings"/>
      </w:rPr>
    </w:lvl>
  </w:abstractNum>
  <w:abstractNum w:abstractNumId="24">
    <w:nsid w:val="2BEC2774"/>
    <w:multiLevelType w:val="hybridMultilevel"/>
    <w:tmpl w:val="3D74D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D056689"/>
    <w:multiLevelType w:val="hybridMultilevel"/>
    <w:tmpl w:val="D8BC2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2DC40138"/>
    <w:multiLevelType w:val="hybridMultilevel"/>
    <w:tmpl w:val="FC0AC3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E1B76ED"/>
    <w:multiLevelType w:val="hybridMultilevel"/>
    <w:tmpl w:val="4C12B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F4E7045"/>
    <w:multiLevelType w:val="hybridMultilevel"/>
    <w:tmpl w:val="B218B50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nsid w:val="2FEB742E"/>
    <w:multiLevelType w:val="hybridMultilevel"/>
    <w:tmpl w:val="A46EAC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3A5A60"/>
    <w:multiLevelType w:val="hybridMultilevel"/>
    <w:tmpl w:val="B3BA6CB8"/>
    <w:lvl w:ilvl="0" w:tplc="0024DCFE">
      <w:numFmt w:val="bullet"/>
      <w:lvlText w:val=""/>
      <w:lvlJc w:val="left"/>
      <w:pPr>
        <w:ind w:left="1070" w:hanging="710"/>
      </w:pPr>
      <w:rPr>
        <w:rFonts w:ascii="Symbol" w:eastAsia="Times New Roman" w:hAnsi="Symbol" w:cs="ArialM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nsid w:val="31A77E39"/>
    <w:multiLevelType w:val="hybridMultilevel"/>
    <w:tmpl w:val="B82CD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2701DAD"/>
    <w:multiLevelType w:val="hybridMultilevel"/>
    <w:tmpl w:val="A350DFCC"/>
    <w:lvl w:ilvl="0" w:tplc="A0B481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7980D46"/>
    <w:multiLevelType w:val="hybridMultilevel"/>
    <w:tmpl w:val="AC1631B8"/>
    <w:lvl w:ilvl="0" w:tplc="0B7851BA">
      <w:start w:val="1"/>
      <w:numFmt w:val="bullet"/>
      <w:lvlText w:val="-"/>
      <w:lvlJc w:val="left"/>
      <w:pPr>
        <w:ind w:left="720" w:hanging="360"/>
      </w:pPr>
      <w:rPr>
        <w:rFonts w:ascii="Calisto MT" w:eastAsia="Times New Roman" w:hAnsi="Calisto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A0B03CD"/>
    <w:multiLevelType w:val="hybridMultilevel"/>
    <w:tmpl w:val="1B7007D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nsid w:val="3D7E5A7A"/>
    <w:multiLevelType w:val="hybridMultilevel"/>
    <w:tmpl w:val="8520B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D884ECE"/>
    <w:multiLevelType w:val="hybridMultilevel"/>
    <w:tmpl w:val="1748A9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3DC621A8"/>
    <w:multiLevelType w:val="hybridMultilevel"/>
    <w:tmpl w:val="DBEC7C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nsid w:val="3E020FC4"/>
    <w:multiLevelType w:val="hybridMultilevel"/>
    <w:tmpl w:val="2350FA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nsid w:val="3F090B55"/>
    <w:multiLevelType w:val="hybridMultilevel"/>
    <w:tmpl w:val="FDEE412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F9A3C09"/>
    <w:multiLevelType w:val="hybridMultilevel"/>
    <w:tmpl w:val="C67C3F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17314FA"/>
    <w:multiLevelType w:val="hybridMultilevel"/>
    <w:tmpl w:val="DFB477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nsid w:val="42A45485"/>
    <w:multiLevelType w:val="hybridMultilevel"/>
    <w:tmpl w:val="78220B28"/>
    <w:lvl w:ilvl="0" w:tplc="260E6348">
      <w:start w:val="1"/>
      <w:numFmt w:val="bullet"/>
      <w:lvlText w:val=""/>
      <w:lvlJc w:val="left"/>
      <w:pPr>
        <w:ind w:left="720" w:hanging="360"/>
      </w:pPr>
      <w:rPr>
        <w:rFonts w:ascii="Wingdings 2" w:hAnsi="Wingdings 2"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2AA3D77"/>
    <w:multiLevelType w:val="hybridMultilevel"/>
    <w:tmpl w:val="6E065E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43124EB3"/>
    <w:multiLevelType w:val="hybridMultilevel"/>
    <w:tmpl w:val="D9F412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43E450F4"/>
    <w:multiLevelType w:val="hybridMultilevel"/>
    <w:tmpl w:val="27B0F4DA"/>
    <w:lvl w:ilvl="0" w:tplc="1E02942E">
      <w:start w:val="3"/>
      <w:numFmt w:val="bullet"/>
      <w:lvlText w:val="-"/>
      <w:lvlJc w:val="left"/>
      <w:pPr>
        <w:ind w:left="720" w:hanging="360"/>
      </w:pPr>
      <w:rPr>
        <w:rFonts w:ascii="Calisto MT" w:eastAsiaTheme="minorEastAsia" w:hAnsi="Calisto MT" w:cstheme="minorBid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63B7B94"/>
    <w:multiLevelType w:val="hybridMultilevel"/>
    <w:tmpl w:val="7FA8D26A"/>
    <w:lvl w:ilvl="0" w:tplc="260E6348">
      <w:start w:val="1"/>
      <w:numFmt w:val="bullet"/>
      <w:lvlText w:val=""/>
      <w:lvlJc w:val="left"/>
      <w:pPr>
        <w:ind w:left="720" w:hanging="360"/>
      </w:pPr>
      <w:rPr>
        <w:rFonts w:ascii="Wingdings 2" w:hAnsi="Wingdings 2" w:hint="default"/>
        <w:color w:val="808080" w:themeColor="background1" w:themeShade="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8AE6C66"/>
    <w:multiLevelType w:val="hybridMultilevel"/>
    <w:tmpl w:val="B75E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95A5128"/>
    <w:multiLevelType w:val="hybridMultilevel"/>
    <w:tmpl w:val="62DE7EAC"/>
    <w:lvl w:ilvl="0" w:tplc="478C30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49FD2059"/>
    <w:multiLevelType w:val="hybridMultilevel"/>
    <w:tmpl w:val="639E12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4AAF6E65"/>
    <w:multiLevelType w:val="hybridMultilevel"/>
    <w:tmpl w:val="C66A4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CE24C3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4F6357E5"/>
    <w:multiLevelType w:val="hybridMultilevel"/>
    <w:tmpl w:val="4B36D3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171233C"/>
    <w:multiLevelType w:val="multilevel"/>
    <w:tmpl w:val="D44C24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4">
    <w:nsid w:val="51D52406"/>
    <w:multiLevelType w:val="hybridMultilevel"/>
    <w:tmpl w:val="57A6D5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34D79D3"/>
    <w:multiLevelType w:val="hybridMultilevel"/>
    <w:tmpl w:val="5C28F4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57D973F6"/>
    <w:multiLevelType w:val="hybridMultilevel"/>
    <w:tmpl w:val="C6567B3E"/>
    <w:lvl w:ilvl="0" w:tplc="4CE8D31E">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nsid w:val="580C1422"/>
    <w:multiLevelType w:val="hybridMultilevel"/>
    <w:tmpl w:val="4142D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584801F4"/>
    <w:multiLevelType w:val="hybridMultilevel"/>
    <w:tmpl w:val="CB90E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5A553141"/>
    <w:multiLevelType w:val="hybridMultilevel"/>
    <w:tmpl w:val="F230B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5A802C53"/>
    <w:multiLevelType w:val="hybridMultilevel"/>
    <w:tmpl w:val="B984ABA8"/>
    <w:lvl w:ilvl="0" w:tplc="7EACFDE4">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nsid w:val="5DD03F03"/>
    <w:multiLevelType w:val="hybridMultilevel"/>
    <w:tmpl w:val="1D7A1E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EDE34A2"/>
    <w:multiLevelType w:val="multilevel"/>
    <w:tmpl w:val="F5208BA6"/>
    <w:lvl w:ilvl="0">
      <w:start w:val="8"/>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nsid w:val="5EEE138C"/>
    <w:multiLevelType w:val="hybridMultilevel"/>
    <w:tmpl w:val="3746DE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FDE18D8"/>
    <w:multiLevelType w:val="hybridMultilevel"/>
    <w:tmpl w:val="251C1AE0"/>
    <w:lvl w:ilvl="0" w:tplc="94B0955E">
      <w:start w:val="1"/>
      <w:numFmt w:val="bullet"/>
      <w:lvlText w:val="•"/>
      <w:lvlJc w:val="left"/>
      <w:pPr>
        <w:ind w:left="1068" w:hanging="708"/>
      </w:pPr>
      <w:rPr>
        <w:rFonts w:ascii="Calibri" w:eastAsiaTheme="minorEastAsia" w:hAnsi="Calibri" w:cs="ArialM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nsid w:val="64D163D6"/>
    <w:multiLevelType w:val="hybridMultilevel"/>
    <w:tmpl w:val="A98A961C"/>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6">
    <w:nsid w:val="65FF3A3C"/>
    <w:multiLevelType w:val="hybridMultilevel"/>
    <w:tmpl w:val="A5C4B8C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7">
    <w:nsid w:val="66755648"/>
    <w:multiLevelType w:val="hybridMultilevel"/>
    <w:tmpl w:val="93DE16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66D964B2"/>
    <w:multiLevelType w:val="hybridMultilevel"/>
    <w:tmpl w:val="977CE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66EE0C03"/>
    <w:multiLevelType w:val="hybridMultilevel"/>
    <w:tmpl w:val="04D6D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D0E0429"/>
    <w:multiLevelType w:val="multilevel"/>
    <w:tmpl w:val="28B89D12"/>
    <w:lvl w:ilvl="0">
      <w:start w:val="1"/>
      <w:numFmt w:val="decimal"/>
      <w:lvlRestart w:val="0"/>
      <w:pStyle w:val="ManualNumPar1"/>
      <w:lvlText w:val="(%1)"/>
      <w:lvlJc w:val="left"/>
      <w:pPr>
        <w:tabs>
          <w:tab w:val="num" w:pos="709"/>
        </w:tabs>
        <w:ind w:left="709" w:hanging="709"/>
      </w:pPr>
    </w:lvl>
    <w:lvl w:ilvl="1">
      <w:start w:val="1"/>
      <w:numFmt w:val="lowerLetter"/>
      <w:pStyle w:val="Applicationdirecte"/>
      <w:lvlText w:val="(%2)"/>
      <w:lvlJc w:val="left"/>
      <w:pPr>
        <w:tabs>
          <w:tab w:val="num" w:pos="1417"/>
        </w:tabs>
        <w:ind w:left="1417" w:hanging="708"/>
      </w:pPr>
    </w:lvl>
    <w:lvl w:ilvl="2">
      <w:start w:val="1"/>
      <w:numFmt w:val="bullet"/>
      <w:pStyle w:val="Fait"/>
      <w:lvlText w:val="–"/>
      <w:lvlJc w:val="left"/>
      <w:pPr>
        <w:tabs>
          <w:tab w:val="num" w:pos="2126"/>
        </w:tabs>
        <w:ind w:left="2126" w:hanging="709"/>
      </w:pPr>
      <w:rPr>
        <w:rFonts w:ascii="Times New Roman" w:hAnsi="Times New Roman"/>
      </w:rPr>
    </w:lvl>
    <w:lvl w:ilvl="3">
      <w:start w:val="1"/>
      <w:numFmt w:val="bullet"/>
      <w:pStyle w:val="Institutionquisigne"/>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6D8C623F"/>
    <w:multiLevelType w:val="hybridMultilevel"/>
    <w:tmpl w:val="700296CE"/>
    <w:lvl w:ilvl="0" w:tplc="33C6A4CA">
      <w:start w:val="6"/>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EC97227"/>
    <w:multiLevelType w:val="hybridMultilevel"/>
    <w:tmpl w:val="01FEE3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3">
    <w:nsid w:val="6FE16337"/>
    <w:multiLevelType w:val="hybridMultilevel"/>
    <w:tmpl w:val="9CAC00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70F702D9"/>
    <w:multiLevelType w:val="hybridMultilevel"/>
    <w:tmpl w:val="F28EF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71910A71"/>
    <w:multiLevelType w:val="hybridMultilevel"/>
    <w:tmpl w:val="86D64B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72B14B50"/>
    <w:multiLevelType w:val="hybridMultilevel"/>
    <w:tmpl w:val="FE9A01D2"/>
    <w:lvl w:ilvl="0" w:tplc="0024DCFE">
      <w:numFmt w:val="bullet"/>
      <w:lvlText w:val=""/>
      <w:lvlJc w:val="left"/>
      <w:pPr>
        <w:ind w:left="1070" w:hanging="710"/>
      </w:pPr>
      <w:rPr>
        <w:rFonts w:ascii="Symbol" w:eastAsia="Times New Roman" w:hAnsi="Symbol" w:cs="ArialM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7">
    <w:nsid w:val="73991263"/>
    <w:multiLevelType w:val="hybridMultilevel"/>
    <w:tmpl w:val="AD7E389A"/>
    <w:lvl w:ilvl="0" w:tplc="4EC2C81E">
      <w:start w:val="1"/>
      <w:numFmt w:val="bullet"/>
      <w:lvlText w:val="-"/>
      <w:lvlJc w:val="left"/>
      <w:pPr>
        <w:ind w:left="720" w:hanging="360"/>
      </w:pPr>
      <w:rPr>
        <w:rFonts w:ascii="Calisto MT" w:eastAsia="Times New Roman" w:hAnsi="Calisto M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744F5582"/>
    <w:multiLevelType w:val="hybridMultilevel"/>
    <w:tmpl w:val="27CAC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749C62D5"/>
    <w:multiLevelType w:val="hybridMultilevel"/>
    <w:tmpl w:val="9D2408DC"/>
    <w:lvl w:ilvl="0" w:tplc="040C000D">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788E30A1"/>
    <w:multiLevelType w:val="hybridMultilevel"/>
    <w:tmpl w:val="770478D2"/>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1">
    <w:nsid w:val="7929792C"/>
    <w:multiLevelType w:val="hybridMultilevel"/>
    <w:tmpl w:val="D1E84DA2"/>
    <w:lvl w:ilvl="0" w:tplc="04260015">
      <w:start w:val="1"/>
      <w:numFmt w:val="upp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nsid w:val="79352753"/>
    <w:multiLevelType w:val="hybridMultilevel"/>
    <w:tmpl w:val="CA42C0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7BA53938"/>
    <w:multiLevelType w:val="hybridMultilevel"/>
    <w:tmpl w:val="90626A4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4">
    <w:nsid w:val="7C1336F7"/>
    <w:multiLevelType w:val="hybridMultilevel"/>
    <w:tmpl w:val="B0BA7CF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9"/>
  </w:num>
  <w:num w:numId="5">
    <w:abstractNumId w:val="40"/>
  </w:num>
  <w:num w:numId="6">
    <w:abstractNumId w:val="79"/>
  </w:num>
  <w:num w:numId="7">
    <w:abstractNumId w:val="75"/>
  </w:num>
  <w:num w:numId="8">
    <w:abstractNumId w:val="29"/>
  </w:num>
  <w:num w:numId="9">
    <w:abstractNumId w:val="49"/>
  </w:num>
  <w:num w:numId="10">
    <w:abstractNumId w:val="18"/>
  </w:num>
  <w:num w:numId="11">
    <w:abstractNumId w:val="39"/>
  </w:num>
  <w:num w:numId="12">
    <w:abstractNumId w:val="67"/>
  </w:num>
  <w:num w:numId="13">
    <w:abstractNumId w:val="81"/>
  </w:num>
  <w:num w:numId="14">
    <w:abstractNumId w:val="52"/>
  </w:num>
  <w:num w:numId="15">
    <w:abstractNumId w:val="6"/>
  </w:num>
  <w:num w:numId="16">
    <w:abstractNumId w:val="61"/>
  </w:num>
  <w:num w:numId="17">
    <w:abstractNumId w:val="7"/>
  </w:num>
  <w:num w:numId="18">
    <w:abstractNumId w:val="48"/>
  </w:num>
  <w:num w:numId="19">
    <w:abstractNumId w:val="70"/>
  </w:num>
  <w:num w:numId="20">
    <w:abstractNumId w:val="4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80"/>
  </w:num>
  <w:num w:numId="24">
    <w:abstractNumId w:val="51"/>
  </w:num>
  <w:num w:numId="25">
    <w:abstractNumId w:val="22"/>
  </w:num>
  <w:num w:numId="26">
    <w:abstractNumId w:val="53"/>
  </w:num>
  <w:num w:numId="27">
    <w:abstractNumId w:val="20"/>
  </w:num>
  <w:num w:numId="28">
    <w:abstractNumId w:val="45"/>
  </w:num>
  <w:num w:numId="29">
    <w:abstractNumId w:val="28"/>
  </w:num>
  <w:num w:numId="30">
    <w:abstractNumId w:val="24"/>
  </w:num>
  <w:num w:numId="31">
    <w:abstractNumId w:val="10"/>
  </w:num>
  <w:num w:numId="32">
    <w:abstractNumId w:val="11"/>
  </w:num>
  <w:num w:numId="33">
    <w:abstractNumId w:val="27"/>
  </w:num>
  <w:num w:numId="34">
    <w:abstractNumId w:val="31"/>
  </w:num>
  <w:num w:numId="35">
    <w:abstractNumId w:val="14"/>
  </w:num>
  <w:num w:numId="36">
    <w:abstractNumId w:val="59"/>
  </w:num>
  <w:num w:numId="37">
    <w:abstractNumId w:val="9"/>
  </w:num>
  <w:num w:numId="38">
    <w:abstractNumId w:val="57"/>
  </w:num>
  <w:num w:numId="39">
    <w:abstractNumId w:val="36"/>
  </w:num>
  <w:num w:numId="40">
    <w:abstractNumId w:val="63"/>
  </w:num>
  <w:num w:numId="41">
    <w:abstractNumId w:val="74"/>
  </w:num>
  <w:num w:numId="42">
    <w:abstractNumId w:val="55"/>
  </w:num>
  <w:num w:numId="43">
    <w:abstractNumId w:val="37"/>
  </w:num>
  <w:num w:numId="44">
    <w:abstractNumId w:val="34"/>
  </w:num>
  <w:num w:numId="45">
    <w:abstractNumId w:val="8"/>
  </w:num>
  <w:num w:numId="46">
    <w:abstractNumId w:val="41"/>
  </w:num>
  <w:num w:numId="47">
    <w:abstractNumId w:val="12"/>
  </w:num>
  <w:num w:numId="48">
    <w:abstractNumId w:val="84"/>
  </w:num>
  <w:num w:numId="49">
    <w:abstractNumId w:val="83"/>
  </w:num>
  <w:num w:numId="50">
    <w:abstractNumId w:val="25"/>
  </w:num>
  <w:num w:numId="51">
    <w:abstractNumId w:val="68"/>
  </w:num>
  <w:num w:numId="52">
    <w:abstractNumId w:val="38"/>
  </w:num>
  <w:num w:numId="53">
    <w:abstractNumId w:val="69"/>
  </w:num>
  <w:num w:numId="54">
    <w:abstractNumId w:val="30"/>
  </w:num>
  <w:num w:numId="55">
    <w:abstractNumId w:val="76"/>
  </w:num>
  <w:num w:numId="56">
    <w:abstractNumId w:val="23"/>
  </w:num>
  <w:num w:numId="57">
    <w:abstractNumId w:val="5"/>
  </w:num>
  <w:num w:numId="58">
    <w:abstractNumId w:val="78"/>
  </w:num>
  <w:num w:numId="59">
    <w:abstractNumId w:val="58"/>
  </w:num>
  <w:num w:numId="60">
    <w:abstractNumId w:val="50"/>
  </w:num>
  <w:num w:numId="61">
    <w:abstractNumId w:val="42"/>
  </w:num>
  <w:num w:numId="62">
    <w:abstractNumId w:val="47"/>
  </w:num>
  <w:num w:numId="63">
    <w:abstractNumId w:val="46"/>
  </w:num>
  <w:num w:numId="64">
    <w:abstractNumId w:val="17"/>
  </w:num>
  <w:num w:numId="65">
    <w:abstractNumId w:val="73"/>
  </w:num>
  <w:num w:numId="66">
    <w:abstractNumId w:val="82"/>
  </w:num>
  <w:num w:numId="67">
    <w:abstractNumId w:val="54"/>
  </w:num>
  <w:num w:numId="68">
    <w:abstractNumId w:val="44"/>
  </w:num>
  <w:num w:numId="69">
    <w:abstractNumId w:val="3"/>
  </w:num>
  <w:num w:numId="70">
    <w:abstractNumId w:val="65"/>
  </w:num>
  <w:num w:numId="71">
    <w:abstractNumId w:val="72"/>
  </w:num>
  <w:num w:numId="72">
    <w:abstractNumId w:val="66"/>
  </w:num>
  <w:num w:numId="73">
    <w:abstractNumId w:val="77"/>
  </w:num>
  <w:num w:numId="74">
    <w:abstractNumId w:val="33"/>
  </w:num>
  <w:num w:numId="75">
    <w:abstractNumId w:val="60"/>
  </w:num>
  <w:num w:numId="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6"/>
  </w:num>
  <w:num w:numId="78">
    <w:abstractNumId w:val="4"/>
  </w:num>
  <w:num w:numId="79">
    <w:abstractNumId w:val="13"/>
  </w:num>
  <w:num w:numId="80">
    <w:abstractNumId w:val="64"/>
  </w:num>
  <w:num w:numId="81">
    <w:abstractNumId w:val="26"/>
  </w:num>
  <w:num w:numId="82">
    <w:abstractNumId w:val="16"/>
  </w:num>
  <w:num w:numId="83">
    <w:abstractNumId w:val="62"/>
  </w:num>
  <w:num w:numId="84">
    <w:abstractNumId w:val="32"/>
  </w:num>
  <w:num w:numId="85">
    <w:abstractNumId w:val="7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proofState w:spelling="clean" w:grammar="clean"/>
  <w:defaultTabStop w:val="720"/>
  <w:hyphenationZone w:val="425"/>
  <w:characterSpacingControl w:val="doNotCompress"/>
  <w:hdrShapeDefaults>
    <o:shapedefaults v:ext="edit" spidmax="14337">
      <v:textbox inset="5.85pt,.7pt,5.85pt,.7pt"/>
    </o:shapedefaults>
  </w:hdrShapeDefaults>
  <w:footnotePr>
    <w:numFmt w:val="lowerRoman"/>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0A3"/>
    <w:rsid w:val="00000021"/>
    <w:rsid w:val="00000069"/>
    <w:rsid w:val="00000363"/>
    <w:rsid w:val="000006E4"/>
    <w:rsid w:val="00000AE2"/>
    <w:rsid w:val="000013B5"/>
    <w:rsid w:val="00002063"/>
    <w:rsid w:val="000020E6"/>
    <w:rsid w:val="000029E0"/>
    <w:rsid w:val="00002BD5"/>
    <w:rsid w:val="00002F8C"/>
    <w:rsid w:val="0000327C"/>
    <w:rsid w:val="0000336F"/>
    <w:rsid w:val="0000366C"/>
    <w:rsid w:val="00003C06"/>
    <w:rsid w:val="000046D6"/>
    <w:rsid w:val="00005080"/>
    <w:rsid w:val="000051F0"/>
    <w:rsid w:val="00005337"/>
    <w:rsid w:val="000054E1"/>
    <w:rsid w:val="000056F6"/>
    <w:rsid w:val="00005726"/>
    <w:rsid w:val="00005A4B"/>
    <w:rsid w:val="00005EE4"/>
    <w:rsid w:val="00005F78"/>
    <w:rsid w:val="0000667E"/>
    <w:rsid w:val="00006885"/>
    <w:rsid w:val="000078B8"/>
    <w:rsid w:val="00007F1E"/>
    <w:rsid w:val="000103AB"/>
    <w:rsid w:val="000107E4"/>
    <w:rsid w:val="000108E4"/>
    <w:rsid w:val="00011336"/>
    <w:rsid w:val="00011395"/>
    <w:rsid w:val="00011978"/>
    <w:rsid w:val="00011C1A"/>
    <w:rsid w:val="0001268C"/>
    <w:rsid w:val="00012AAC"/>
    <w:rsid w:val="00012AF0"/>
    <w:rsid w:val="0001321B"/>
    <w:rsid w:val="0001321D"/>
    <w:rsid w:val="0001335A"/>
    <w:rsid w:val="000138E1"/>
    <w:rsid w:val="00013B60"/>
    <w:rsid w:val="00013B97"/>
    <w:rsid w:val="00013E5E"/>
    <w:rsid w:val="00014522"/>
    <w:rsid w:val="000145CC"/>
    <w:rsid w:val="0001487B"/>
    <w:rsid w:val="00014909"/>
    <w:rsid w:val="00014C13"/>
    <w:rsid w:val="00014CA5"/>
    <w:rsid w:val="00014ED9"/>
    <w:rsid w:val="00015AB7"/>
    <w:rsid w:val="00015D65"/>
    <w:rsid w:val="00015F02"/>
    <w:rsid w:val="0001616C"/>
    <w:rsid w:val="00016A78"/>
    <w:rsid w:val="00016C3B"/>
    <w:rsid w:val="00016F71"/>
    <w:rsid w:val="00016FD7"/>
    <w:rsid w:val="000174E4"/>
    <w:rsid w:val="00017541"/>
    <w:rsid w:val="000178F3"/>
    <w:rsid w:val="00017C4B"/>
    <w:rsid w:val="00017F8D"/>
    <w:rsid w:val="00020749"/>
    <w:rsid w:val="00020A2F"/>
    <w:rsid w:val="00020F02"/>
    <w:rsid w:val="00020F66"/>
    <w:rsid w:val="00020FDD"/>
    <w:rsid w:val="000210DD"/>
    <w:rsid w:val="00021F3F"/>
    <w:rsid w:val="00022032"/>
    <w:rsid w:val="00022173"/>
    <w:rsid w:val="00022215"/>
    <w:rsid w:val="00022586"/>
    <w:rsid w:val="00022A71"/>
    <w:rsid w:val="00022B5D"/>
    <w:rsid w:val="00022F48"/>
    <w:rsid w:val="00023262"/>
    <w:rsid w:val="00023523"/>
    <w:rsid w:val="0002389D"/>
    <w:rsid w:val="000246FF"/>
    <w:rsid w:val="000250DC"/>
    <w:rsid w:val="000254C0"/>
    <w:rsid w:val="0002584D"/>
    <w:rsid w:val="0002591A"/>
    <w:rsid w:val="00025BD2"/>
    <w:rsid w:val="00025E62"/>
    <w:rsid w:val="00025EA7"/>
    <w:rsid w:val="00026356"/>
    <w:rsid w:val="00026475"/>
    <w:rsid w:val="00026A5C"/>
    <w:rsid w:val="00027113"/>
    <w:rsid w:val="00030371"/>
    <w:rsid w:val="000304D6"/>
    <w:rsid w:val="000305DD"/>
    <w:rsid w:val="000306E2"/>
    <w:rsid w:val="000309FF"/>
    <w:rsid w:val="00030CD2"/>
    <w:rsid w:val="00030D01"/>
    <w:rsid w:val="00030D56"/>
    <w:rsid w:val="00031748"/>
    <w:rsid w:val="000319DB"/>
    <w:rsid w:val="00031B03"/>
    <w:rsid w:val="00031B0C"/>
    <w:rsid w:val="00032486"/>
    <w:rsid w:val="00032975"/>
    <w:rsid w:val="00032E7F"/>
    <w:rsid w:val="00033471"/>
    <w:rsid w:val="0003369D"/>
    <w:rsid w:val="00033D90"/>
    <w:rsid w:val="00034011"/>
    <w:rsid w:val="00034047"/>
    <w:rsid w:val="00034127"/>
    <w:rsid w:val="0003442D"/>
    <w:rsid w:val="000348AF"/>
    <w:rsid w:val="000348DD"/>
    <w:rsid w:val="00035050"/>
    <w:rsid w:val="00035666"/>
    <w:rsid w:val="00035B7D"/>
    <w:rsid w:val="000363D3"/>
    <w:rsid w:val="0003643B"/>
    <w:rsid w:val="00036A31"/>
    <w:rsid w:val="0003700C"/>
    <w:rsid w:val="00037D9A"/>
    <w:rsid w:val="00040197"/>
    <w:rsid w:val="00040A36"/>
    <w:rsid w:val="00040DEA"/>
    <w:rsid w:val="0004128D"/>
    <w:rsid w:val="00041306"/>
    <w:rsid w:val="00041595"/>
    <w:rsid w:val="00041E02"/>
    <w:rsid w:val="00041F57"/>
    <w:rsid w:val="00042171"/>
    <w:rsid w:val="000421AF"/>
    <w:rsid w:val="00042361"/>
    <w:rsid w:val="00042980"/>
    <w:rsid w:val="00042A03"/>
    <w:rsid w:val="00042CE0"/>
    <w:rsid w:val="00042E18"/>
    <w:rsid w:val="0004380F"/>
    <w:rsid w:val="0004394A"/>
    <w:rsid w:val="00043B2D"/>
    <w:rsid w:val="00043DF6"/>
    <w:rsid w:val="00044507"/>
    <w:rsid w:val="000445D5"/>
    <w:rsid w:val="00044607"/>
    <w:rsid w:val="000446F6"/>
    <w:rsid w:val="0004497A"/>
    <w:rsid w:val="00044D7D"/>
    <w:rsid w:val="0004548E"/>
    <w:rsid w:val="000456AC"/>
    <w:rsid w:val="00045728"/>
    <w:rsid w:val="00045DEF"/>
    <w:rsid w:val="00046158"/>
    <w:rsid w:val="0004631C"/>
    <w:rsid w:val="000469F9"/>
    <w:rsid w:val="00046FFB"/>
    <w:rsid w:val="0004775C"/>
    <w:rsid w:val="00047879"/>
    <w:rsid w:val="00047940"/>
    <w:rsid w:val="00047AEB"/>
    <w:rsid w:val="00050641"/>
    <w:rsid w:val="00051D4D"/>
    <w:rsid w:val="00051D67"/>
    <w:rsid w:val="0005207A"/>
    <w:rsid w:val="000522A5"/>
    <w:rsid w:val="000523C2"/>
    <w:rsid w:val="000524A2"/>
    <w:rsid w:val="0005288A"/>
    <w:rsid w:val="00052CA2"/>
    <w:rsid w:val="00053133"/>
    <w:rsid w:val="0005354E"/>
    <w:rsid w:val="000535C2"/>
    <w:rsid w:val="00053690"/>
    <w:rsid w:val="000537F0"/>
    <w:rsid w:val="00053A18"/>
    <w:rsid w:val="000540C6"/>
    <w:rsid w:val="000542C2"/>
    <w:rsid w:val="0005442E"/>
    <w:rsid w:val="00054C50"/>
    <w:rsid w:val="00054C57"/>
    <w:rsid w:val="00055292"/>
    <w:rsid w:val="00055639"/>
    <w:rsid w:val="00055B06"/>
    <w:rsid w:val="00055B33"/>
    <w:rsid w:val="00055BD4"/>
    <w:rsid w:val="00055E99"/>
    <w:rsid w:val="00056123"/>
    <w:rsid w:val="00056243"/>
    <w:rsid w:val="000562C7"/>
    <w:rsid w:val="00056391"/>
    <w:rsid w:val="000566B0"/>
    <w:rsid w:val="0005679D"/>
    <w:rsid w:val="00056C65"/>
    <w:rsid w:val="00057246"/>
    <w:rsid w:val="00057923"/>
    <w:rsid w:val="000579D8"/>
    <w:rsid w:val="00057CCA"/>
    <w:rsid w:val="00060100"/>
    <w:rsid w:val="000606F1"/>
    <w:rsid w:val="00061100"/>
    <w:rsid w:val="0006157C"/>
    <w:rsid w:val="00061F8F"/>
    <w:rsid w:val="000622C3"/>
    <w:rsid w:val="00062444"/>
    <w:rsid w:val="0006281D"/>
    <w:rsid w:val="00062B20"/>
    <w:rsid w:val="00062CE1"/>
    <w:rsid w:val="00062E7F"/>
    <w:rsid w:val="00063B14"/>
    <w:rsid w:val="000644DC"/>
    <w:rsid w:val="00064989"/>
    <w:rsid w:val="00064B11"/>
    <w:rsid w:val="00064BF6"/>
    <w:rsid w:val="000650A0"/>
    <w:rsid w:val="000651EF"/>
    <w:rsid w:val="0006620E"/>
    <w:rsid w:val="00066373"/>
    <w:rsid w:val="000666E5"/>
    <w:rsid w:val="000668AD"/>
    <w:rsid w:val="000668B2"/>
    <w:rsid w:val="00066BCA"/>
    <w:rsid w:val="00066D81"/>
    <w:rsid w:val="00067000"/>
    <w:rsid w:val="00067189"/>
    <w:rsid w:val="00067497"/>
    <w:rsid w:val="00067647"/>
    <w:rsid w:val="00067783"/>
    <w:rsid w:val="0006785F"/>
    <w:rsid w:val="0006798E"/>
    <w:rsid w:val="00067E81"/>
    <w:rsid w:val="00070AB7"/>
    <w:rsid w:val="00070D6C"/>
    <w:rsid w:val="00070DBB"/>
    <w:rsid w:val="00071179"/>
    <w:rsid w:val="000714EB"/>
    <w:rsid w:val="00071656"/>
    <w:rsid w:val="0007179D"/>
    <w:rsid w:val="000718E7"/>
    <w:rsid w:val="00071A17"/>
    <w:rsid w:val="00071A5D"/>
    <w:rsid w:val="00071C93"/>
    <w:rsid w:val="00071D8E"/>
    <w:rsid w:val="00071D93"/>
    <w:rsid w:val="00071DC1"/>
    <w:rsid w:val="00071E25"/>
    <w:rsid w:val="000720B0"/>
    <w:rsid w:val="00072461"/>
    <w:rsid w:val="00072C2B"/>
    <w:rsid w:val="00073439"/>
    <w:rsid w:val="000736A1"/>
    <w:rsid w:val="00073885"/>
    <w:rsid w:val="00073F25"/>
    <w:rsid w:val="00074441"/>
    <w:rsid w:val="0007492C"/>
    <w:rsid w:val="000751D1"/>
    <w:rsid w:val="00075428"/>
    <w:rsid w:val="000754C8"/>
    <w:rsid w:val="0007569C"/>
    <w:rsid w:val="00075EEA"/>
    <w:rsid w:val="00076250"/>
    <w:rsid w:val="0007657E"/>
    <w:rsid w:val="000765C6"/>
    <w:rsid w:val="00076752"/>
    <w:rsid w:val="0007709E"/>
    <w:rsid w:val="00077772"/>
    <w:rsid w:val="00077B58"/>
    <w:rsid w:val="00077D06"/>
    <w:rsid w:val="00077D55"/>
    <w:rsid w:val="00077DC0"/>
    <w:rsid w:val="00077FD6"/>
    <w:rsid w:val="000802B6"/>
    <w:rsid w:val="00080C4C"/>
    <w:rsid w:val="00080D8C"/>
    <w:rsid w:val="00080ECC"/>
    <w:rsid w:val="00080FA1"/>
    <w:rsid w:val="00080FEC"/>
    <w:rsid w:val="000812F1"/>
    <w:rsid w:val="00081AE5"/>
    <w:rsid w:val="00081D1C"/>
    <w:rsid w:val="00081D8F"/>
    <w:rsid w:val="00081E0B"/>
    <w:rsid w:val="00081ECA"/>
    <w:rsid w:val="000821EC"/>
    <w:rsid w:val="00082349"/>
    <w:rsid w:val="0008261E"/>
    <w:rsid w:val="0008270D"/>
    <w:rsid w:val="00082E43"/>
    <w:rsid w:val="0008327B"/>
    <w:rsid w:val="00083504"/>
    <w:rsid w:val="000843BA"/>
    <w:rsid w:val="00084515"/>
    <w:rsid w:val="000847DF"/>
    <w:rsid w:val="00084E22"/>
    <w:rsid w:val="00084E6C"/>
    <w:rsid w:val="00084F08"/>
    <w:rsid w:val="00085107"/>
    <w:rsid w:val="00085CBC"/>
    <w:rsid w:val="00085D02"/>
    <w:rsid w:val="00085E20"/>
    <w:rsid w:val="000863DE"/>
    <w:rsid w:val="00086780"/>
    <w:rsid w:val="000868D1"/>
    <w:rsid w:val="00087221"/>
    <w:rsid w:val="000874D4"/>
    <w:rsid w:val="00087AFB"/>
    <w:rsid w:val="00087B8B"/>
    <w:rsid w:val="00087D04"/>
    <w:rsid w:val="00090407"/>
    <w:rsid w:val="00090DBA"/>
    <w:rsid w:val="00090E25"/>
    <w:rsid w:val="00090F4A"/>
    <w:rsid w:val="0009142A"/>
    <w:rsid w:val="00091469"/>
    <w:rsid w:val="00091662"/>
    <w:rsid w:val="00091C47"/>
    <w:rsid w:val="000920AC"/>
    <w:rsid w:val="000924DE"/>
    <w:rsid w:val="000925EC"/>
    <w:rsid w:val="00092806"/>
    <w:rsid w:val="00092BFD"/>
    <w:rsid w:val="00092DDA"/>
    <w:rsid w:val="0009314E"/>
    <w:rsid w:val="0009321F"/>
    <w:rsid w:val="000935AD"/>
    <w:rsid w:val="000935DB"/>
    <w:rsid w:val="0009388E"/>
    <w:rsid w:val="00093EA0"/>
    <w:rsid w:val="00093F8C"/>
    <w:rsid w:val="0009425A"/>
    <w:rsid w:val="00094435"/>
    <w:rsid w:val="00094B32"/>
    <w:rsid w:val="00094FAA"/>
    <w:rsid w:val="0009504D"/>
    <w:rsid w:val="0009514C"/>
    <w:rsid w:val="000951BF"/>
    <w:rsid w:val="000953C2"/>
    <w:rsid w:val="00095515"/>
    <w:rsid w:val="00095B20"/>
    <w:rsid w:val="000966A7"/>
    <w:rsid w:val="000967F3"/>
    <w:rsid w:val="0009688E"/>
    <w:rsid w:val="000968A2"/>
    <w:rsid w:val="000968D9"/>
    <w:rsid w:val="00096F9D"/>
    <w:rsid w:val="00097060"/>
    <w:rsid w:val="0009754B"/>
    <w:rsid w:val="000A0117"/>
    <w:rsid w:val="000A018D"/>
    <w:rsid w:val="000A032C"/>
    <w:rsid w:val="000A0F24"/>
    <w:rsid w:val="000A131F"/>
    <w:rsid w:val="000A1A06"/>
    <w:rsid w:val="000A1BC6"/>
    <w:rsid w:val="000A20CF"/>
    <w:rsid w:val="000A2433"/>
    <w:rsid w:val="000A2A54"/>
    <w:rsid w:val="000A2E66"/>
    <w:rsid w:val="000A2F07"/>
    <w:rsid w:val="000A3792"/>
    <w:rsid w:val="000A3831"/>
    <w:rsid w:val="000A3851"/>
    <w:rsid w:val="000A38AD"/>
    <w:rsid w:val="000A3A55"/>
    <w:rsid w:val="000A3F5B"/>
    <w:rsid w:val="000A450C"/>
    <w:rsid w:val="000A4747"/>
    <w:rsid w:val="000A483E"/>
    <w:rsid w:val="000A49D9"/>
    <w:rsid w:val="000A5039"/>
    <w:rsid w:val="000A55C8"/>
    <w:rsid w:val="000A5C2C"/>
    <w:rsid w:val="000A5CAE"/>
    <w:rsid w:val="000A6491"/>
    <w:rsid w:val="000A64C6"/>
    <w:rsid w:val="000A6714"/>
    <w:rsid w:val="000A6F20"/>
    <w:rsid w:val="000A7048"/>
    <w:rsid w:val="000A76DC"/>
    <w:rsid w:val="000A7CF3"/>
    <w:rsid w:val="000A7E84"/>
    <w:rsid w:val="000B002E"/>
    <w:rsid w:val="000B0119"/>
    <w:rsid w:val="000B084A"/>
    <w:rsid w:val="000B0D06"/>
    <w:rsid w:val="000B1575"/>
    <w:rsid w:val="000B1A73"/>
    <w:rsid w:val="000B1B24"/>
    <w:rsid w:val="000B1BAE"/>
    <w:rsid w:val="000B1DF9"/>
    <w:rsid w:val="000B207E"/>
    <w:rsid w:val="000B22AD"/>
    <w:rsid w:val="000B22C7"/>
    <w:rsid w:val="000B23DB"/>
    <w:rsid w:val="000B269A"/>
    <w:rsid w:val="000B2D46"/>
    <w:rsid w:val="000B2E35"/>
    <w:rsid w:val="000B2ED7"/>
    <w:rsid w:val="000B3393"/>
    <w:rsid w:val="000B3476"/>
    <w:rsid w:val="000B3489"/>
    <w:rsid w:val="000B3491"/>
    <w:rsid w:val="000B3659"/>
    <w:rsid w:val="000B3BA4"/>
    <w:rsid w:val="000B3CA2"/>
    <w:rsid w:val="000B3DB6"/>
    <w:rsid w:val="000B466C"/>
    <w:rsid w:val="000B4A63"/>
    <w:rsid w:val="000B4EE0"/>
    <w:rsid w:val="000B4F80"/>
    <w:rsid w:val="000B553B"/>
    <w:rsid w:val="000B58DA"/>
    <w:rsid w:val="000B59A8"/>
    <w:rsid w:val="000B5A08"/>
    <w:rsid w:val="000B5A48"/>
    <w:rsid w:val="000B5F13"/>
    <w:rsid w:val="000B6333"/>
    <w:rsid w:val="000B63F4"/>
    <w:rsid w:val="000B6733"/>
    <w:rsid w:val="000B67B9"/>
    <w:rsid w:val="000B6A17"/>
    <w:rsid w:val="000B6D09"/>
    <w:rsid w:val="000B7048"/>
    <w:rsid w:val="000B704E"/>
    <w:rsid w:val="000B71FE"/>
    <w:rsid w:val="000B7558"/>
    <w:rsid w:val="000C0024"/>
    <w:rsid w:val="000C01ED"/>
    <w:rsid w:val="000C01F4"/>
    <w:rsid w:val="000C077F"/>
    <w:rsid w:val="000C0E7C"/>
    <w:rsid w:val="000C1E88"/>
    <w:rsid w:val="000C2098"/>
    <w:rsid w:val="000C2394"/>
    <w:rsid w:val="000C26CE"/>
    <w:rsid w:val="000C2AC4"/>
    <w:rsid w:val="000C2DEA"/>
    <w:rsid w:val="000C3502"/>
    <w:rsid w:val="000C3649"/>
    <w:rsid w:val="000C3B95"/>
    <w:rsid w:val="000C3CBA"/>
    <w:rsid w:val="000C48EA"/>
    <w:rsid w:val="000C49D0"/>
    <w:rsid w:val="000C4CB4"/>
    <w:rsid w:val="000C5106"/>
    <w:rsid w:val="000C5495"/>
    <w:rsid w:val="000C5576"/>
    <w:rsid w:val="000C599A"/>
    <w:rsid w:val="000C5C49"/>
    <w:rsid w:val="000C60BD"/>
    <w:rsid w:val="000C6166"/>
    <w:rsid w:val="000C627B"/>
    <w:rsid w:val="000C671B"/>
    <w:rsid w:val="000C679B"/>
    <w:rsid w:val="000C6832"/>
    <w:rsid w:val="000C6E01"/>
    <w:rsid w:val="000C6E8D"/>
    <w:rsid w:val="000C6E8E"/>
    <w:rsid w:val="000C72D0"/>
    <w:rsid w:val="000C7417"/>
    <w:rsid w:val="000C7580"/>
    <w:rsid w:val="000D0083"/>
    <w:rsid w:val="000D011A"/>
    <w:rsid w:val="000D01B3"/>
    <w:rsid w:val="000D1058"/>
    <w:rsid w:val="000D1250"/>
    <w:rsid w:val="000D1426"/>
    <w:rsid w:val="000D15AD"/>
    <w:rsid w:val="000D1AB5"/>
    <w:rsid w:val="000D1B31"/>
    <w:rsid w:val="000D1DB4"/>
    <w:rsid w:val="000D1FD1"/>
    <w:rsid w:val="000D255D"/>
    <w:rsid w:val="000D2834"/>
    <w:rsid w:val="000D2B6F"/>
    <w:rsid w:val="000D2E09"/>
    <w:rsid w:val="000D3068"/>
    <w:rsid w:val="000D311B"/>
    <w:rsid w:val="000D3179"/>
    <w:rsid w:val="000D32C7"/>
    <w:rsid w:val="000D3441"/>
    <w:rsid w:val="000D35E9"/>
    <w:rsid w:val="000D36B6"/>
    <w:rsid w:val="000D3EEA"/>
    <w:rsid w:val="000D44CC"/>
    <w:rsid w:val="000D4BFE"/>
    <w:rsid w:val="000D5526"/>
    <w:rsid w:val="000D5812"/>
    <w:rsid w:val="000D592A"/>
    <w:rsid w:val="000D6967"/>
    <w:rsid w:val="000D6ACE"/>
    <w:rsid w:val="000D6E4B"/>
    <w:rsid w:val="000D77D1"/>
    <w:rsid w:val="000D7E3C"/>
    <w:rsid w:val="000E09FC"/>
    <w:rsid w:val="000E0AE0"/>
    <w:rsid w:val="000E0E4F"/>
    <w:rsid w:val="000E0F53"/>
    <w:rsid w:val="000E10C5"/>
    <w:rsid w:val="000E1240"/>
    <w:rsid w:val="000E149A"/>
    <w:rsid w:val="000E15A6"/>
    <w:rsid w:val="000E1641"/>
    <w:rsid w:val="000E18E7"/>
    <w:rsid w:val="000E1DE5"/>
    <w:rsid w:val="000E2178"/>
    <w:rsid w:val="000E2331"/>
    <w:rsid w:val="000E2602"/>
    <w:rsid w:val="000E295C"/>
    <w:rsid w:val="000E2B1A"/>
    <w:rsid w:val="000E2BD0"/>
    <w:rsid w:val="000E2E48"/>
    <w:rsid w:val="000E3144"/>
    <w:rsid w:val="000E316E"/>
    <w:rsid w:val="000E347E"/>
    <w:rsid w:val="000E3EA1"/>
    <w:rsid w:val="000E43FE"/>
    <w:rsid w:val="000E4A5C"/>
    <w:rsid w:val="000E4AC6"/>
    <w:rsid w:val="000E5360"/>
    <w:rsid w:val="000E53F1"/>
    <w:rsid w:val="000E59C7"/>
    <w:rsid w:val="000E62EE"/>
    <w:rsid w:val="000E67BE"/>
    <w:rsid w:val="000E680C"/>
    <w:rsid w:val="000E6E39"/>
    <w:rsid w:val="000E7066"/>
    <w:rsid w:val="000E70A2"/>
    <w:rsid w:val="000E74B8"/>
    <w:rsid w:val="000E769F"/>
    <w:rsid w:val="000E7DAA"/>
    <w:rsid w:val="000E7DEB"/>
    <w:rsid w:val="000F0394"/>
    <w:rsid w:val="000F0698"/>
    <w:rsid w:val="000F0706"/>
    <w:rsid w:val="000F0B9F"/>
    <w:rsid w:val="000F0D68"/>
    <w:rsid w:val="000F1270"/>
    <w:rsid w:val="000F1B98"/>
    <w:rsid w:val="000F1E4D"/>
    <w:rsid w:val="000F208E"/>
    <w:rsid w:val="000F2205"/>
    <w:rsid w:val="000F260F"/>
    <w:rsid w:val="000F282F"/>
    <w:rsid w:val="000F2B28"/>
    <w:rsid w:val="000F37C3"/>
    <w:rsid w:val="000F3AC6"/>
    <w:rsid w:val="000F3CE5"/>
    <w:rsid w:val="000F44BE"/>
    <w:rsid w:val="000F46C3"/>
    <w:rsid w:val="000F4731"/>
    <w:rsid w:val="000F4904"/>
    <w:rsid w:val="000F4B41"/>
    <w:rsid w:val="000F4CE8"/>
    <w:rsid w:val="000F4F42"/>
    <w:rsid w:val="000F5D2B"/>
    <w:rsid w:val="000F6839"/>
    <w:rsid w:val="000F68AD"/>
    <w:rsid w:val="000F6B65"/>
    <w:rsid w:val="000F7055"/>
    <w:rsid w:val="000F74C6"/>
    <w:rsid w:val="000F7801"/>
    <w:rsid w:val="000F7920"/>
    <w:rsid w:val="00100065"/>
    <w:rsid w:val="001001D1"/>
    <w:rsid w:val="00100761"/>
    <w:rsid w:val="00100A47"/>
    <w:rsid w:val="00100BF3"/>
    <w:rsid w:val="00100CD2"/>
    <w:rsid w:val="00101316"/>
    <w:rsid w:val="00101E34"/>
    <w:rsid w:val="0010245A"/>
    <w:rsid w:val="001024F6"/>
    <w:rsid w:val="00102712"/>
    <w:rsid w:val="00102731"/>
    <w:rsid w:val="001028BC"/>
    <w:rsid w:val="00102B20"/>
    <w:rsid w:val="00102CE7"/>
    <w:rsid w:val="001033DC"/>
    <w:rsid w:val="001034D5"/>
    <w:rsid w:val="001035E5"/>
    <w:rsid w:val="00103CB1"/>
    <w:rsid w:val="00103D48"/>
    <w:rsid w:val="00103F33"/>
    <w:rsid w:val="00104358"/>
    <w:rsid w:val="001045FD"/>
    <w:rsid w:val="0010477C"/>
    <w:rsid w:val="00104957"/>
    <w:rsid w:val="00104DC0"/>
    <w:rsid w:val="001050A7"/>
    <w:rsid w:val="0010534B"/>
    <w:rsid w:val="00105442"/>
    <w:rsid w:val="00105985"/>
    <w:rsid w:val="00105A65"/>
    <w:rsid w:val="00105BED"/>
    <w:rsid w:val="00105E5A"/>
    <w:rsid w:val="001060D7"/>
    <w:rsid w:val="001063D0"/>
    <w:rsid w:val="001066E5"/>
    <w:rsid w:val="00106A46"/>
    <w:rsid w:val="00106DAF"/>
    <w:rsid w:val="00106EF5"/>
    <w:rsid w:val="00107197"/>
    <w:rsid w:val="001077FB"/>
    <w:rsid w:val="00107A11"/>
    <w:rsid w:val="00107A4F"/>
    <w:rsid w:val="00107C44"/>
    <w:rsid w:val="00107CA3"/>
    <w:rsid w:val="0011056F"/>
    <w:rsid w:val="001107C6"/>
    <w:rsid w:val="00110AB2"/>
    <w:rsid w:val="00110AEC"/>
    <w:rsid w:val="00110C68"/>
    <w:rsid w:val="00110D77"/>
    <w:rsid w:val="00110FB9"/>
    <w:rsid w:val="00111148"/>
    <w:rsid w:val="00111591"/>
    <w:rsid w:val="00111656"/>
    <w:rsid w:val="00111BED"/>
    <w:rsid w:val="00112226"/>
    <w:rsid w:val="001122B6"/>
    <w:rsid w:val="001126A2"/>
    <w:rsid w:val="001126AA"/>
    <w:rsid w:val="00112CC3"/>
    <w:rsid w:val="00112DE1"/>
    <w:rsid w:val="001130BA"/>
    <w:rsid w:val="00113245"/>
    <w:rsid w:val="00114478"/>
    <w:rsid w:val="00114840"/>
    <w:rsid w:val="00114E5D"/>
    <w:rsid w:val="00115020"/>
    <w:rsid w:val="0011508E"/>
    <w:rsid w:val="00115414"/>
    <w:rsid w:val="001155E1"/>
    <w:rsid w:val="00115C86"/>
    <w:rsid w:val="00115FBC"/>
    <w:rsid w:val="001161E1"/>
    <w:rsid w:val="001167B5"/>
    <w:rsid w:val="0011680C"/>
    <w:rsid w:val="00117183"/>
    <w:rsid w:val="001172FC"/>
    <w:rsid w:val="001177B7"/>
    <w:rsid w:val="0011798E"/>
    <w:rsid w:val="00117B32"/>
    <w:rsid w:val="00120AF0"/>
    <w:rsid w:val="00120B54"/>
    <w:rsid w:val="00120E27"/>
    <w:rsid w:val="00121178"/>
    <w:rsid w:val="001213E8"/>
    <w:rsid w:val="00121AC4"/>
    <w:rsid w:val="00121BBE"/>
    <w:rsid w:val="00121E96"/>
    <w:rsid w:val="0012200B"/>
    <w:rsid w:val="00122757"/>
    <w:rsid w:val="0012275E"/>
    <w:rsid w:val="001229E3"/>
    <w:rsid w:val="00122B26"/>
    <w:rsid w:val="00122E76"/>
    <w:rsid w:val="001230DD"/>
    <w:rsid w:val="001232B2"/>
    <w:rsid w:val="00123410"/>
    <w:rsid w:val="00123480"/>
    <w:rsid w:val="0012369B"/>
    <w:rsid w:val="00123B4F"/>
    <w:rsid w:val="00123F77"/>
    <w:rsid w:val="00123FDF"/>
    <w:rsid w:val="00124716"/>
    <w:rsid w:val="00124B20"/>
    <w:rsid w:val="00124BF3"/>
    <w:rsid w:val="00124CE4"/>
    <w:rsid w:val="001250D9"/>
    <w:rsid w:val="0012518A"/>
    <w:rsid w:val="001252D3"/>
    <w:rsid w:val="00125488"/>
    <w:rsid w:val="0012548C"/>
    <w:rsid w:val="00126091"/>
    <w:rsid w:val="00126254"/>
    <w:rsid w:val="001262C5"/>
    <w:rsid w:val="001266FA"/>
    <w:rsid w:val="001267BE"/>
    <w:rsid w:val="00126B47"/>
    <w:rsid w:val="00126F4B"/>
    <w:rsid w:val="001272F2"/>
    <w:rsid w:val="0012734D"/>
    <w:rsid w:val="001278A7"/>
    <w:rsid w:val="0013011D"/>
    <w:rsid w:val="001302E7"/>
    <w:rsid w:val="0013035D"/>
    <w:rsid w:val="001305C5"/>
    <w:rsid w:val="001305E0"/>
    <w:rsid w:val="00130E2F"/>
    <w:rsid w:val="00130E73"/>
    <w:rsid w:val="00130EFD"/>
    <w:rsid w:val="0013115A"/>
    <w:rsid w:val="00131C10"/>
    <w:rsid w:val="00131F6F"/>
    <w:rsid w:val="0013205F"/>
    <w:rsid w:val="001320FF"/>
    <w:rsid w:val="00132133"/>
    <w:rsid w:val="001324CE"/>
    <w:rsid w:val="00132A9C"/>
    <w:rsid w:val="00132FAB"/>
    <w:rsid w:val="00133410"/>
    <w:rsid w:val="001335E3"/>
    <w:rsid w:val="00133913"/>
    <w:rsid w:val="00133D4D"/>
    <w:rsid w:val="00133F4F"/>
    <w:rsid w:val="00134AB6"/>
    <w:rsid w:val="001353D6"/>
    <w:rsid w:val="0013576E"/>
    <w:rsid w:val="00135B6A"/>
    <w:rsid w:val="00136149"/>
    <w:rsid w:val="00136ECA"/>
    <w:rsid w:val="00136FB3"/>
    <w:rsid w:val="0013742E"/>
    <w:rsid w:val="001403EE"/>
    <w:rsid w:val="001408DD"/>
    <w:rsid w:val="00140D9A"/>
    <w:rsid w:val="00140F1C"/>
    <w:rsid w:val="00141550"/>
    <w:rsid w:val="001416BD"/>
    <w:rsid w:val="001416FB"/>
    <w:rsid w:val="00142073"/>
    <w:rsid w:val="001422D2"/>
    <w:rsid w:val="001424AF"/>
    <w:rsid w:val="00142D94"/>
    <w:rsid w:val="001435C5"/>
    <w:rsid w:val="001435ED"/>
    <w:rsid w:val="0014390E"/>
    <w:rsid w:val="001442F7"/>
    <w:rsid w:val="001444CA"/>
    <w:rsid w:val="001445F1"/>
    <w:rsid w:val="0014464C"/>
    <w:rsid w:val="00144B63"/>
    <w:rsid w:val="00144BD7"/>
    <w:rsid w:val="00144BE3"/>
    <w:rsid w:val="00145A78"/>
    <w:rsid w:val="00145E06"/>
    <w:rsid w:val="00145EC4"/>
    <w:rsid w:val="001464CD"/>
    <w:rsid w:val="00146712"/>
    <w:rsid w:val="0014696F"/>
    <w:rsid w:val="00146BE3"/>
    <w:rsid w:val="00146DBC"/>
    <w:rsid w:val="001472C9"/>
    <w:rsid w:val="00147566"/>
    <w:rsid w:val="001477BB"/>
    <w:rsid w:val="00147A9D"/>
    <w:rsid w:val="00147C31"/>
    <w:rsid w:val="00147D40"/>
    <w:rsid w:val="00147EFD"/>
    <w:rsid w:val="00150291"/>
    <w:rsid w:val="00150D27"/>
    <w:rsid w:val="0015170C"/>
    <w:rsid w:val="00151F3A"/>
    <w:rsid w:val="00152387"/>
    <w:rsid w:val="00152CB1"/>
    <w:rsid w:val="001532BF"/>
    <w:rsid w:val="001539B8"/>
    <w:rsid w:val="00153BEA"/>
    <w:rsid w:val="0015403A"/>
    <w:rsid w:val="00154B4F"/>
    <w:rsid w:val="00154CA7"/>
    <w:rsid w:val="001555DC"/>
    <w:rsid w:val="00155831"/>
    <w:rsid w:val="00155EBA"/>
    <w:rsid w:val="00156060"/>
    <w:rsid w:val="00156106"/>
    <w:rsid w:val="001561E1"/>
    <w:rsid w:val="001567A6"/>
    <w:rsid w:val="00156B55"/>
    <w:rsid w:val="00156B9B"/>
    <w:rsid w:val="00156EA4"/>
    <w:rsid w:val="00156F83"/>
    <w:rsid w:val="00157B34"/>
    <w:rsid w:val="00157DE0"/>
    <w:rsid w:val="00157F3E"/>
    <w:rsid w:val="0016012A"/>
    <w:rsid w:val="00160198"/>
    <w:rsid w:val="00160485"/>
    <w:rsid w:val="00160FC9"/>
    <w:rsid w:val="001612A6"/>
    <w:rsid w:val="001614F0"/>
    <w:rsid w:val="00161D43"/>
    <w:rsid w:val="001625ED"/>
    <w:rsid w:val="00162808"/>
    <w:rsid w:val="0016294F"/>
    <w:rsid w:val="00162DFD"/>
    <w:rsid w:val="00163222"/>
    <w:rsid w:val="00163A0A"/>
    <w:rsid w:val="00163F88"/>
    <w:rsid w:val="00164250"/>
    <w:rsid w:val="001643CF"/>
    <w:rsid w:val="001648E2"/>
    <w:rsid w:val="00164F3E"/>
    <w:rsid w:val="00165309"/>
    <w:rsid w:val="00166744"/>
    <w:rsid w:val="0016742C"/>
    <w:rsid w:val="001674E2"/>
    <w:rsid w:val="00167540"/>
    <w:rsid w:val="00167579"/>
    <w:rsid w:val="00167643"/>
    <w:rsid w:val="00167871"/>
    <w:rsid w:val="001678C0"/>
    <w:rsid w:val="00167D69"/>
    <w:rsid w:val="00167D76"/>
    <w:rsid w:val="0017013C"/>
    <w:rsid w:val="00170144"/>
    <w:rsid w:val="00170818"/>
    <w:rsid w:val="00170DD3"/>
    <w:rsid w:val="00170E4A"/>
    <w:rsid w:val="00170EF0"/>
    <w:rsid w:val="001711E8"/>
    <w:rsid w:val="001713C1"/>
    <w:rsid w:val="001719CF"/>
    <w:rsid w:val="00171B9C"/>
    <w:rsid w:val="00172308"/>
    <w:rsid w:val="00172AA1"/>
    <w:rsid w:val="00173552"/>
    <w:rsid w:val="001739F4"/>
    <w:rsid w:val="00173BE5"/>
    <w:rsid w:val="0017404E"/>
    <w:rsid w:val="00174447"/>
    <w:rsid w:val="00174B9B"/>
    <w:rsid w:val="00174BA8"/>
    <w:rsid w:val="00174D41"/>
    <w:rsid w:val="00174E0E"/>
    <w:rsid w:val="0017523F"/>
    <w:rsid w:val="001753D2"/>
    <w:rsid w:val="001759BA"/>
    <w:rsid w:val="001759DA"/>
    <w:rsid w:val="001767F1"/>
    <w:rsid w:val="001769E4"/>
    <w:rsid w:val="00176D2F"/>
    <w:rsid w:val="00176F7D"/>
    <w:rsid w:val="001770FB"/>
    <w:rsid w:val="0017725C"/>
    <w:rsid w:val="0017746F"/>
    <w:rsid w:val="00177A82"/>
    <w:rsid w:val="0018000E"/>
    <w:rsid w:val="0018083D"/>
    <w:rsid w:val="00180A1E"/>
    <w:rsid w:val="00181121"/>
    <w:rsid w:val="001818AA"/>
    <w:rsid w:val="001818AD"/>
    <w:rsid w:val="001818B2"/>
    <w:rsid w:val="00181C85"/>
    <w:rsid w:val="00182712"/>
    <w:rsid w:val="00182962"/>
    <w:rsid w:val="00182FC1"/>
    <w:rsid w:val="00183468"/>
    <w:rsid w:val="001838C8"/>
    <w:rsid w:val="0018395E"/>
    <w:rsid w:val="0018396C"/>
    <w:rsid w:val="001843E4"/>
    <w:rsid w:val="00184996"/>
    <w:rsid w:val="00184C5F"/>
    <w:rsid w:val="00185611"/>
    <w:rsid w:val="0018586C"/>
    <w:rsid w:val="00185AEC"/>
    <w:rsid w:val="00185B16"/>
    <w:rsid w:val="00185EA1"/>
    <w:rsid w:val="00185F6F"/>
    <w:rsid w:val="00186091"/>
    <w:rsid w:val="00186160"/>
    <w:rsid w:val="00186219"/>
    <w:rsid w:val="001864A4"/>
    <w:rsid w:val="0018660A"/>
    <w:rsid w:val="001869A5"/>
    <w:rsid w:val="0018790B"/>
    <w:rsid w:val="00187B76"/>
    <w:rsid w:val="0019068A"/>
    <w:rsid w:val="0019075D"/>
    <w:rsid w:val="00190F60"/>
    <w:rsid w:val="001912F6"/>
    <w:rsid w:val="00191358"/>
    <w:rsid w:val="00191468"/>
    <w:rsid w:val="001914FE"/>
    <w:rsid w:val="001916D7"/>
    <w:rsid w:val="001928A9"/>
    <w:rsid w:val="00192CA5"/>
    <w:rsid w:val="00192E4E"/>
    <w:rsid w:val="00193017"/>
    <w:rsid w:val="0019342D"/>
    <w:rsid w:val="00193BE1"/>
    <w:rsid w:val="00194313"/>
    <w:rsid w:val="001943EC"/>
    <w:rsid w:val="0019457B"/>
    <w:rsid w:val="00194583"/>
    <w:rsid w:val="00194593"/>
    <w:rsid w:val="001949C1"/>
    <w:rsid w:val="00194C97"/>
    <w:rsid w:val="00194D10"/>
    <w:rsid w:val="0019511C"/>
    <w:rsid w:val="00195219"/>
    <w:rsid w:val="00195609"/>
    <w:rsid w:val="00195988"/>
    <w:rsid w:val="00195ED7"/>
    <w:rsid w:val="0019603A"/>
    <w:rsid w:val="00196802"/>
    <w:rsid w:val="00196AF2"/>
    <w:rsid w:val="00196D6B"/>
    <w:rsid w:val="00196E57"/>
    <w:rsid w:val="00197129"/>
    <w:rsid w:val="001973EE"/>
    <w:rsid w:val="00197400"/>
    <w:rsid w:val="0019758D"/>
    <w:rsid w:val="0019777F"/>
    <w:rsid w:val="001A048F"/>
    <w:rsid w:val="001A0605"/>
    <w:rsid w:val="001A06CE"/>
    <w:rsid w:val="001A07B1"/>
    <w:rsid w:val="001A0816"/>
    <w:rsid w:val="001A0B2C"/>
    <w:rsid w:val="001A0D3A"/>
    <w:rsid w:val="001A105F"/>
    <w:rsid w:val="001A12C9"/>
    <w:rsid w:val="001A19DA"/>
    <w:rsid w:val="001A1CBD"/>
    <w:rsid w:val="001A1D98"/>
    <w:rsid w:val="001A2008"/>
    <w:rsid w:val="001A2586"/>
    <w:rsid w:val="001A270A"/>
    <w:rsid w:val="001A296A"/>
    <w:rsid w:val="001A2B46"/>
    <w:rsid w:val="001A2FDD"/>
    <w:rsid w:val="001A3338"/>
    <w:rsid w:val="001A342A"/>
    <w:rsid w:val="001A3617"/>
    <w:rsid w:val="001A3915"/>
    <w:rsid w:val="001A3E41"/>
    <w:rsid w:val="001A3EC3"/>
    <w:rsid w:val="001A3FBF"/>
    <w:rsid w:val="001A406E"/>
    <w:rsid w:val="001A40F8"/>
    <w:rsid w:val="001A40FC"/>
    <w:rsid w:val="001A4154"/>
    <w:rsid w:val="001A4350"/>
    <w:rsid w:val="001A43EB"/>
    <w:rsid w:val="001A4713"/>
    <w:rsid w:val="001A4DAA"/>
    <w:rsid w:val="001A4EA1"/>
    <w:rsid w:val="001A5127"/>
    <w:rsid w:val="001A52DC"/>
    <w:rsid w:val="001A53B9"/>
    <w:rsid w:val="001A554B"/>
    <w:rsid w:val="001A557D"/>
    <w:rsid w:val="001A5DAB"/>
    <w:rsid w:val="001A6106"/>
    <w:rsid w:val="001A64E6"/>
    <w:rsid w:val="001A67C6"/>
    <w:rsid w:val="001A69F1"/>
    <w:rsid w:val="001A6CCB"/>
    <w:rsid w:val="001A727F"/>
    <w:rsid w:val="001A7430"/>
    <w:rsid w:val="001A77C7"/>
    <w:rsid w:val="001A7987"/>
    <w:rsid w:val="001A7C6D"/>
    <w:rsid w:val="001B05F0"/>
    <w:rsid w:val="001B07E0"/>
    <w:rsid w:val="001B1164"/>
    <w:rsid w:val="001B13B3"/>
    <w:rsid w:val="001B1408"/>
    <w:rsid w:val="001B1416"/>
    <w:rsid w:val="001B17DD"/>
    <w:rsid w:val="001B1824"/>
    <w:rsid w:val="001B18B7"/>
    <w:rsid w:val="001B1989"/>
    <w:rsid w:val="001B1A72"/>
    <w:rsid w:val="001B1ADD"/>
    <w:rsid w:val="001B1DD8"/>
    <w:rsid w:val="001B1EB7"/>
    <w:rsid w:val="001B1EF2"/>
    <w:rsid w:val="001B2808"/>
    <w:rsid w:val="001B2A34"/>
    <w:rsid w:val="001B2D02"/>
    <w:rsid w:val="001B2D85"/>
    <w:rsid w:val="001B2E7F"/>
    <w:rsid w:val="001B342E"/>
    <w:rsid w:val="001B38F1"/>
    <w:rsid w:val="001B3C8E"/>
    <w:rsid w:val="001B3E33"/>
    <w:rsid w:val="001B436A"/>
    <w:rsid w:val="001B450A"/>
    <w:rsid w:val="001B4536"/>
    <w:rsid w:val="001B48CC"/>
    <w:rsid w:val="001B4A6A"/>
    <w:rsid w:val="001B4A86"/>
    <w:rsid w:val="001B4F05"/>
    <w:rsid w:val="001B5180"/>
    <w:rsid w:val="001B519D"/>
    <w:rsid w:val="001B56F0"/>
    <w:rsid w:val="001B5D9F"/>
    <w:rsid w:val="001B61D8"/>
    <w:rsid w:val="001B69D0"/>
    <w:rsid w:val="001B738F"/>
    <w:rsid w:val="001B75A5"/>
    <w:rsid w:val="001B7897"/>
    <w:rsid w:val="001B7AE5"/>
    <w:rsid w:val="001B7DB5"/>
    <w:rsid w:val="001C12DE"/>
    <w:rsid w:val="001C1CAE"/>
    <w:rsid w:val="001C1EA4"/>
    <w:rsid w:val="001C233F"/>
    <w:rsid w:val="001C286F"/>
    <w:rsid w:val="001C2ECF"/>
    <w:rsid w:val="001C3314"/>
    <w:rsid w:val="001C3412"/>
    <w:rsid w:val="001C3891"/>
    <w:rsid w:val="001C3AB7"/>
    <w:rsid w:val="001C45AC"/>
    <w:rsid w:val="001C490D"/>
    <w:rsid w:val="001C4A47"/>
    <w:rsid w:val="001C4DC5"/>
    <w:rsid w:val="001C5778"/>
    <w:rsid w:val="001C5AE8"/>
    <w:rsid w:val="001C5B1E"/>
    <w:rsid w:val="001C5BCF"/>
    <w:rsid w:val="001C5C35"/>
    <w:rsid w:val="001C637E"/>
    <w:rsid w:val="001C669C"/>
    <w:rsid w:val="001C68BF"/>
    <w:rsid w:val="001C6A87"/>
    <w:rsid w:val="001C6B79"/>
    <w:rsid w:val="001C6C6E"/>
    <w:rsid w:val="001C701D"/>
    <w:rsid w:val="001C7564"/>
    <w:rsid w:val="001C76E9"/>
    <w:rsid w:val="001C76FC"/>
    <w:rsid w:val="001C7D60"/>
    <w:rsid w:val="001D0041"/>
    <w:rsid w:val="001D03B1"/>
    <w:rsid w:val="001D0679"/>
    <w:rsid w:val="001D0BC8"/>
    <w:rsid w:val="001D0C38"/>
    <w:rsid w:val="001D0CAD"/>
    <w:rsid w:val="001D1691"/>
    <w:rsid w:val="001D193A"/>
    <w:rsid w:val="001D338F"/>
    <w:rsid w:val="001D37A2"/>
    <w:rsid w:val="001D38B4"/>
    <w:rsid w:val="001D3C91"/>
    <w:rsid w:val="001D4314"/>
    <w:rsid w:val="001D4BFC"/>
    <w:rsid w:val="001D53DF"/>
    <w:rsid w:val="001D55E0"/>
    <w:rsid w:val="001D591D"/>
    <w:rsid w:val="001D5AC3"/>
    <w:rsid w:val="001D5DAF"/>
    <w:rsid w:val="001D6723"/>
    <w:rsid w:val="001D67B6"/>
    <w:rsid w:val="001D6B44"/>
    <w:rsid w:val="001D6C06"/>
    <w:rsid w:val="001D6DAF"/>
    <w:rsid w:val="001D712B"/>
    <w:rsid w:val="001D7274"/>
    <w:rsid w:val="001D768C"/>
    <w:rsid w:val="001D776A"/>
    <w:rsid w:val="001D79DA"/>
    <w:rsid w:val="001D7D22"/>
    <w:rsid w:val="001D7FCB"/>
    <w:rsid w:val="001E01C6"/>
    <w:rsid w:val="001E0372"/>
    <w:rsid w:val="001E0465"/>
    <w:rsid w:val="001E0742"/>
    <w:rsid w:val="001E08AE"/>
    <w:rsid w:val="001E0957"/>
    <w:rsid w:val="001E098D"/>
    <w:rsid w:val="001E0A59"/>
    <w:rsid w:val="001E0B9E"/>
    <w:rsid w:val="001E0FDF"/>
    <w:rsid w:val="001E1763"/>
    <w:rsid w:val="001E1880"/>
    <w:rsid w:val="001E2050"/>
    <w:rsid w:val="001E20B4"/>
    <w:rsid w:val="001E254F"/>
    <w:rsid w:val="001E2782"/>
    <w:rsid w:val="001E2D41"/>
    <w:rsid w:val="001E35A6"/>
    <w:rsid w:val="001E38DA"/>
    <w:rsid w:val="001E3985"/>
    <w:rsid w:val="001E3A20"/>
    <w:rsid w:val="001E3A59"/>
    <w:rsid w:val="001E3BA3"/>
    <w:rsid w:val="001E3F72"/>
    <w:rsid w:val="001E482B"/>
    <w:rsid w:val="001E4834"/>
    <w:rsid w:val="001E4BC8"/>
    <w:rsid w:val="001E4FCA"/>
    <w:rsid w:val="001E51C6"/>
    <w:rsid w:val="001E56F8"/>
    <w:rsid w:val="001E5BE2"/>
    <w:rsid w:val="001E5F05"/>
    <w:rsid w:val="001E6279"/>
    <w:rsid w:val="001E65F6"/>
    <w:rsid w:val="001E6634"/>
    <w:rsid w:val="001E6F18"/>
    <w:rsid w:val="001F08EE"/>
    <w:rsid w:val="001F0C79"/>
    <w:rsid w:val="001F1393"/>
    <w:rsid w:val="001F149E"/>
    <w:rsid w:val="001F1584"/>
    <w:rsid w:val="001F1682"/>
    <w:rsid w:val="001F18F7"/>
    <w:rsid w:val="001F1F99"/>
    <w:rsid w:val="001F21E7"/>
    <w:rsid w:val="001F2F9C"/>
    <w:rsid w:val="001F32AC"/>
    <w:rsid w:val="001F3542"/>
    <w:rsid w:val="001F3BAA"/>
    <w:rsid w:val="001F3C55"/>
    <w:rsid w:val="001F3C77"/>
    <w:rsid w:val="001F3CC2"/>
    <w:rsid w:val="001F3F64"/>
    <w:rsid w:val="001F400E"/>
    <w:rsid w:val="001F41C9"/>
    <w:rsid w:val="001F4214"/>
    <w:rsid w:val="001F42CA"/>
    <w:rsid w:val="001F4390"/>
    <w:rsid w:val="001F4BB3"/>
    <w:rsid w:val="001F4EEB"/>
    <w:rsid w:val="001F52F4"/>
    <w:rsid w:val="001F5319"/>
    <w:rsid w:val="001F53C8"/>
    <w:rsid w:val="001F5A2E"/>
    <w:rsid w:val="001F5A55"/>
    <w:rsid w:val="001F5DD4"/>
    <w:rsid w:val="001F601E"/>
    <w:rsid w:val="001F60B2"/>
    <w:rsid w:val="001F631F"/>
    <w:rsid w:val="001F632B"/>
    <w:rsid w:val="001F639D"/>
    <w:rsid w:val="001F652B"/>
    <w:rsid w:val="001F6826"/>
    <w:rsid w:val="001F7154"/>
    <w:rsid w:val="001F78E5"/>
    <w:rsid w:val="001F7E9B"/>
    <w:rsid w:val="001F7EF8"/>
    <w:rsid w:val="001F7FD2"/>
    <w:rsid w:val="002002EA"/>
    <w:rsid w:val="002004E7"/>
    <w:rsid w:val="002006CA"/>
    <w:rsid w:val="0020097A"/>
    <w:rsid w:val="00200A2F"/>
    <w:rsid w:val="00200D05"/>
    <w:rsid w:val="00200D3A"/>
    <w:rsid w:val="00200E0F"/>
    <w:rsid w:val="002010CD"/>
    <w:rsid w:val="00201146"/>
    <w:rsid w:val="0020166B"/>
    <w:rsid w:val="0020198C"/>
    <w:rsid w:val="00201A4A"/>
    <w:rsid w:val="00201DD7"/>
    <w:rsid w:val="0020276D"/>
    <w:rsid w:val="00202A91"/>
    <w:rsid w:val="00202F2F"/>
    <w:rsid w:val="00202FAD"/>
    <w:rsid w:val="00202FB7"/>
    <w:rsid w:val="0020324F"/>
    <w:rsid w:val="00203264"/>
    <w:rsid w:val="002040F4"/>
    <w:rsid w:val="002046B2"/>
    <w:rsid w:val="00204DB1"/>
    <w:rsid w:val="00204FF6"/>
    <w:rsid w:val="00205287"/>
    <w:rsid w:val="0020536F"/>
    <w:rsid w:val="00205392"/>
    <w:rsid w:val="00205784"/>
    <w:rsid w:val="002059C0"/>
    <w:rsid w:val="00205DB6"/>
    <w:rsid w:val="00205F43"/>
    <w:rsid w:val="00205FC0"/>
    <w:rsid w:val="00206153"/>
    <w:rsid w:val="002065AB"/>
    <w:rsid w:val="002065F6"/>
    <w:rsid w:val="00206894"/>
    <w:rsid w:val="0020695E"/>
    <w:rsid w:val="00206B86"/>
    <w:rsid w:val="00206ECA"/>
    <w:rsid w:val="002074F2"/>
    <w:rsid w:val="00207B0F"/>
    <w:rsid w:val="00207BFC"/>
    <w:rsid w:val="002104FB"/>
    <w:rsid w:val="00210730"/>
    <w:rsid w:val="00210901"/>
    <w:rsid w:val="00210956"/>
    <w:rsid w:val="00210C56"/>
    <w:rsid w:val="00210DF2"/>
    <w:rsid w:val="0021149E"/>
    <w:rsid w:val="002116E3"/>
    <w:rsid w:val="00211817"/>
    <w:rsid w:val="002119C9"/>
    <w:rsid w:val="002119CA"/>
    <w:rsid w:val="00211C68"/>
    <w:rsid w:val="00211F7A"/>
    <w:rsid w:val="002125F1"/>
    <w:rsid w:val="00212B69"/>
    <w:rsid w:val="00212BFF"/>
    <w:rsid w:val="0021318D"/>
    <w:rsid w:val="0021325B"/>
    <w:rsid w:val="00213345"/>
    <w:rsid w:val="00213417"/>
    <w:rsid w:val="002139A4"/>
    <w:rsid w:val="00213C8C"/>
    <w:rsid w:val="002145BF"/>
    <w:rsid w:val="002153D6"/>
    <w:rsid w:val="002153E5"/>
    <w:rsid w:val="002161BA"/>
    <w:rsid w:val="0021680F"/>
    <w:rsid w:val="002172C1"/>
    <w:rsid w:val="00217928"/>
    <w:rsid w:val="0021792A"/>
    <w:rsid w:val="00217B1E"/>
    <w:rsid w:val="00220151"/>
    <w:rsid w:val="002205EE"/>
    <w:rsid w:val="002209B5"/>
    <w:rsid w:val="00220C8A"/>
    <w:rsid w:val="00220CFF"/>
    <w:rsid w:val="002226A1"/>
    <w:rsid w:val="00222AF8"/>
    <w:rsid w:val="0022333B"/>
    <w:rsid w:val="002234F2"/>
    <w:rsid w:val="00223AA0"/>
    <w:rsid w:val="00223F64"/>
    <w:rsid w:val="00224115"/>
    <w:rsid w:val="002246F9"/>
    <w:rsid w:val="00224C98"/>
    <w:rsid w:val="00224D25"/>
    <w:rsid w:val="00224EFC"/>
    <w:rsid w:val="00225587"/>
    <w:rsid w:val="002260F5"/>
    <w:rsid w:val="0022612D"/>
    <w:rsid w:val="002261FE"/>
    <w:rsid w:val="0022632C"/>
    <w:rsid w:val="00226471"/>
    <w:rsid w:val="0022669D"/>
    <w:rsid w:val="002266A4"/>
    <w:rsid w:val="00226BA5"/>
    <w:rsid w:val="00226D95"/>
    <w:rsid w:val="00227044"/>
    <w:rsid w:val="00227081"/>
    <w:rsid w:val="002270B7"/>
    <w:rsid w:val="002273F6"/>
    <w:rsid w:val="0022748C"/>
    <w:rsid w:val="0022798C"/>
    <w:rsid w:val="002279F2"/>
    <w:rsid w:val="00227B3C"/>
    <w:rsid w:val="00227BB7"/>
    <w:rsid w:val="00227C9D"/>
    <w:rsid w:val="00227EAC"/>
    <w:rsid w:val="002304FC"/>
    <w:rsid w:val="00230872"/>
    <w:rsid w:val="002308F0"/>
    <w:rsid w:val="00231298"/>
    <w:rsid w:val="002312E5"/>
    <w:rsid w:val="002313BE"/>
    <w:rsid w:val="002318DE"/>
    <w:rsid w:val="00231A24"/>
    <w:rsid w:val="00231B6C"/>
    <w:rsid w:val="00231FCC"/>
    <w:rsid w:val="00232A6F"/>
    <w:rsid w:val="00232D0D"/>
    <w:rsid w:val="00232D2B"/>
    <w:rsid w:val="00232EEC"/>
    <w:rsid w:val="00233407"/>
    <w:rsid w:val="002335C6"/>
    <w:rsid w:val="00233677"/>
    <w:rsid w:val="00233817"/>
    <w:rsid w:val="00234002"/>
    <w:rsid w:val="00234457"/>
    <w:rsid w:val="00234555"/>
    <w:rsid w:val="00234745"/>
    <w:rsid w:val="00234943"/>
    <w:rsid w:val="00234D2C"/>
    <w:rsid w:val="00234F3B"/>
    <w:rsid w:val="002351EE"/>
    <w:rsid w:val="002352E8"/>
    <w:rsid w:val="0023544D"/>
    <w:rsid w:val="00235478"/>
    <w:rsid w:val="00235483"/>
    <w:rsid w:val="00235B13"/>
    <w:rsid w:val="00235D8F"/>
    <w:rsid w:val="00235DE9"/>
    <w:rsid w:val="00236876"/>
    <w:rsid w:val="00236CB9"/>
    <w:rsid w:val="00237195"/>
    <w:rsid w:val="00237613"/>
    <w:rsid w:val="00240332"/>
    <w:rsid w:val="00240774"/>
    <w:rsid w:val="00240BEA"/>
    <w:rsid w:val="00240D53"/>
    <w:rsid w:val="00241214"/>
    <w:rsid w:val="00241F1A"/>
    <w:rsid w:val="00241F1F"/>
    <w:rsid w:val="002421C3"/>
    <w:rsid w:val="00242208"/>
    <w:rsid w:val="00242CDE"/>
    <w:rsid w:val="00243038"/>
    <w:rsid w:val="0024304A"/>
    <w:rsid w:val="002436F2"/>
    <w:rsid w:val="002437C8"/>
    <w:rsid w:val="00243AF3"/>
    <w:rsid w:val="00243BD2"/>
    <w:rsid w:val="00243E7C"/>
    <w:rsid w:val="00243EBE"/>
    <w:rsid w:val="00244530"/>
    <w:rsid w:val="0024496E"/>
    <w:rsid w:val="002453AF"/>
    <w:rsid w:val="00245ADD"/>
    <w:rsid w:val="00245B68"/>
    <w:rsid w:val="00245B9B"/>
    <w:rsid w:val="00245C34"/>
    <w:rsid w:val="00245E4C"/>
    <w:rsid w:val="00246C21"/>
    <w:rsid w:val="00246E67"/>
    <w:rsid w:val="00246FBD"/>
    <w:rsid w:val="00247434"/>
    <w:rsid w:val="00247A8B"/>
    <w:rsid w:val="0025034F"/>
    <w:rsid w:val="002507B1"/>
    <w:rsid w:val="002507D4"/>
    <w:rsid w:val="002508D7"/>
    <w:rsid w:val="00250B62"/>
    <w:rsid w:val="00250C25"/>
    <w:rsid w:val="002517BE"/>
    <w:rsid w:val="002519D1"/>
    <w:rsid w:val="00252307"/>
    <w:rsid w:val="002524A8"/>
    <w:rsid w:val="002525E1"/>
    <w:rsid w:val="002528DC"/>
    <w:rsid w:val="00252B09"/>
    <w:rsid w:val="00252DF2"/>
    <w:rsid w:val="002534C5"/>
    <w:rsid w:val="00253676"/>
    <w:rsid w:val="002537FA"/>
    <w:rsid w:val="00253A71"/>
    <w:rsid w:val="00253B36"/>
    <w:rsid w:val="00253D3C"/>
    <w:rsid w:val="00253EED"/>
    <w:rsid w:val="00254070"/>
    <w:rsid w:val="0025432C"/>
    <w:rsid w:val="0025443C"/>
    <w:rsid w:val="00254AEF"/>
    <w:rsid w:val="00254F0D"/>
    <w:rsid w:val="00255DB4"/>
    <w:rsid w:val="00255E5A"/>
    <w:rsid w:val="0025717A"/>
    <w:rsid w:val="002578AA"/>
    <w:rsid w:val="00257C56"/>
    <w:rsid w:val="00257CE7"/>
    <w:rsid w:val="00257EB2"/>
    <w:rsid w:val="002600D6"/>
    <w:rsid w:val="002608F3"/>
    <w:rsid w:val="00260A59"/>
    <w:rsid w:val="0026111F"/>
    <w:rsid w:val="00261542"/>
    <w:rsid w:val="002615B2"/>
    <w:rsid w:val="002618A4"/>
    <w:rsid w:val="002619BD"/>
    <w:rsid w:val="00261B54"/>
    <w:rsid w:val="00262072"/>
    <w:rsid w:val="0026235A"/>
    <w:rsid w:val="0026263D"/>
    <w:rsid w:val="002628D4"/>
    <w:rsid w:val="00262AF5"/>
    <w:rsid w:val="00262D9F"/>
    <w:rsid w:val="00263B7E"/>
    <w:rsid w:val="002643F3"/>
    <w:rsid w:val="00264662"/>
    <w:rsid w:val="00264ACC"/>
    <w:rsid w:val="002655DD"/>
    <w:rsid w:val="002657EC"/>
    <w:rsid w:val="00265842"/>
    <w:rsid w:val="00265A86"/>
    <w:rsid w:val="00266099"/>
    <w:rsid w:val="002660A3"/>
    <w:rsid w:val="0026661F"/>
    <w:rsid w:val="002668C8"/>
    <w:rsid w:val="002669E1"/>
    <w:rsid w:val="00266B7B"/>
    <w:rsid w:val="00266BC3"/>
    <w:rsid w:val="00267155"/>
    <w:rsid w:val="00267702"/>
    <w:rsid w:val="00267715"/>
    <w:rsid w:val="00270010"/>
    <w:rsid w:val="00270BA8"/>
    <w:rsid w:val="00271242"/>
    <w:rsid w:val="0027160A"/>
    <w:rsid w:val="002716DD"/>
    <w:rsid w:val="00271927"/>
    <w:rsid w:val="00271B50"/>
    <w:rsid w:val="0027210C"/>
    <w:rsid w:val="002721E7"/>
    <w:rsid w:val="00272C72"/>
    <w:rsid w:val="00272E36"/>
    <w:rsid w:val="00273117"/>
    <w:rsid w:val="002738D4"/>
    <w:rsid w:val="002746DA"/>
    <w:rsid w:val="00274789"/>
    <w:rsid w:val="00274DD0"/>
    <w:rsid w:val="0027540D"/>
    <w:rsid w:val="0027577E"/>
    <w:rsid w:val="00275BEF"/>
    <w:rsid w:val="002762C6"/>
    <w:rsid w:val="002766BB"/>
    <w:rsid w:val="0027688F"/>
    <w:rsid w:val="00276C8A"/>
    <w:rsid w:val="0027734A"/>
    <w:rsid w:val="002774DD"/>
    <w:rsid w:val="00277683"/>
    <w:rsid w:val="00277BC6"/>
    <w:rsid w:val="00280130"/>
    <w:rsid w:val="00280258"/>
    <w:rsid w:val="00280339"/>
    <w:rsid w:val="0028046C"/>
    <w:rsid w:val="0028075A"/>
    <w:rsid w:val="00280D10"/>
    <w:rsid w:val="00280EC5"/>
    <w:rsid w:val="002810BA"/>
    <w:rsid w:val="00281922"/>
    <w:rsid w:val="00281DE5"/>
    <w:rsid w:val="00281FAC"/>
    <w:rsid w:val="00282745"/>
    <w:rsid w:val="00282B74"/>
    <w:rsid w:val="00282B9C"/>
    <w:rsid w:val="0028309D"/>
    <w:rsid w:val="002832B9"/>
    <w:rsid w:val="002833C6"/>
    <w:rsid w:val="00283733"/>
    <w:rsid w:val="002837A7"/>
    <w:rsid w:val="00283D41"/>
    <w:rsid w:val="00283E6F"/>
    <w:rsid w:val="002841BA"/>
    <w:rsid w:val="00284314"/>
    <w:rsid w:val="002845FF"/>
    <w:rsid w:val="00284659"/>
    <w:rsid w:val="00284A02"/>
    <w:rsid w:val="00284DD6"/>
    <w:rsid w:val="00284F20"/>
    <w:rsid w:val="002855BA"/>
    <w:rsid w:val="00285907"/>
    <w:rsid w:val="00285F1F"/>
    <w:rsid w:val="00286098"/>
    <w:rsid w:val="00286306"/>
    <w:rsid w:val="0028638B"/>
    <w:rsid w:val="002869BE"/>
    <w:rsid w:val="00286AA6"/>
    <w:rsid w:val="00286B3B"/>
    <w:rsid w:val="00286B55"/>
    <w:rsid w:val="00286C43"/>
    <w:rsid w:val="00286D3E"/>
    <w:rsid w:val="002875E2"/>
    <w:rsid w:val="0028764E"/>
    <w:rsid w:val="00287710"/>
    <w:rsid w:val="00287823"/>
    <w:rsid w:val="00287873"/>
    <w:rsid w:val="00287B26"/>
    <w:rsid w:val="00290F57"/>
    <w:rsid w:val="002915F6"/>
    <w:rsid w:val="00292194"/>
    <w:rsid w:val="002921C4"/>
    <w:rsid w:val="00292737"/>
    <w:rsid w:val="002928DF"/>
    <w:rsid w:val="00293171"/>
    <w:rsid w:val="00293845"/>
    <w:rsid w:val="002939BE"/>
    <w:rsid w:val="00293B00"/>
    <w:rsid w:val="00293C89"/>
    <w:rsid w:val="0029475B"/>
    <w:rsid w:val="00294D44"/>
    <w:rsid w:val="002954EA"/>
    <w:rsid w:val="00295F23"/>
    <w:rsid w:val="00296040"/>
    <w:rsid w:val="00296531"/>
    <w:rsid w:val="002969DB"/>
    <w:rsid w:val="00297294"/>
    <w:rsid w:val="00297365"/>
    <w:rsid w:val="00297671"/>
    <w:rsid w:val="00297A5F"/>
    <w:rsid w:val="002A0199"/>
    <w:rsid w:val="002A1019"/>
    <w:rsid w:val="002A1407"/>
    <w:rsid w:val="002A26C5"/>
    <w:rsid w:val="002A2AFD"/>
    <w:rsid w:val="002A2CC1"/>
    <w:rsid w:val="002A2E7F"/>
    <w:rsid w:val="002A3328"/>
    <w:rsid w:val="002A3967"/>
    <w:rsid w:val="002A4097"/>
    <w:rsid w:val="002A47B4"/>
    <w:rsid w:val="002A4965"/>
    <w:rsid w:val="002A4AAA"/>
    <w:rsid w:val="002A5290"/>
    <w:rsid w:val="002A53CE"/>
    <w:rsid w:val="002A5C53"/>
    <w:rsid w:val="002A5CE2"/>
    <w:rsid w:val="002A5FA0"/>
    <w:rsid w:val="002A641F"/>
    <w:rsid w:val="002A646D"/>
    <w:rsid w:val="002A64B1"/>
    <w:rsid w:val="002A6A52"/>
    <w:rsid w:val="002A6E59"/>
    <w:rsid w:val="002A72FF"/>
    <w:rsid w:val="002A740E"/>
    <w:rsid w:val="002A741D"/>
    <w:rsid w:val="002A7814"/>
    <w:rsid w:val="002A78D7"/>
    <w:rsid w:val="002A79ED"/>
    <w:rsid w:val="002B0C83"/>
    <w:rsid w:val="002B0DE5"/>
    <w:rsid w:val="002B1636"/>
    <w:rsid w:val="002B17E0"/>
    <w:rsid w:val="002B1C75"/>
    <w:rsid w:val="002B1D54"/>
    <w:rsid w:val="002B2426"/>
    <w:rsid w:val="002B2837"/>
    <w:rsid w:val="002B2A70"/>
    <w:rsid w:val="002B2C50"/>
    <w:rsid w:val="002B2F80"/>
    <w:rsid w:val="002B342F"/>
    <w:rsid w:val="002B3653"/>
    <w:rsid w:val="002B38A8"/>
    <w:rsid w:val="002B3A2A"/>
    <w:rsid w:val="002B3CF6"/>
    <w:rsid w:val="002B3EB0"/>
    <w:rsid w:val="002B44C7"/>
    <w:rsid w:val="002B483E"/>
    <w:rsid w:val="002B4F97"/>
    <w:rsid w:val="002B5493"/>
    <w:rsid w:val="002B5D28"/>
    <w:rsid w:val="002B6722"/>
    <w:rsid w:val="002B6976"/>
    <w:rsid w:val="002B6A30"/>
    <w:rsid w:val="002B6A3B"/>
    <w:rsid w:val="002B6D83"/>
    <w:rsid w:val="002B758A"/>
    <w:rsid w:val="002B7A16"/>
    <w:rsid w:val="002B7BD6"/>
    <w:rsid w:val="002B7CE1"/>
    <w:rsid w:val="002C0004"/>
    <w:rsid w:val="002C01EA"/>
    <w:rsid w:val="002C0494"/>
    <w:rsid w:val="002C04C0"/>
    <w:rsid w:val="002C084C"/>
    <w:rsid w:val="002C0B04"/>
    <w:rsid w:val="002C0E6E"/>
    <w:rsid w:val="002C223E"/>
    <w:rsid w:val="002C2274"/>
    <w:rsid w:val="002C2536"/>
    <w:rsid w:val="002C25FA"/>
    <w:rsid w:val="002C28C6"/>
    <w:rsid w:val="002C2A81"/>
    <w:rsid w:val="002C2B0B"/>
    <w:rsid w:val="002C2CD9"/>
    <w:rsid w:val="002C30C1"/>
    <w:rsid w:val="002C30C5"/>
    <w:rsid w:val="002C34CA"/>
    <w:rsid w:val="002C3664"/>
    <w:rsid w:val="002C3A03"/>
    <w:rsid w:val="002C3C93"/>
    <w:rsid w:val="002C3F41"/>
    <w:rsid w:val="002C4030"/>
    <w:rsid w:val="002C423C"/>
    <w:rsid w:val="002C454E"/>
    <w:rsid w:val="002C5399"/>
    <w:rsid w:val="002C5C39"/>
    <w:rsid w:val="002C5FB1"/>
    <w:rsid w:val="002C67FB"/>
    <w:rsid w:val="002C694E"/>
    <w:rsid w:val="002C6A21"/>
    <w:rsid w:val="002C6AFC"/>
    <w:rsid w:val="002C6B2A"/>
    <w:rsid w:val="002C6CB1"/>
    <w:rsid w:val="002C6EE9"/>
    <w:rsid w:val="002C7182"/>
    <w:rsid w:val="002C7B68"/>
    <w:rsid w:val="002C7DF4"/>
    <w:rsid w:val="002C7FE2"/>
    <w:rsid w:val="002D0312"/>
    <w:rsid w:val="002D16F8"/>
    <w:rsid w:val="002D171E"/>
    <w:rsid w:val="002D1AFC"/>
    <w:rsid w:val="002D2643"/>
    <w:rsid w:val="002D3459"/>
    <w:rsid w:val="002D3687"/>
    <w:rsid w:val="002D3931"/>
    <w:rsid w:val="002D3A87"/>
    <w:rsid w:val="002D3FE1"/>
    <w:rsid w:val="002D423F"/>
    <w:rsid w:val="002D4273"/>
    <w:rsid w:val="002D4617"/>
    <w:rsid w:val="002D52BC"/>
    <w:rsid w:val="002D5853"/>
    <w:rsid w:val="002D6134"/>
    <w:rsid w:val="002D61B9"/>
    <w:rsid w:val="002D62E6"/>
    <w:rsid w:val="002D68D5"/>
    <w:rsid w:val="002D69BB"/>
    <w:rsid w:val="002D6C10"/>
    <w:rsid w:val="002D70F6"/>
    <w:rsid w:val="002D751A"/>
    <w:rsid w:val="002D7E06"/>
    <w:rsid w:val="002E024D"/>
    <w:rsid w:val="002E04C8"/>
    <w:rsid w:val="002E081C"/>
    <w:rsid w:val="002E08CA"/>
    <w:rsid w:val="002E0B5F"/>
    <w:rsid w:val="002E0C2B"/>
    <w:rsid w:val="002E0D2E"/>
    <w:rsid w:val="002E0D54"/>
    <w:rsid w:val="002E0E65"/>
    <w:rsid w:val="002E0FBD"/>
    <w:rsid w:val="002E0FE2"/>
    <w:rsid w:val="002E11A3"/>
    <w:rsid w:val="002E12BF"/>
    <w:rsid w:val="002E13F6"/>
    <w:rsid w:val="002E1440"/>
    <w:rsid w:val="002E1703"/>
    <w:rsid w:val="002E1AD0"/>
    <w:rsid w:val="002E210C"/>
    <w:rsid w:val="002E249B"/>
    <w:rsid w:val="002E2858"/>
    <w:rsid w:val="002E2DD9"/>
    <w:rsid w:val="002E314C"/>
    <w:rsid w:val="002E3616"/>
    <w:rsid w:val="002E3758"/>
    <w:rsid w:val="002E3D23"/>
    <w:rsid w:val="002E3D93"/>
    <w:rsid w:val="002E4277"/>
    <w:rsid w:val="002E48BE"/>
    <w:rsid w:val="002E49C8"/>
    <w:rsid w:val="002E4A12"/>
    <w:rsid w:val="002E4B19"/>
    <w:rsid w:val="002E4C58"/>
    <w:rsid w:val="002E4D6A"/>
    <w:rsid w:val="002E50F5"/>
    <w:rsid w:val="002E5458"/>
    <w:rsid w:val="002E5560"/>
    <w:rsid w:val="002E55A3"/>
    <w:rsid w:val="002E5809"/>
    <w:rsid w:val="002E5825"/>
    <w:rsid w:val="002E585C"/>
    <w:rsid w:val="002E5864"/>
    <w:rsid w:val="002E683B"/>
    <w:rsid w:val="002E6B1E"/>
    <w:rsid w:val="002E6D47"/>
    <w:rsid w:val="002E72FD"/>
    <w:rsid w:val="002E73F9"/>
    <w:rsid w:val="002E74BA"/>
    <w:rsid w:val="002E75D9"/>
    <w:rsid w:val="002E7BCB"/>
    <w:rsid w:val="002E7BF4"/>
    <w:rsid w:val="002E7D90"/>
    <w:rsid w:val="002F0065"/>
    <w:rsid w:val="002F013C"/>
    <w:rsid w:val="002F02AB"/>
    <w:rsid w:val="002F0964"/>
    <w:rsid w:val="002F0E0D"/>
    <w:rsid w:val="002F0F4F"/>
    <w:rsid w:val="002F1052"/>
    <w:rsid w:val="002F12EF"/>
    <w:rsid w:val="002F13C4"/>
    <w:rsid w:val="002F14E7"/>
    <w:rsid w:val="002F1780"/>
    <w:rsid w:val="002F1CE9"/>
    <w:rsid w:val="002F2244"/>
    <w:rsid w:val="002F236E"/>
    <w:rsid w:val="002F2B1A"/>
    <w:rsid w:val="002F2B48"/>
    <w:rsid w:val="002F2B86"/>
    <w:rsid w:val="002F2C44"/>
    <w:rsid w:val="002F2DA7"/>
    <w:rsid w:val="002F384B"/>
    <w:rsid w:val="002F3C6A"/>
    <w:rsid w:val="002F4370"/>
    <w:rsid w:val="002F442C"/>
    <w:rsid w:val="002F4E6C"/>
    <w:rsid w:val="002F5416"/>
    <w:rsid w:val="002F60C4"/>
    <w:rsid w:val="002F6473"/>
    <w:rsid w:val="002F6719"/>
    <w:rsid w:val="002F6ABB"/>
    <w:rsid w:val="002F6EBC"/>
    <w:rsid w:val="002F71E9"/>
    <w:rsid w:val="002F777E"/>
    <w:rsid w:val="002F783E"/>
    <w:rsid w:val="002F7CE7"/>
    <w:rsid w:val="00300167"/>
    <w:rsid w:val="00300AB3"/>
    <w:rsid w:val="00300B63"/>
    <w:rsid w:val="00300F3D"/>
    <w:rsid w:val="00301161"/>
    <w:rsid w:val="003015CF"/>
    <w:rsid w:val="003017C4"/>
    <w:rsid w:val="0030186D"/>
    <w:rsid w:val="00301F4D"/>
    <w:rsid w:val="00301F54"/>
    <w:rsid w:val="0030246D"/>
    <w:rsid w:val="00302D38"/>
    <w:rsid w:val="00302E0B"/>
    <w:rsid w:val="003032D4"/>
    <w:rsid w:val="00303960"/>
    <w:rsid w:val="00303B39"/>
    <w:rsid w:val="00304217"/>
    <w:rsid w:val="00304BF7"/>
    <w:rsid w:val="00304F33"/>
    <w:rsid w:val="00304FD2"/>
    <w:rsid w:val="003050E2"/>
    <w:rsid w:val="00306465"/>
    <w:rsid w:val="00306593"/>
    <w:rsid w:val="00306B3E"/>
    <w:rsid w:val="00306B9C"/>
    <w:rsid w:val="00306DDD"/>
    <w:rsid w:val="00306F14"/>
    <w:rsid w:val="00307D4A"/>
    <w:rsid w:val="00307D79"/>
    <w:rsid w:val="00310318"/>
    <w:rsid w:val="003108F2"/>
    <w:rsid w:val="00310909"/>
    <w:rsid w:val="00310EC3"/>
    <w:rsid w:val="00310FA4"/>
    <w:rsid w:val="003110CC"/>
    <w:rsid w:val="003111DA"/>
    <w:rsid w:val="00311B02"/>
    <w:rsid w:val="00311FBA"/>
    <w:rsid w:val="003124B6"/>
    <w:rsid w:val="003128F1"/>
    <w:rsid w:val="00312E6F"/>
    <w:rsid w:val="00313461"/>
    <w:rsid w:val="00313571"/>
    <w:rsid w:val="00313651"/>
    <w:rsid w:val="00313828"/>
    <w:rsid w:val="0031409D"/>
    <w:rsid w:val="0031410A"/>
    <w:rsid w:val="00314805"/>
    <w:rsid w:val="00315979"/>
    <w:rsid w:val="00315BED"/>
    <w:rsid w:val="00316184"/>
    <w:rsid w:val="003165D4"/>
    <w:rsid w:val="00316BB4"/>
    <w:rsid w:val="00316ED1"/>
    <w:rsid w:val="00316F3F"/>
    <w:rsid w:val="0031702E"/>
    <w:rsid w:val="00317406"/>
    <w:rsid w:val="00317424"/>
    <w:rsid w:val="0031756D"/>
    <w:rsid w:val="003176AB"/>
    <w:rsid w:val="00317A62"/>
    <w:rsid w:val="00317CCD"/>
    <w:rsid w:val="00317D23"/>
    <w:rsid w:val="00317E98"/>
    <w:rsid w:val="003200B4"/>
    <w:rsid w:val="003200C8"/>
    <w:rsid w:val="003205B1"/>
    <w:rsid w:val="00320665"/>
    <w:rsid w:val="00320A01"/>
    <w:rsid w:val="00320C95"/>
    <w:rsid w:val="00320D25"/>
    <w:rsid w:val="003210E3"/>
    <w:rsid w:val="00321110"/>
    <w:rsid w:val="00321490"/>
    <w:rsid w:val="00321845"/>
    <w:rsid w:val="00322034"/>
    <w:rsid w:val="003229F9"/>
    <w:rsid w:val="00322E65"/>
    <w:rsid w:val="00323027"/>
    <w:rsid w:val="003231E9"/>
    <w:rsid w:val="00323221"/>
    <w:rsid w:val="003232A9"/>
    <w:rsid w:val="003235CF"/>
    <w:rsid w:val="00323BC7"/>
    <w:rsid w:val="0032454A"/>
    <w:rsid w:val="00324D85"/>
    <w:rsid w:val="003252CD"/>
    <w:rsid w:val="00325935"/>
    <w:rsid w:val="003259FA"/>
    <w:rsid w:val="00326277"/>
    <w:rsid w:val="003264C1"/>
    <w:rsid w:val="00326873"/>
    <w:rsid w:val="0032696D"/>
    <w:rsid w:val="00326CF4"/>
    <w:rsid w:val="00326E53"/>
    <w:rsid w:val="00326F06"/>
    <w:rsid w:val="00327018"/>
    <w:rsid w:val="0032708A"/>
    <w:rsid w:val="00327F05"/>
    <w:rsid w:val="00327FE0"/>
    <w:rsid w:val="00331229"/>
    <w:rsid w:val="003315D1"/>
    <w:rsid w:val="003317BA"/>
    <w:rsid w:val="00331B43"/>
    <w:rsid w:val="00332B66"/>
    <w:rsid w:val="00332F10"/>
    <w:rsid w:val="003331F7"/>
    <w:rsid w:val="00333301"/>
    <w:rsid w:val="00333677"/>
    <w:rsid w:val="00333CB2"/>
    <w:rsid w:val="00333D66"/>
    <w:rsid w:val="00333E8E"/>
    <w:rsid w:val="00333F82"/>
    <w:rsid w:val="003344D3"/>
    <w:rsid w:val="00335576"/>
    <w:rsid w:val="0033578E"/>
    <w:rsid w:val="0033686D"/>
    <w:rsid w:val="00336E6D"/>
    <w:rsid w:val="00337725"/>
    <w:rsid w:val="00337C7D"/>
    <w:rsid w:val="00337D8F"/>
    <w:rsid w:val="003402EB"/>
    <w:rsid w:val="0034063E"/>
    <w:rsid w:val="003406CA"/>
    <w:rsid w:val="003408DB"/>
    <w:rsid w:val="00340D57"/>
    <w:rsid w:val="00341177"/>
    <w:rsid w:val="0034137B"/>
    <w:rsid w:val="00341476"/>
    <w:rsid w:val="0034190B"/>
    <w:rsid w:val="00341A70"/>
    <w:rsid w:val="0034253F"/>
    <w:rsid w:val="003425A9"/>
    <w:rsid w:val="00342C9C"/>
    <w:rsid w:val="00342DEC"/>
    <w:rsid w:val="0034301E"/>
    <w:rsid w:val="00343022"/>
    <w:rsid w:val="003433E3"/>
    <w:rsid w:val="003437AC"/>
    <w:rsid w:val="003439A7"/>
    <w:rsid w:val="00343BE1"/>
    <w:rsid w:val="003440BB"/>
    <w:rsid w:val="00344254"/>
    <w:rsid w:val="00344294"/>
    <w:rsid w:val="0034433C"/>
    <w:rsid w:val="0034440E"/>
    <w:rsid w:val="003444AC"/>
    <w:rsid w:val="0034457D"/>
    <w:rsid w:val="003449B1"/>
    <w:rsid w:val="00344CE8"/>
    <w:rsid w:val="00344D02"/>
    <w:rsid w:val="00344F2B"/>
    <w:rsid w:val="003451ED"/>
    <w:rsid w:val="0034529A"/>
    <w:rsid w:val="003453C1"/>
    <w:rsid w:val="0034573F"/>
    <w:rsid w:val="00345765"/>
    <w:rsid w:val="00345A23"/>
    <w:rsid w:val="00345A53"/>
    <w:rsid w:val="00346261"/>
    <w:rsid w:val="00346306"/>
    <w:rsid w:val="00346380"/>
    <w:rsid w:val="003468E5"/>
    <w:rsid w:val="00346D27"/>
    <w:rsid w:val="003477F9"/>
    <w:rsid w:val="00347B62"/>
    <w:rsid w:val="00347DDB"/>
    <w:rsid w:val="003501E8"/>
    <w:rsid w:val="00350397"/>
    <w:rsid w:val="003503D9"/>
    <w:rsid w:val="00350835"/>
    <w:rsid w:val="00350954"/>
    <w:rsid w:val="0035098C"/>
    <w:rsid w:val="00350BF8"/>
    <w:rsid w:val="00350C81"/>
    <w:rsid w:val="00351219"/>
    <w:rsid w:val="0035121E"/>
    <w:rsid w:val="00351B1F"/>
    <w:rsid w:val="00351CBB"/>
    <w:rsid w:val="00352175"/>
    <w:rsid w:val="00352F3D"/>
    <w:rsid w:val="003530FA"/>
    <w:rsid w:val="0035340D"/>
    <w:rsid w:val="00353925"/>
    <w:rsid w:val="003539BF"/>
    <w:rsid w:val="00353EE4"/>
    <w:rsid w:val="0035474E"/>
    <w:rsid w:val="00354DA5"/>
    <w:rsid w:val="00355109"/>
    <w:rsid w:val="0035526D"/>
    <w:rsid w:val="0035573F"/>
    <w:rsid w:val="00356E08"/>
    <w:rsid w:val="003571A6"/>
    <w:rsid w:val="00357464"/>
    <w:rsid w:val="003574FD"/>
    <w:rsid w:val="00357856"/>
    <w:rsid w:val="003578A8"/>
    <w:rsid w:val="00357BB1"/>
    <w:rsid w:val="00357BDE"/>
    <w:rsid w:val="00357CCD"/>
    <w:rsid w:val="00357E24"/>
    <w:rsid w:val="00360115"/>
    <w:rsid w:val="003604E9"/>
    <w:rsid w:val="00360A45"/>
    <w:rsid w:val="00360A61"/>
    <w:rsid w:val="00360C7D"/>
    <w:rsid w:val="00360D55"/>
    <w:rsid w:val="003614EC"/>
    <w:rsid w:val="003615EB"/>
    <w:rsid w:val="00361895"/>
    <w:rsid w:val="00361B2A"/>
    <w:rsid w:val="00361D8B"/>
    <w:rsid w:val="00361EB2"/>
    <w:rsid w:val="00362683"/>
    <w:rsid w:val="00362748"/>
    <w:rsid w:val="00362A0B"/>
    <w:rsid w:val="00362ED2"/>
    <w:rsid w:val="00363429"/>
    <w:rsid w:val="003637B3"/>
    <w:rsid w:val="00363A14"/>
    <w:rsid w:val="00363ECC"/>
    <w:rsid w:val="003644BE"/>
    <w:rsid w:val="00365171"/>
    <w:rsid w:val="003653AB"/>
    <w:rsid w:val="003657AF"/>
    <w:rsid w:val="00365886"/>
    <w:rsid w:val="0036590B"/>
    <w:rsid w:val="00365A77"/>
    <w:rsid w:val="00365B24"/>
    <w:rsid w:val="00365C00"/>
    <w:rsid w:val="00365F32"/>
    <w:rsid w:val="00366347"/>
    <w:rsid w:val="003665C6"/>
    <w:rsid w:val="0036670A"/>
    <w:rsid w:val="003667D4"/>
    <w:rsid w:val="00366850"/>
    <w:rsid w:val="00366A9C"/>
    <w:rsid w:val="00366B42"/>
    <w:rsid w:val="00366CEF"/>
    <w:rsid w:val="00366DDD"/>
    <w:rsid w:val="003672BD"/>
    <w:rsid w:val="00367941"/>
    <w:rsid w:val="00367D86"/>
    <w:rsid w:val="00367EEF"/>
    <w:rsid w:val="00370805"/>
    <w:rsid w:val="00370A14"/>
    <w:rsid w:val="00370D98"/>
    <w:rsid w:val="00370EA0"/>
    <w:rsid w:val="00370F2A"/>
    <w:rsid w:val="00370F9A"/>
    <w:rsid w:val="00371374"/>
    <w:rsid w:val="0037151C"/>
    <w:rsid w:val="003715F9"/>
    <w:rsid w:val="00371650"/>
    <w:rsid w:val="00371A28"/>
    <w:rsid w:val="00372010"/>
    <w:rsid w:val="0037248B"/>
    <w:rsid w:val="00372AB7"/>
    <w:rsid w:val="00372D30"/>
    <w:rsid w:val="00372F59"/>
    <w:rsid w:val="0037312E"/>
    <w:rsid w:val="00373A0D"/>
    <w:rsid w:val="00373A9E"/>
    <w:rsid w:val="00373C07"/>
    <w:rsid w:val="0037422C"/>
    <w:rsid w:val="003742E7"/>
    <w:rsid w:val="0037453E"/>
    <w:rsid w:val="00374894"/>
    <w:rsid w:val="00374943"/>
    <w:rsid w:val="00374B39"/>
    <w:rsid w:val="00374D50"/>
    <w:rsid w:val="00374D88"/>
    <w:rsid w:val="00374E78"/>
    <w:rsid w:val="003754B5"/>
    <w:rsid w:val="00375544"/>
    <w:rsid w:val="00375E4D"/>
    <w:rsid w:val="003772E4"/>
    <w:rsid w:val="00377B40"/>
    <w:rsid w:val="00377DC8"/>
    <w:rsid w:val="00377FBD"/>
    <w:rsid w:val="0038059F"/>
    <w:rsid w:val="00380A72"/>
    <w:rsid w:val="00381332"/>
    <w:rsid w:val="00381371"/>
    <w:rsid w:val="00381C85"/>
    <w:rsid w:val="00382477"/>
    <w:rsid w:val="003825CA"/>
    <w:rsid w:val="00382A06"/>
    <w:rsid w:val="0038341E"/>
    <w:rsid w:val="003835FF"/>
    <w:rsid w:val="00383946"/>
    <w:rsid w:val="00383B8F"/>
    <w:rsid w:val="00383BF5"/>
    <w:rsid w:val="00383CF6"/>
    <w:rsid w:val="00383D5C"/>
    <w:rsid w:val="00383D8E"/>
    <w:rsid w:val="00384621"/>
    <w:rsid w:val="00384C8B"/>
    <w:rsid w:val="00384DF3"/>
    <w:rsid w:val="00384E95"/>
    <w:rsid w:val="00385526"/>
    <w:rsid w:val="00385878"/>
    <w:rsid w:val="00385CB9"/>
    <w:rsid w:val="00385E35"/>
    <w:rsid w:val="00385F7A"/>
    <w:rsid w:val="00386123"/>
    <w:rsid w:val="003861E6"/>
    <w:rsid w:val="003865B8"/>
    <w:rsid w:val="003866D6"/>
    <w:rsid w:val="00386DAB"/>
    <w:rsid w:val="00387067"/>
    <w:rsid w:val="0038708D"/>
    <w:rsid w:val="003874FF"/>
    <w:rsid w:val="003876CC"/>
    <w:rsid w:val="003878B3"/>
    <w:rsid w:val="0039070A"/>
    <w:rsid w:val="0039084E"/>
    <w:rsid w:val="00390913"/>
    <w:rsid w:val="00390D92"/>
    <w:rsid w:val="00391376"/>
    <w:rsid w:val="0039151A"/>
    <w:rsid w:val="00392B1F"/>
    <w:rsid w:val="00392C1E"/>
    <w:rsid w:val="00392CF5"/>
    <w:rsid w:val="00393004"/>
    <w:rsid w:val="00393064"/>
    <w:rsid w:val="00393806"/>
    <w:rsid w:val="00394215"/>
    <w:rsid w:val="00394D87"/>
    <w:rsid w:val="00394DA9"/>
    <w:rsid w:val="00394E3E"/>
    <w:rsid w:val="00395198"/>
    <w:rsid w:val="003951DF"/>
    <w:rsid w:val="0039532B"/>
    <w:rsid w:val="00395831"/>
    <w:rsid w:val="00396293"/>
    <w:rsid w:val="00396D80"/>
    <w:rsid w:val="003972A1"/>
    <w:rsid w:val="003979A7"/>
    <w:rsid w:val="003A004A"/>
    <w:rsid w:val="003A01F9"/>
    <w:rsid w:val="003A05EC"/>
    <w:rsid w:val="003A075B"/>
    <w:rsid w:val="003A081A"/>
    <w:rsid w:val="003A08BF"/>
    <w:rsid w:val="003A1382"/>
    <w:rsid w:val="003A1D17"/>
    <w:rsid w:val="003A2080"/>
    <w:rsid w:val="003A249A"/>
    <w:rsid w:val="003A258E"/>
    <w:rsid w:val="003A2A3B"/>
    <w:rsid w:val="003A2A4B"/>
    <w:rsid w:val="003A2DF5"/>
    <w:rsid w:val="003A2EB1"/>
    <w:rsid w:val="003A2EF4"/>
    <w:rsid w:val="003A390F"/>
    <w:rsid w:val="003A42E9"/>
    <w:rsid w:val="003A4B6C"/>
    <w:rsid w:val="003A4CE9"/>
    <w:rsid w:val="003A52FA"/>
    <w:rsid w:val="003A5E0C"/>
    <w:rsid w:val="003A6081"/>
    <w:rsid w:val="003A6187"/>
    <w:rsid w:val="003A61A7"/>
    <w:rsid w:val="003A6F77"/>
    <w:rsid w:val="003A74CE"/>
    <w:rsid w:val="003A7855"/>
    <w:rsid w:val="003A7CF4"/>
    <w:rsid w:val="003B02C5"/>
    <w:rsid w:val="003B0A72"/>
    <w:rsid w:val="003B0BED"/>
    <w:rsid w:val="003B0D5F"/>
    <w:rsid w:val="003B0D75"/>
    <w:rsid w:val="003B14DC"/>
    <w:rsid w:val="003B1931"/>
    <w:rsid w:val="003B1B35"/>
    <w:rsid w:val="003B1C76"/>
    <w:rsid w:val="003B26DF"/>
    <w:rsid w:val="003B2C4C"/>
    <w:rsid w:val="003B368B"/>
    <w:rsid w:val="003B4264"/>
    <w:rsid w:val="003B426B"/>
    <w:rsid w:val="003B440B"/>
    <w:rsid w:val="003B4667"/>
    <w:rsid w:val="003B47D1"/>
    <w:rsid w:val="003B4822"/>
    <w:rsid w:val="003B48BD"/>
    <w:rsid w:val="003B4F17"/>
    <w:rsid w:val="003B5066"/>
    <w:rsid w:val="003B5098"/>
    <w:rsid w:val="003B5454"/>
    <w:rsid w:val="003B5C8B"/>
    <w:rsid w:val="003B5CD7"/>
    <w:rsid w:val="003B6056"/>
    <w:rsid w:val="003B68BA"/>
    <w:rsid w:val="003B691D"/>
    <w:rsid w:val="003B6B3B"/>
    <w:rsid w:val="003B6BCB"/>
    <w:rsid w:val="003B7152"/>
    <w:rsid w:val="003B72FB"/>
    <w:rsid w:val="003B792D"/>
    <w:rsid w:val="003B799A"/>
    <w:rsid w:val="003B7D81"/>
    <w:rsid w:val="003C01ED"/>
    <w:rsid w:val="003C064C"/>
    <w:rsid w:val="003C0968"/>
    <w:rsid w:val="003C10F0"/>
    <w:rsid w:val="003C13E3"/>
    <w:rsid w:val="003C1802"/>
    <w:rsid w:val="003C1909"/>
    <w:rsid w:val="003C1D8E"/>
    <w:rsid w:val="003C1E4F"/>
    <w:rsid w:val="003C2705"/>
    <w:rsid w:val="003C2784"/>
    <w:rsid w:val="003C2935"/>
    <w:rsid w:val="003C2CD7"/>
    <w:rsid w:val="003C351D"/>
    <w:rsid w:val="003C35AD"/>
    <w:rsid w:val="003C371F"/>
    <w:rsid w:val="003C3A6A"/>
    <w:rsid w:val="003C3C1D"/>
    <w:rsid w:val="003C3CE6"/>
    <w:rsid w:val="003C3D33"/>
    <w:rsid w:val="003C3F54"/>
    <w:rsid w:val="003C4198"/>
    <w:rsid w:val="003C44A5"/>
    <w:rsid w:val="003C46A8"/>
    <w:rsid w:val="003C48C7"/>
    <w:rsid w:val="003C49FF"/>
    <w:rsid w:val="003C4AAF"/>
    <w:rsid w:val="003C4CEE"/>
    <w:rsid w:val="003C568E"/>
    <w:rsid w:val="003C5BCC"/>
    <w:rsid w:val="003C60D5"/>
    <w:rsid w:val="003C6137"/>
    <w:rsid w:val="003C61EB"/>
    <w:rsid w:val="003C6263"/>
    <w:rsid w:val="003C6431"/>
    <w:rsid w:val="003C6846"/>
    <w:rsid w:val="003C6E85"/>
    <w:rsid w:val="003C6EC2"/>
    <w:rsid w:val="003C7640"/>
    <w:rsid w:val="003C7EA0"/>
    <w:rsid w:val="003D010C"/>
    <w:rsid w:val="003D0606"/>
    <w:rsid w:val="003D0F22"/>
    <w:rsid w:val="003D0F4A"/>
    <w:rsid w:val="003D139B"/>
    <w:rsid w:val="003D14D2"/>
    <w:rsid w:val="003D18BE"/>
    <w:rsid w:val="003D19CE"/>
    <w:rsid w:val="003D19DE"/>
    <w:rsid w:val="003D1F31"/>
    <w:rsid w:val="003D26C1"/>
    <w:rsid w:val="003D272E"/>
    <w:rsid w:val="003D353A"/>
    <w:rsid w:val="003D3A41"/>
    <w:rsid w:val="003D3A8B"/>
    <w:rsid w:val="003D3B15"/>
    <w:rsid w:val="003D3D37"/>
    <w:rsid w:val="003D3E44"/>
    <w:rsid w:val="003D3F57"/>
    <w:rsid w:val="003D4299"/>
    <w:rsid w:val="003D4949"/>
    <w:rsid w:val="003D562E"/>
    <w:rsid w:val="003D57BB"/>
    <w:rsid w:val="003D57E4"/>
    <w:rsid w:val="003D599C"/>
    <w:rsid w:val="003D5B3C"/>
    <w:rsid w:val="003D5B5E"/>
    <w:rsid w:val="003D619B"/>
    <w:rsid w:val="003D6303"/>
    <w:rsid w:val="003D694B"/>
    <w:rsid w:val="003D6BB5"/>
    <w:rsid w:val="003D6BDE"/>
    <w:rsid w:val="003D6C00"/>
    <w:rsid w:val="003D6E67"/>
    <w:rsid w:val="003D6EDF"/>
    <w:rsid w:val="003D70D5"/>
    <w:rsid w:val="003D7896"/>
    <w:rsid w:val="003D7EB0"/>
    <w:rsid w:val="003D7F50"/>
    <w:rsid w:val="003E0043"/>
    <w:rsid w:val="003E005D"/>
    <w:rsid w:val="003E0207"/>
    <w:rsid w:val="003E04C3"/>
    <w:rsid w:val="003E054C"/>
    <w:rsid w:val="003E1000"/>
    <w:rsid w:val="003E1452"/>
    <w:rsid w:val="003E1A85"/>
    <w:rsid w:val="003E1EF1"/>
    <w:rsid w:val="003E218C"/>
    <w:rsid w:val="003E255D"/>
    <w:rsid w:val="003E2831"/>
    <w:rsid w:val="003E2AF1"/>
    <w:rsid w:val="003E2DBB"/>
    <w:rsid w:val="003E3659"/>
    <w:rsid w:val="003E370B"/>
    <w:rsid w:val="003E3750"/>
    <w:rsid w:val="003E4103"/>
    <w:rsid w:val="003E4200"/>
    <w:rsid w:val="003E45E8"/>
    <w:rsid w:val="003E4A5A"/>
    <w:rsid w:val="003E4B08"/>
    <w:rsid w:val="003E4E80"/>
    <w:rsid w:val="003E50AE"/>
    <w:rsid w:val="003E569D"/>
    <w:rsid w:val="003E59BD"/>
    <w:rsid w:val="003E6171"/>
    <w:rsid w:val="003E658B"/>
    <w:rsid w:val="003E685E"/>
    <w:rsid w:val="003E68AA"/>
    <w:rsid w:val="003E697D"/>
    <w:rsid w:val="003E7333"/>
    <w:rsid w:val="003E76B6"/>
    <w:rsid w:val="003E7861"/>
    <w:rsid w:val="003E795F"/>
    <w:rsid w:val="003E7DCD"/>
    <w:rsid w:val="003F02E1"/>
    <w:rsid w:val="003F040E"/>
    <w:rsid w:val="003F04AE"/>
    <w:rsid w:val="003F1586"/>
    <w:rsid w:val="003F17E4"/>
    <w:rsid w:val="003F1B6F"/>
    <w:rsid w:val="003F1F1F"/>
    <w:rsid w:val="003F244D"/>
    <w:rsid w:val="003F24EC"/>
    <w:rsid w:val="003F2580"/>
    <w:rsid w:val="003F2E76"/>
    <w:rsid w:val="003F3101"/>
    <w:rsid w:val="003F3908"/>
    <w:rsid w:val="003F3D51"/>
    <w:rsid w:val="003F3EFD"/>
    <w:rsid w:val="003F3F68"/>
    <w:rsid w:val="003F40AB"/>
    <w:rsid w:val="003F40EA"/>
    <w:rsid w:val="003F4113"/>
    <w:rsid w:val="003F4567"/>
    <w:rsid w:val="003F469B"/>
    <w:rsid w:val="003F4E1C"/>
    <w:rsid w:val="003F5013"/>
    <w:rsid w:val="003F5219"/>
    <w:rsid w:val="003F53C1"/>
    <w:rsid w:val="003F54B2"/>
    <w:rsid w:val="003F5516"/>
    <w:rsid w:val="003F5599"/>
    <w:rsid w:val="003F5AAB"/>
    <w:rsid w:val="003F5B98"/>
    <w:rsid w:val="003F5C5E"/>
    <w:rsid w:val="003F5D38"/>
    <w:rsid w:val="003F5D5B"/>
    <w:rsid w:val="003F5D82"/>
    <w:rsid w:val="003F6954"/>
    <w:rsid w:val="003F75E9"/>
    <w:rsid w:val="0040060C"/>
    <w:rsid w:val="00400651"/>
    <w:rsid w:val="004007BA"/>
    <w:rsid w:val="004007EC"/>
    <w:rsid w:val="0040092A"/>
    <w:rsid w:val="00400EB0"/>
    <w:rsid w:val="00401175"/>
    <w:rsid w:val="004011E6"/>
    <w:rsid w:val="0040150E"/>
    <w:rsid w:val="0040152E"/>
    <w:rsid w:val="00401D32"/>
    <w:rsid w:val="00401FCD"/>
    <w:rsid w:val="004020DC"/>
    <w:rsid w:val="0040220F"/>
    <w:rsid w:val="004025EC"/>
    <w:rsid w:val="00402799"/>
    <w:rsid w:val="00402B47"/>
    <w:rsid w:val="00402EE1"/>
    <w:rsid w:val="004031F6"/>
    <w:rsid w:val="00403636"/>
    <w:rsid w:val="0040371D"/>
    <w:rsid w:val="00403B81"/>
    <w:rsid w:val="00403D8F"/>
    <w:rsid w:val="004046F3"/>
    <w:rsid w:val="00404A7F"/>
    <w:rsid w:val="00404AC5"/>
    <w:rsid w:val="00405E39"/>
    <w:rsid w:val="00406211"/>
    <w:rsid w:val="004063BA"/>
    <w:rsid w:val="004066A8"/>
    <w:rsid w:val="00406720"/>
    <w:rsid w:val="0040674A"/>
    <w:rsid w:val="00406B79"/>
    <w:rsid w:val="0040725F"/>
    <w:rsid w:val="004073CD"/>
    <w:rsid w:val="0040744B"/>
    <w:rsid w:val="00407586"/>
    <w:rsid w:val="00407725"/>
    <w:rsid w:val="004077D8"/>
    <w:rsid w:val="00407FF6"/>
    <w:rsid w:val="00410A7F"/>
    <w:rsid w:val="00410E67"/>
    <w:rsid w:val="004110DF"/>
    <w:rsid w:val="00412081"/>
    <w:rsid w:val="004131D9"/>
    <w:rsid w:val="00413680"/>
    <w:rsid w:val="004136A3"/>
    <w:rsid w:val="00413936"/>
    <w:rsid w:val="00413A4C"/>
    <w:rsid w:val="00413B50"/>
    <w:rsid w:val="0041439E"/>
    <w:rsid w:val="004144D3"/>
    <w:rsid w:val="004148A8"/>
    <w:rsid w:val="00414A49"/>
    <w:rsid w:val="00414AA1"/>
    <w:rsid w:val="00415D18"/>
    <w:rsid w:val="00415E61"/>
    <w:rsid w:val="004165AE"/>
    <w:rsid w:val="004165D1"/>
    <w:rsid w:val="00416634"/>
    <w:rsid w:val="00416D2A"/>
    <w:rsid w:val="00416D5C"/>
    <w:rsid w:val="00416F8F"/>
    <w:rsid w:val="004175CA"/>
    <w:rsid w:val="00417670"/>
    <w:rsid w:val="00420BF4"/>
    <w:rsid w:val="0042153A"/>
    <w:rsid w:val="00421792"/>
    <w:rsid w:val="00421EA8"/>
    <w:rsid w:val="00422061"/>
    <w:rsid w:val="00422207"/>
    <w:rsid w:val="004223DD"/>
    <w:rsid w:val="004227F2"/>
    <w:rsid w:val="00422C82"/>
    <w:rsid w:val="00422DDB"/>
    <w:rsid w:val="004230C2"/>
    <w:rsid w:val="004236AD"/>
    <w:rsid w:val="00423808"/>
    <w:rsid w:val="00423F0A"/>
    <w:rsid w:val="004240E1"/>
    <w:rsid w:val="00424239"/>
    <w:rsid w:val="00424363"/>
    <w:rsid w:val="00424413"/>
    <w:rsid w:val="00424592"/>
    <w:rsid w:val="00424B75"/>
    <w:rsid w:val="00424BAB"/>
    <w:rsid w:val="00424D44"/>
    <w:rsid w:val="00424EC1"/>
    <w:rsid w:val="00425060"/>
    <w:rsid w:val="004250C6"/>
    <w:rsid w:val="00425CD0"/>
    <w:rsid w:val="00425F40"/>
    <w:rsid w:val="004268FA"/>
    <w:rsid w:val="00426A75"/>
    <w:rsid w:val="00426B51"/>
    <w:rsid w:val="00427054"/>
    <w:rsid w:val="00427B5E"/>
    <w:rsid w:val="00427C88"/>
    <w:rsid w:val="00427DCA"/>
    <w:rsid w:val="00427EBB"/>
    <w:rsid w:val="0043012D"/>
    <w:rsid w:val="00430870"/>
    <w:rsid w:val="004309FE"/>
    <w:rsid w:val="00430D39"/>
    <w:rsid w:val="00431291"/>
    <w:rsid w:val="00431371"/>
    <w:rsid w:val="004313C5"/>
    <w:rsid w:val="00431DFE"/>
    <w:rsid w:val="00431F0E"/>
    <w:rsid w:val="004320D6"/>
    <w:rsid w:val="0043224D"/>
    <w:rsid w:val="004327FC"/>
    <w:rsid w:val="004330A6"/>
    <w:rsid w:val="00433113"/>
    <w:rsid w:val="004331CA"/>
    <w:rsid w:val="0043397A"/>
    <w:rsid w:val="00433B58"/>
    <w:rsid w:val="0043411C"/>
    <w:rsid w:val="0043475C"/>
    <w:rsid w:val="00434E32"/>
    <w:rsid w:val="00434E44"/>
    <w:rsid w:val="004350BE"/>
    <w:rsid w:val="00435206"/>
    <w:rsid w:val="00435618"/>
    <w:rsid w:val="00435FAF"/>
    <w:rsid w:val="004360E2"/>
    <w:rsid w:val="004361A3"/>
    <w:rsid w:val="004366F5"/>
    <w:rsid w:val="004369F3"/>
    <w:rsid w:val="004374E1"/>
    <w:rsid w:val="004374F9"/>
    <w:rsid w:val="0043751E"/>
    <w:rsid w:val="0043779A"/>
    <w:rsid w:val="004408A1"/>
    <w:rsid w:val="00440A34"/>
    <w:rsid w:val="00440DD2"/>
    <w:rsid w:val="0044145C"/>
    <w:rsid w:val="004416D6"/>
    <w:rsid w:val="00441A4F"/>
    <w:rsid w:val="00441CE7"/>
    <w:rsid w:val="00442799"/>
    <w:rsid w:val="00442CE4"/>
    <w:rsid w:val="00443135"/>
    <w:rsid w:val="00443545"/>
    <w:rsid w:val="00443B2F"/>
    <w:rsid w:val="00443E57"/>
    <w:rsid w:val="00443F91"/>
    <w:rsid w:val="00444624"/>
    <w:rsid w:val="00444E91"/>
    <w:rsid w:val="00444EE9"/>
    <w:rsid w:val="004454B1"/>
    <w:rsid w:val="0044583F"/>
    <w:rsid w:val="00445BEC"/>
    <w:rsid w:val="0044608C"/>
    <w:rsid w:val="004463C7"/>
    <w:rsid w:val="0044652C"/>
    <w:rsid w:val="00446537"/>
    <w:rsid w:val="004468E8"/>
    <w:rsid w:val="00446F2A"/>
    <w:rsid w:val="004470B4"/>
    <w:rsid w:val="00447875"/>
    <w:rsid w:val="00447C5B"/>
    <w:rsid w:val="00447CBD"/>
    <w:rsid w:val="00450394"/>
    <w:rsid w:val="004509D3"/>
    <w:rsid w:val="00450DA1"/>
    <w:rsid w:val="00451029"/>
    <w:rsid w:val="00451084"/>
    <w:rsid w:val="004510D1"/>
    <w:rsid w:val="00451433"/>
    <w:rsid w:val="00451650"/>
    <w:rsid w:val="00451941"/>
    <w:rsid w:val="004524DC"/>
    <w:rsid w:val="00452533"/>
    <w:rsid w:val="004528EA"/>
    <w:rsid w:val="00452D1A"/>
    <w:rsid w:val="00452DBA"/>
    <w:rsid w:val="00453229"/>
    <w:rsid w:val="004535CF"/>
    <w:rsid w:val="004539A8"/>
    <w:rsid w:val="00453BA8"/>
    <w:rsid w:val="004546EB"/>
    <w:rsid w:val="004547A9"/>
    <w:rsid w:val="00454B85"/>
    <w:rsid w:val="00454DD5"/>
    <w:rsid w:val="0045522F"/>
    <w:rsid w:val="00455622"/>
    <w:rsid w:val="004557FE"/>
    <w:rsid w:val="00456013"/>
    <w:rsid w:val="00456B11"/>
    <w:rsid w:val="00456C00"/>
    <w:rsid w:val="00456C62"/>
    <w:rsid w:val="00456C89"/>
    <w:rsid w:val="00456F06"/>
    <w:rsid w:val="00457101"/>
    <w:rsid w:val="0045741F"/>
    <w:rsid w:val="00457547"/>
    <w:rsid w:val="00457B64"/>
    <w:rsid w:val="00457F97"/>
    <w:rsid w:val="0046066E"/>
    <w:rsid w:val="00460BCC"/>
    <w:rsid w:val="00460CB4"/>
    <w:rsid w:val="00460DE7"/>
    <w:rsid w:val="00460EBC"/>
    <w:rsid w:val="00461004"/>
    <w:rsid w:val="004612D7"/>
    <w:rsid w:val="0046140E"/>
    <w:rsid w:val="00461B64"/>
    <w:rsid w:val="004622D8"/>
    <w:rsid w:val="00462A09"/>
    <w:rsid w:val="00462BB1"/>
    <w:rsid w:val="00462C32"/>
    <w:rsid w:val="00462EDD"/>
    <w:rsid w:val="00463093"/>
    <w:rsid w:val="00463260"/>
    <w:rsid w:val="0046329E"/>
    <w:rsid w:val="004633CE"/>
    <w:rsid w:val="0046352A"/>
    <w:rsid w:val="004635F0"/>
    <w:rsid w:val="00463DAD"/>
    <w:rsid w:val="00463F34"/>
    <w:rsid w:val="00464594"/>
    <w:rsid w:val="004646AB"/>
    <w:rsid w:val="0046474F"/>
    <w:rsid w:val="004647E7"/>
    <w:rsid w:val="004658CB"/>
    <w:rsid w:val="00465DA7"/>
    <w:rsid w:val="004669FA"/>
    <w:rsid w:val="00467797"/>
    <w:rsid w:val="00467870"/>
    <w:rsid w:val="00470654"/>
    <w:rsid w:val="00470C18"/>
    <w:rsid w:val="0047108C"/>
    <w:rsid w:val="004715DA"/>
    <w:rsid w:val="004717B6"/>
    <w:rsid w:val="004717F5"/>
    <w:rsid w:val="0047233B"/>
    <w:rsid w:val="0047244B"/>
    <w:rsid w:val="00472529"/>
    <w:rsid w:val="004725B0"/>
    <w:rsid w:val="00472AC5"/>
    <w:rsid w:val="0047429F"/>
    <w:rsid w:val="004742D1"/>
    <w:rsid w:val="004751AD"/>
    <w:rsid w:val="00475278"/>
    <w:rsid w:val="00475525"/>
    <w:rsid w:val="004758B9"/>
    <w:rsid w:val="00475F50"/>
    <w:rsid w:val="0047613C"/>
    <w:rsid w:val="0047668C"/>
    <w:rsid w:val="00476C2F"/>
    <w:rsid w:val="00476D32"/>
    <w:rsid w:val="0047766E"/>
    <w:rsid w:val="00480092"/>
    <w:rsid w:val="004801CF"/>
    <w:rsid w:val="00480379"/>
    <w:rsid w:val="00480479"/>
    <w:rsid w:val="00480522"/>
    <w:rsid w:val="00480683"/>
    <w:rsid w:val="00480B80"/>
    <w:rsid w:val="00480ECC"/>
    <w:rsid w:val="00480F96"/>
    <w:rsid w:val="0048101D"/>
    <w:rsid w:val="004816B7"/>
    <w:rsid w:val="004817C6"/>
    <w:rsid w:val="0048188F"/>
    <w:rsid w:val="004818FA"/>
    <w:rsid w:val="00481D7B"/>
    <w:rsid w:val="00481DA0"/>
    <w:rsid w:val="00481F56"/>
    <w:rsid w:val="00482055"/>
    <w:rsid w:val="00482617"/>
    <w:rsid w:val="00482EE3"/>
    <w:rsid w:val="004835F2"/>
    <w:rsid w:val="00483A63"/>
    <w:rsid w:val="00483BE1"/>
    <w:rsid w:val="00483C9A"/>
    <w:rsid w:val="00483E84"/>
    <w:rsid w:val="00484808"/>
    <w:rsid w:val="0048504E"/>
    <w:rsid w:val="004852F2"/>
    <w:rsid w:val="00485328"/>
    <w:rsid w:val="00485451"/>
    <w:rsid w:val="004858E4"/>
    <w:rsid w:val="00485DED"/>
    <w:rsid w:val="00485E19"/>
    <w:rsid w:val="0048600F"/>
    <w:rsid w:val="00486292"/>
    <w:rsid w:val="00486332"/>
    <w:rsid w:val="00486408"/>
    <w:rsid w:val="00486794"/>
    <w:rsid w:val="00486BB2"/>
    <w:rsid w:val="004871F9"/>
    <w:rsid w:val="004872ED"/>
    <w:rsid w:val="004873E1"/>
    <w:rsid w:val="00487AAF"/>
    <w:rsid w:val="00487B85"/>
    <w:rsid w:val="004900D4"/>
    <w:rsid w:val="004907E1"/>
    <w:rsid w:val="0049087B"/>
    <w:rsid w:val="00490975"/>
    <w:rsid w:val="00491BAC"/>
    <w:rsid w:val="00491BAD"/>
    <w:rsid w:val="00491BEA"/>
    <w:rsid w:val="0049205F"/>
    <w:rsid w:val="00492429"/>
    <w:rsid w:val="00492759"/>
    <w:rsid w:val="004927F7"/>
    <w:rsid w:val="004928F9"/>
    <w:rsid w:val="00492BDD"/>
    <w:rsid w:val="004930A7"/>
    <w:rsid w:val="0049362C"/>
    <w:rsid w:val="00493DC9"/>
    <w:rsid w:val="00493E1C"/>
    <w:rsid w:val="004940F5"/>
    <w:rsid w:val="00494472"/>
    <w:rsid w:val="0049466D"/>
    <w:rsid w:val="0049475F"/>
    <w:rsid w:val="00494811"/>
    <w:rsid w:val="00494CE9"/>
    <w:rsid w:val="00494F41"/>
    <w:rsid w:val="00495160"/>
    <w:rsid w:val="00495322"/>
    <w:rsid w:val="00495657"/>
    <w:rsid w:val="004958CE"/>
    <w:rsid w:val="00495D6D"/>
    <w:rsid w:val="0049617A"/>
    <w:rsid w:val="00496354"/>
    <w:rsid w:val="00496B1C"/>
    <w:rsid w:val="00496C9D"/>
    <w:rsid w:val="0049765B"/>
    <w:rsid w:val="004976B8"/>
    <w:rsid w:val="004A0216"/>
    <w:rsid w:val="004A04EF"/>
    <w:rsid w:val="004A0A06"/>
    <w:rsid w:val="004A0BB5"/>
    <w:rsid w:val="004A161A"/>
    <w:rsid w:val="004A22AC"/>
    <w:rsid w:val="004A29C8"/>
    <w:rsid w:val="004A2E6E"/>
    <w:rsid w:val="004A2F29"/>
    <w:rsid w:val="004A32C9"/>
    <w:rsid w:val="004A3AA0"/>
    <w:rsid w:val="004A3C9B"/>
    <w:rsid w:val="004A4081"/>
    <w:rsid w:val="004A4178"/>
    <w:rsid w:val="004A4355"/>
    <w:rsid w:val="004A44DC"/>
    <w:rsid w:val="004A4798"/>
    <w:rsid w:val="004A4D1E"/>
    <w:rsid w:val="004A5624"/>
    <w:rsid w:val="004A5667"/>
    <w:rsid w:val="004A5926"/>
    <w:rsid w:val="004A5B0F"/>
    <w:rsid w:val="004A5B46"/>
    <w:rsid w:val="004A5B97"/>
    <w:rsid w:val="004A5E23"/>
    <w:rsid w:val="004A6146"/>
    <w:rsid w:val="004A63B3"/>
    <w:rsid w:val="004A6A16"/>
    <w:rsid w:val="004A6C81"/>
    <w:rsid w:val="004A777D"/>
    <w:rsid w:val="004A7D2E"/>
    <w:rsid w:val="004B0005"/>
    <w:rsid w:val="004B0C7F"/>
    <w:rsid w:val="004B18D7"/>
    <w:rsid w:val="004B1B1B"/>
    <w:rsid w:val="004B1E89"/>
    <w:rsid w:val="004B21B5"/>
    <w:rsid w:val="004B234F"/>
    <w:rsid w:val="004B28AB"/>
    <w:rsid w:val="004B2DBE"/>
    <w:rsid w:val="004B2E04"/>
    <w:rsid w:val="004B30B7"/>
    <w:rsid w:val="004B36E7"/>
    <w:rsid w:val="004B3AD7"/>
    <w:rsid w:val="004B3B4C"/>
    <w:rsid w:val="004B3D1D"/>
    <w:rsid w:val="004B3D6A"/>
    <w:rsid w:val="004B41FD"/>
    <w:rsid w:val="004B49D3"/>
    <w:rsid w:val="004B4BBD"/>
    <w:rsid w:val="004B5326"/>
    <w:rsid w:val="004B58D3"/>
    <w:rsid w:val="004B5A5B"/>
    <w:rsid w:val="004B5FD7"/>
    <w:rsid w:val="004B6007"/>
    <w:rsid w:val="004B6234"/>
    <w:rsid w:val="004B63F2"/>
    <w:rsid w:val="004B650D"/>
    <w:rsid w:val="004B6512"/>
    <w:rsid w:val="004B670C"/>
    <w:rsid w:val="004B6847"/>
    <w:rsid w:val="004B6FBA"/>
    <w:rsid w:val="004B7089"/>
    <w:rsid w:val="004B7553"/>
    <w:rsid w:val="004B75A4"/>
    <w:rsid w:val="004B7B2B"/>
    <w:rsid w:val="004B7D5E"/>
    <w:rsid w:val="004B7E2C"/>
    <w:rsid w:val="004C0421"/>
    <w:rsid w:val="004C0511"/>
    <w:rsid w:val="004C087D"/>
    <w:rsid w:val="004C0BEC"/>
    <w:rsid w:val="004C0D9D"/>
    <w:rsid w:val="004C0E61"/>
    <w:rsid w:val="004C0E65"/>
    <w:rsid w:val="004C135D"/>
    <w:rsid w:val="004C1A90"/>
    <w:rsid w:val="004C22DE"/>
    <w:rsid w:val="004C2331"/>
    <w:rsid w:val="004C2388"/>
    <w:rsid w:val="004C23DA"/>
    <w:rsid w:val="004C2612"/>
    <w:rsid w:val="004C2758"/>
    <w:rsid w:val="004C4323"/>
    <w:rsid w:val="004C45B4"/>
    <w:rsid w:val="004C45E4"/>
    <w:rsid w:val="004C5461"/>
    <w:rsid w:val="004C5705"/>
    <w:rsid w:val="004C5EAC"/>
    <w:rsid w:val="004C6524"/>
    <w:rsid w:val="004C6B1A"/>
    <w:rsid w:val="004C6BD8"/>
    <w:rsid w:val="004C754E"/>
    <w:rsid w:val="004C75EC"/>
    <w:rsid w:val="004C7996"/>
    <w:rsid w:val="004C799A"/>
    <w:rsid w:val="004C7B88"/>
    <w:rsid w:val="004C7E28"/>
    <w:rsid w:val="004C7EEE"/>
    <w:rsid w:val="004D0153"/>
    <w:rsid w:val="004D0188"/>
    <w:rsid w:val="004D046A"/>
    <w:rsid w:val="004D0553"/>
    <w:rsid w:val="004D05B5"/>
    <w:rsid w:val="004D0671"/>
    <w:rsid w:val="004D0823"/>
    <w:rsid w:val="004D0C3D"/>
    <w:rsid w:val="004D0DCD"/>
    <w:rsid w:val="004D123C"/>
    <w:rsid w:val="004D12C4"/>
    <w:rsid w:val="004D147E"/>
    <w:rsid w:val="004D1704"/>
    <w:rsid w:val="004D189B"/>
    <w:rsid w:val="004D203C"/>
    <w:rsid w:val="004D2936"/>
    <w:rsid w:val="004D2A32"/>
    <w:rsid w:val="004D2B1C"/>
    <w:rsid w:val="004D2C0A"/>
    <w:rsid w:val="004D3115"/>
    <w:rsid w:val="004D355F"/>
    <w:rsid w:val="004D3F72"/>
    <w:rsid w:val="004D408D"/>
    <w:rsid w:val="004D434B"/>
    <w:rsid w:val="004D4691"/>
    <w:rsid w:val="004D487E"/>
    <w:rsid w:val="004D4AF9"/>
    <w:rsid w:val="004D4DA3"/>
    <w:rsid w:val="004D4ED9"/>
    <w:rsid w:val="004D4FEF"/>
    <w:rsid w:val="004D5063"/>
    <w:rsid w:val="004D5640"/>
    <w:rsid w:val="004D56E7"/>
    <w:rsid w:val="004D5D96"/>
    <w:rsid w:val="004D5F09"/>
    <w:rsid w:val="004D64A0"/>
    <w:rsid w:val="004D6B28"/>
    <w:rsid w:val="004D6B37"/>
    <w:rsid w:val="004D6C5D"/>
    <w:rsid w:val="004D6CD3"/>
    <w:rsid w:val="004D6CD7"/>
    <w:rsid w:val="004D6EAC"/>
    <w:rsid w:val="004D76C0"/>
    <w:rsid w:val="004D796A"/>
    <w:rsid w:val="004D7D21"/>
    <w:rsid w:val="004D7E65"/>
    <w:rsid w:val="004D7EE5"/>
    <w:rsid w:val="004D7F24"/>
    <w:rsid w:val="004E002E"/>
    <w:rsid w:val="004E01D3"/>
    <w:rsid w:val="004E0249"/>
    <w:rsid w:val="004E030F"/>
    <w:rsid w:val="004E0415"/>
    <w:rsid w:val="004E051D"/>
    <w:rsid w:val="004E07CA"/>
    <w:rsid w:val="004E098B"/>
    <w:rsid w:val="004E0B28"/>
    <w:rsid w:val="004E0BA6"/>
    <w:rsid w:val="004E1BFA"/>
    <w:rsid w:val="004E20E0"/>
    <w:rsid w:val="004E249F"/>
    <w:rsid w:val="004E2578"/>
    <w:rsid w:val="004E28C6"/>
    <w:rsid w:val="004E299C"/>
    <w:rsid w:val="004E2FFE"/>
    <w:rsid w:val="004E311C"/>
    <w:rsid w:val="004E312C"/>
    <w:rsid w:val="004E35BD"/>
    <w:rsid w:val="004E3B34"/>
    <w:rsid w:val="004E3E13"/>
    <w:rsid w:val="004E3E20"/>
    <w:rsid w:val="004E433B"/>
    <w:rsid w:val="004E4700"/>
    <w:rsid w:val="004E480A"/>
    <w:rsid w:val="004E597F"/>
    <w:rsid w:val="004E59E7"/>
    <w:rsid w:val="004E5B35"/>
    <w:rsid w:val="004E60D0"/>
    <w:rsid w:val="004E6603"/>
    <w:rsid w:val="004E68E8"/>
    <w:rsid w:val="004E72D9"/>
    <w:rsid w:val="004E794A"/>
    <w:rsid w:val="004E7981"/>
    <w:rsid w:val="004E7C6A"/>
    <w:rsid w:val="004F01EC"/>
    <w:rsid w:val="004F032F"/>
    <w:rsid w:val="004F0597"/>
    <w:rsid w:val="004F0D7B"/>
    <w:rsid w:val="004F0D8B"/>
    <w:rsid w:val="004F1135"/>
    <w:rsid w:val="004F1331"/>
    <w:rsid w:val="004F17DB"/>
    <w:rsid w:val="004F1FB6"/>
    <w:rsid w:val="004F1FD4"/>
    <w:rsid w:val="004F224C"/>
    <w:rsid w:val="004F29F1"/>
    <w:rsid w:val="004F2E77"/>
    <w:rsid w:val="004F377A"/>
    <w:rsid w:val="004F37CC"/>
    <w:rsid w:val="004F3F95"/>
    <w:rsid w:val="004F4162"/>
    <w:rsid w:val="004F4F63"/>
    <w:rsid w:val="004F50B2"/>
    <w:rsid w:val="004F50DB"/>
    <w:rsid w:val="004F588F"/>
    <w:rsid w:val="004F5A62"/>
    <w:rsid w:val="004F6275"/>
    <w:rsid w:val="004F6447"/>
    <w:rsid w:val="004F6521"/>
    <w:rsid w:val="004F68E9"/>
    <w:rsid w:val="004F6B6F"/>
    <w:rsid w:val="004F6BE9"/>
    <w:rsid w:val="004F6CD3"/>
    <w:rsid w:val="004F6CEB"/>
    <w:rsid w:val="004F72C1"/>
    <w:rsid w:val="004F72F5"/>
    <w:rsid w:val="004F7412"/>
    <w:rsid w:val="004F78D1"/>
    <w:rsid w:val="005001AC"/>
    <w:rsid w:val="005004D2"/>
    <w:rsid w:val="005004EE"/>
    <w:rsid w:val="0050052A"/>
    <w:rsid w:val="0050067F"/>
    <w:rsid w:val="00500CC7"/>
    <w:rsid w:val="00500E6E"/>
    <w:rsid w:val="005013C7"/>
    <w:rsid w:val="00501569"/>
    <w:rsid w:val="00501AF9"/>
    <w:rsid w:val="00501BB9"/>
    <w:rsid w:val="00501D1D"/>
    <w:rsid w:val="00501EFC"/>
    <w:rsid w:val="00501F33"/>
    <w:rsid w:val="005020C5"/>
    <w:rsid w:val="00502226"/>
    <w:rsid w:val="005022CF"/>
    <w:rsid w:val="00502306"/>
    <w:rsid w:val="00502700"/>
    <w:rsid w:val="00503175"/>
    <w:rsid w:val="005036B3"/>
    <w:rsid w:val="0050376E"/>
    <w:rsid w:val="00503A62"/>
    <w:rsid w:val="00503FBC"/>
    <w:rsid w:val="00504610"/>
    <w:rsid w:val="0050475B"/>
    <w:rsid w:val="00504E48"/>
    <w:rsid w:val="005050A3"/>
    <w:rsid w:val="00505132"/>
    <w:rsid w:val="005054DE"/>
    <w:rsid w:val="00505A0B"/>
    <w:rsid w:val="0050606D"/>
    <w:rsid w:val="00506153"/>
    <w:rsid w:val="0050682E"/>
    <w:rsid w:val="00506E0E"/>
    <w:rsid w:val="00506F8E"/>
    <w:rsid w:val="005072B1"/>
    <w:rsid w:val="005072EB"/>
    <w:rsid w:val="00507460"/>
    <w:rsid w:val="00507538"/>
    <w:rsid w:val="00507581"/>
    <w:rsid w:val="00507805"/>
    <w:rsid w:val="00507E82"/>
    <w:rsid w:val="00510818"/>
    <w:rsid w:val="00511366"/>
    <w:rsid w:val="00511CE7"/>
    <w:rsid w:val="00512087"/>
    <w:rsid w:val="00512118"/>
    <w:rsid w:val="0051297A"/>
    <w:rsid w:val="0051368D"/>
    <w:rsid w:val="005139BB"/>
    <w:rsid w:val="00513C6A"/>
    <w:rsid w:val="00513DDA"/>
    <w:rsid w:val="00513FB4"/>
    <w:rsid w:val="005144A1"/>
    <w:rsid w:val="00514735"/>
    <w:rsid w:val="005149F6"/>
    <w:rsid w:val="00514B53"/>
    <w:rsid w:val="00514B75"/>
    <w:rsid w:val="005155E3"/>
    <w:rsid w:val="005156D1"/>
    <w:rsid w:val="00515865"/>
    <w:rsid w:val="005159A9"/>
    <w:rsid w:val="00515F7B"/>
    <w:rsid w:val="00516519"/>
    <w:rsid w:val="00516E9C"/>
    <w:rsid w:val="00517447"/>
    <w:rsid w:val="00517664"/>
    <w:rsid w:val="0051782F"/>
    <w:rsid w:val="00517C99"/>
    <w:rsid w:val="00517D24"/>
    <w:rsid w:val="00517D94"/>
    <w:rsid w:val="00517F84"/>
    <w:rsid w:val="00517FD7"/>
    <w:rsid w:val="005202D5"/>
    <w:rsid w:val="00520858"/>
    <w:rsid w:val="00520B53"/>
    <w:rsid w:val="00520CB1"/>
    <w:rsid w:val="00520EEB"/>
    <w:rsid w:val="005210CE"/>
    <w:rsid w:val="00521322"/>
    <w:rsid w:val="00521C18"/>
    <w:rsid w:val="00522293"/>
    <w:rsid w:val="00522AE6"/>
    <w:rsid w:val="00522BD2"/>
    <w:rsid w:val="00522C57"/>
    <w:rsid w:val="00523161"/>
    <w:rsid w:val="00523174"/>
    <w:rsid w:val="00523A00"/>
    <w:rsid w:val="00523BCB"/>
    <w:rsid w:val="00524F51"/>
    <w:rsid w:val="005251B0"/>
    <w:rsid w:val="0052553B"/>
    <w:rsid w:val="00525545"/>
    <w:rsid w:val="00525B0F"/>
    <w:rsid w:val="00525CCC"/>
    <w:rsid w:val="005262A4"/>
    <w:rsid w:val="00526718"/>
    <w:rsid w:val="005269D8"/>
    <w:rsid w:val="00526A09"/>
    <w:rsid w:val="00526D85"/>
    <w:rsid w:val="00527316"/>
    <w:rsid w:val="0052779C"/>
    <w:rsid w:val="00527855"/>
    <w:rsid w:val="005278FD"/>
    <w:rsid w:val="00527CAE"/>
    <w:rsid w:val="00527E8B"/>
    <w:rsid w:val="0053018B"/>
    <w:rsid w:val="0053058F"/>
    <w:rsid w:val="00530715"/>
    <w:rsid w:val="00530A84"/>
    <w:rsid w:val="00531191"/>
    <w:rsid w:val="005312F2"/>
    <w:rsid w:val="005318AB"/>
    <w:rsid w:val="00531BA7"/>
    <w:rsid w:val="00531E1D"/>
    <w:rsid w:val="00531F4B"/>
    <w:rsid w:val="005327AB"/>
    <w:rsid w:val="005336B5"/>
    <w:rsid w:val="005338AE"/>
    <w:rsid w:val="00533ADC"/>
    <w:rsid w:val="00533D49"/>
    <w:rsid w:val="00534142"/>
    <w:rsid w:val="005343EC"/>
    <w:rsid w:val="005348B5"/>
    <w:rsid w:val="00534C25"/>
    <w:rsid w:val="005355CB"/>
    <w:rsid w:val="005357A0"/>
    <w:rsid w:val="0053607D"/>
    <w:rsid w:val="005362AE"/>
    <w:rsid w:val="00537328"/>
    <w:rsid w:val="00537CED"/>
    <w:rsid w:val="00537D60"/>
    <w:rsid w:val="005405D4"/>
    <w:rsid w:val="00541CA7"/>
    <w:rsid w:val="00541DCD"/>
    <w:rsid w:val="00541EF1"/>
    <w:rsid w:val="00541F65"/>
    <w:rsid w:val="005423A0"/>
    <w:rsid w:val="00542581"/>
    <w:rsid w:val="005425D1"/>
    <w:rsid w:val="00542797"/>
    <w:rsid w:val="0054363B"/>
    <w:rsid w:val="005438BA"/>
    <w:rsid w:val="00543F5C"/>
    <w:rsid w:val="005442BA"/>
    <w:rsid w:val="00544942"/>
    <w:rsid w:val="00544A24"/>
    <w:rsid w:val="00544E0A"/>
    <w:rsid w:val="00545053"/>
    <w:rsid w:val="0054598E"/>
    <w:rsid w:val="00545BF4"/>
    <w:rsid w:val="00546056"/>
    <w:rsid w:val="0054680D"/>
    <w:rsid w:val="00546A1E"/>
    <w:rsid w:val="00546C7C"/>
    <w:rsid w:val="0054784D"/>
    <w:rsid w:val="00547859"/>
    <w:rsid w:val="005504F3"/>
    <w:rsid w:val="005506D1"/>
    <w:rsid w:val="005507AD"/>
    <w:rsid w:val="00550829"/>
    <w:rsid w:val="00550EF7"/>
    <w:rsid w:val="0055129D"/>
    <w:rsid w:val="00551545"/>
    <w:rsid w:val="00551B1F"/>
    <w:rsid w:val="005528C7"/>
    <w:rsid w:val="00552F61"/>
    <w:rsid w:val="005532CB"/>
    <w:rsid w:val="0055333E"/>
    <w:rsid w:val="0055382B"/>
    <w:rsid w:val="005538C1"/>
    <w:rsid w:val="0055396A"/>
    <w:rsid w:val="00553BF4"/>
    <w:rsid w:val="00553D58"/>
    <w:rsid w:val="005545FD"/>
    <w:rsid w:val="00554965"/>
    <w:rsid w:val="00554FDA"/>
    <w:rsid w:val="00555254"/>
    <w:rsid w:val="0055586A"/>
    <w:rsid w:val="005559CF"/>
    <w:rsid w:val="00555D2D"/>
    <w:rsid w:val="0055637D"/>
    <w:rsid w:val="005567F8"/>
    <w:rsid w:val="005568C3"/>
    <w:rsid w:val="0055709D"/>
    <w:rsid w:val="00557273"/>
    <w:rsid w:val="005574A9"/>
    <w:rsid w:val="00557572"/>
    <w:rsid w:val="005577CA"/>
    <w:rsid w:val="005578B7"/>
    <w:rsid w:val="00557A36"/>
    <w:rsid w:val="00557DA2"/>
    <w:rsid w:val="00557EAD"/>
    <w:rsid w:val="00560D77"/>
    <w:rsid w:val="00560E5C"/>
    <w:rsid w:val="00560F67"/>
    <w:rsid w:val="00561026"/>
    <w:rsid w:val="005611F1"/>
    <w:rsid w:val="00561B66"/>
    <w:rsid w:val="00561D52"/>
    <w:rsid w:val="00562546"/>
    <w:rsid w:val="0056256C"/>
    <w:rsid w:val="00562A3A"/>
    <w:rsid w:val="00562E1E"/>
    <w:rsid w:val="005633FF"/>
    <w:rsid w:val="00563479"/>
    <w:rsid w:val="00563509"/>
    <w:rsid w:val="00563582"/>
    <w:rsid w:val="00563D0D"/>
    <w:rsid w:val="00563D6A"/>
    <w:rsid w:val="005640F7"/>
    <w:rsid w:val="00564338"/>
    <w:rsid w:val="00564CCB"/>
    <w:rsid w:val="005657A3"/>
    <w:rsid w:val="00566021"/>
    <w:rsid w:val="005665BA"/>
    <w:rsid w:val="00566AEA"/>
    <w:rsid w:val="00566C3F"/>
    <w:rsid w:val="00567D27"/>
    <w:rsid w:val="00567D91"/>
    <w:rsid w:val="00570005"/>
    <w:rsid w:val="00570007"/>
    <w:rsid w:val="00570084"/>
    <w:rsid w:val="005703C0"/>
    <w:rsid w:val="00570556"/>
    <w:rsid w:val="0057093E"/>
    <w:rsid w:val="00570D24"/>
    <w:rsid w:val="0057136E"/>
    <w:rsid w:val="00571947"/>
    <w:rsid w:val="00571E01"/>
    <w:rsid w:val="0057215A"/>
    <w:rsid w:val="005724C9"/>
    <w:rsid w:val="00572DC2"/>
    <w:rsid w:val="00573036"/>
    <w:rsid w:val="005730FD"/>
    <w:rsid w:val="005733A2"/>
    <w:rsid w:val="00573F09"/>
    <w:rsid w:val="00574AC3"/>
    <w:rsid w:val="00574B89"/>
    <w:rsid w:val="00575134"/>
    <w:rsid w:val="0057521E"/>
    <w:rsid w:val="005753C3"/>
    <w:rsid w:val="005754DF"/>
    <w:rsid w:val="00575CCC"/>
    <w:rsid w:val="00575DD9"/>
    <w:rsid w:val="00575F42"/>
    <w:rsid w:val="0057660E"/>
    <w:rsid w:val="00576828"/>
    <w:rsid w:val="00576837"/>
    <w:rsid w:val="005768EB"/>
    <w:rsid w:val="00576AAA"/>
    <w:rsid w:val="0057706A"/>
    <w:rsid w:val="005772A5"/>
    <w:rsid w:val="00577E23"/>
    <w:rsid w:val="00577E62"/>
    <w:rsid w:val="00577FFE"/>
    <w:rsid w:val="005800BA"/>
    <w:rsid w:val="00580420"/>
    <w:rsid w:val="005808BF"/>
    <w:rsid w:val="005814AC"/>
    <w:rsid w:val="00581BAE"/>
    <w:rsid w:val="00581C4E"/>
    <w:rsid w:val="00581DD9"/>
    <w:rsid w:val="00582303"/>
    <w:rsid w:val="0058242B"/>
    <w:rsid w:val="00582503"/>
    <w:rsid w:val="00582ECC"/>
    <w:rsid w:val="0058382F"/>
    <w:rsid w:val="005849A2"/>
    <w:rsid w:val="00584BEA"/>
    <w:rsid w:val="00584C3B"/>
    <w:rsid w:val="0058556D"/>
    <w:rsid w:val="00586090"/>
    <w:rsid w:val="00586396"/>
    <w:rsid w:val="0058649E"/>
    <w:rsid w:val="005869EF"/>
    <w:rsid w:val="0058704D"/>
    <w:rsid w:val="0058721B"/>
    <w:rsid w:val="00590220"/>
    <w:rsid w:val="00590385"/>
    <w:rsid w:val="0059060F"/>
    <w:rsid w:val="005907BC"/>
    <w:rsid w:val="00590959"/>
    <w:rsid w:val="005909D9"/>
    <w:rsid w:val="005909F7"/>
    <w:rsid w:val="00590EC7"/>
    <w:rsid w:val="00590F9C"/>
    <w:rsid w:val="00591177"/>
    <w:rsid w:val="005912B4"/>
    <w:rsid w:val="005917AB"/>
    <w:rsid w:val="00591C30"/>
    <w:rsid w:val="005922C9"/>
    <w:rsid w:val="005926D7"/>
    <w:rsid w:val="0059309A"/>
    <w:rsid w:val="005935BF"/>
    <w:rsid w:val="00593760"/>
    <w:rsid w:val="00593804"/>
    <w:rsid w:val="00593D34"/>
    <w:rsid w:val="005940EA"/>
    <w:rsid w:val="00594581"/>
    <w:rsid w:val="00594731"/>
    <w:rsid w:val="005948C7"/>
    <w:rsid w:val="00594C83"/>
    <w:rsid w:val="00595040"/>
    <w:rsid w:val="00595985"/>
    <w:rsid w:val="00595A89"/>
    <w:rsid w:val="00596675"/>
    <w:rsid w:val="005967BB"/>
    <w:rsid w:val="00596812"/>
    <w:rsid w:val="00596CB9"/>
    <w:rsid w:val="00596E44"/>
    <w:rsid w:val="00596ECB"/>
    <w:rsid w:val="005971C1"/>
    <w:rsid w:val="00597268"/>
    <w:rsid w:val="00597CA7"/>
    <w:rsid w:val="00597EEB"/>
    <w:rsid w:val="005A013A"/>
    <w:rsid w:val="005A0164"/>
    <w:rsid w:val="005A02B8"/>
    <w:rsid w:val="005A0380"/>
    <w:rsid w:val="005A0493"/>
    <w:rsid w:val="005A0707"/>
    <w:rsid w:val="005A07DB"/>
    <w:rsid w:val="005A08E1"/>
    <w:rsid w:val="005A1255"/>
    <w:rsid w:val="005A12B9"/>
    <w:rsid w:val="005A15E2"/>
    <w:rsid w:val="005A16EB"/>
    <w:rsid w:val="005A1C57"/>
    <w:rsid w:val="005A1C85"/>
    <w:rsid w:val="005A1E39"/>
    <w:rsid w:val="005A2B25"/>
    <w:rsid w:val="005A2E41"/>
    <w:rsid w:val="005A30D4"/>
    <w:rsid w:val="005A323F"/>
    <w:rsid w:val="005A3BA1"/>
    <w:rsid w:val="005A3BAF"/>
    <w:rsid w:val="005A4060"/>
    <w:rsid w:val="005A42FC"/>
    <w:rsid w:val="005A4B95"/>
    <w:rsid w:val="005A4E8E"/>
    <w:rsid w:val="005A4FCD"/>
    <w:rsid w:val="005A5064"/>
    <w:rsid w:val="005A57F4"/>
    <w:rsid w:val="005A5A44"/>
    <w:rsid w:val="005A62CE"/>
    <w:rsid w:val="005A655A"/>
    <w:rsid w:val="005A6FC3"/>
    <w:rsid w:val="005A702C"/>
    <w:rsid w:val="005A77A9"/>
    <w:rsid w:val="005A78C2"/>
    <w:rsid w:val="005A7BBA"/>
    <w:rsid w:val="005A7C9A"/>
    <w:rsid w:val="005B00C6"/>
    <w:rsid w:val="005B0409"/>
    <w:rsid w:val="005B049D"/>
    <w:rsid w:val="005B083A"/>
    <w:rsid w:val="005B0B15"/>
    <w:rsid w:val="005B11D4"/>
    <w:rsid w:val="005B156B"/>
    <w:rsid w:val="005B1705"/>
    <w:rsid w:val="005B19D4"/>
    <w:rsid w:val="005B1E9C"/>
    <w:rsid w:val="005B1EFA"/>
    <w:rsid w:val="005B1FDF"/>
    <w:rsid w:val="005B2199"/>
    <w:rsid w:val="005B21C5"/>
    <w:rsid w:val="005B26A8"/>
    <w:rsid w:val="005B26C7"/>
    <w:rsid w:val="005B2C93"/>
    <w:rsid w:val="005B3B67"/>
    <w:rsid w:val="005B3E77"/>
    <w:rsid w:val="005B4DEE"/>
    <w:rsid w:val="005B521E"/>
    <w:rsid w:val="005B6259"/>
    <w:rsid w:val="005B7427"/>
    <w:rsid w:val="005B7489"/>
    <w:rsid w:val="005B748C"/>
    <w:rsid w:val="005B7683"/>
    <w:rsid w:val="005B7B9B"/>
    <w:rsid w:val="005B7C4E"/>
    <w:rsid w:val="005C029B"/>
    <w:rsid w:val="005C0513"/>
    <w:rsid w:val="005C07B6"/>
    <w:rsid w:val="005C0E1A"/>
    <w:rsid w:val="005C112A"/>
    <w:rsid w:val="005C116B"/>
    <w:rsid w:val="005C165A"/>
    <w:rsid w:val="005C1734"/>
    <w:rsid w:val="005C187F"/>
    <w:rsid w:val="005C1A4F"/>
    <w:rsid w:val="005C2BEC"/>
    <w:rsid w:val="005C311A"/>
    <w:rsid w:val="005C3473"/>
    <w:rsid w:val="005C349E"/>
    <w:rsid w:val="005C3933"/>
    <w:rsid w:val="005C4551"/>
    <w:rsid w:val="005C4840"/>
    <w:rsid w:val="005C48C1"/>
    <w:rsid w:val="005C4BC3"/>
    <w:rsid w:val="005C4BED"/>
    <w:rsid w:val="005C5180"/>
    <w:rsid w:val="005C5733"/>
    <w:rsid w:val="005C5890"/>
    <w:rsid w:val="005C58A4"/>
    <w:rsid w:val="005C5E35"/>
    <w:rsid w:val="005C61C3"/>
    <w:rsid w:val="005C641B"/>
    <w:rsid w:val="005C641D"/>
    <w:rsid w:val="005C6BB4"/>
    <w:rsid w:val="005C76FB"/>
    <w:rsid w:val="005C77A6"/>
    <w:rsid w:val="005C78F9"/>
    <w:rsid w:val="005C7F1C"/>
    <w:rsid w:val="005C7F6A"/>
    <w:rsid w:val="005D0BC6"/>
    <w:rsid w:val="005D0D8E"/>
    <w:rsid w:val="005D0E4F"/>
    <w:rsid w:val="005D1F1D"/>
    <w:rsid w:val="005D2634"/>
    <w:rsid w:val="005D264D"/>
    <w:rsid w:val="005D28AB"/>
    <w:rsid w:val="005D28BF"/>
    <w:rsid w:val="005D2CDE"/>
    <w:rsid w:val="005D2F1C"/>
    <w:rsid w:val="005D2F7A"/>
    <w:rsid w:val="005D3051"/>
    <w:rsid w:val="005D339F"/>
    <w:rsid w:val="005D3561"/>
    <w:rsid w:val="005D36E3"/>
    <w:rsid w:val="005D3974"/>
    <w:rsid w:val="005D3CFD"/>
    <w:rsid w:val="005D3EAE"/>
    <w:rsid w:val="005D41F6"/>
    <w:rsid w:val="005D47A4"/>
    <w:rsid w:val="005D47F4"/>
    <w:rsid w:val="005D4E73"/>
    <w:rsid w:val="005D516F"/>
    <w:rsid w:val="005D56BF"/>
    <w:rsid w:val="005D57B4"/>
    <w:rsid w:val="005D6092"/>
    <w:rsid w:val="005D69CC"/>
    <w:rsid w:val="005D6DFF"/>
    <w:rsid w:val="005D6F09"/>
    <w:rsid w:val="005D75A0"/>
    <w:rsid w:val="005D765C"/>
    <w:rsid w:val="005D7897"/>
    <w:rsid w:val="005D794D"/>
    <w:rsid w:val="005D7AB3"/>
    <w:rsid w:val="005D7C5B"/>
    <w:rsid w:val="005D7DCD"/>
    <w:rsid w:val="005E0902"/>
    <w:rsid w:val="005E0CD0"/>
    <w:rsid w:val="005E0E06"/>
    <w:rsid w:val="005E0F0F"/>
    <w:rsid w:val="005E10D2"/>
    <w:rsid w:val="005E12DF"/>
    <w:rsid w:val="005E175E"/>
    <w:rsid w:val="005E1791"/>
    <w:rsid w:val="005E1852"/>
    <w:rsid w:val="005E1B89"/>
    <w:rsid w:val="005E1CE6"/>
    <w:rsid w:val="005E1F13"/>
    <w:rsid w:val="005E1FE9"/>
    <w:rsid w:val="005E1FEF"/>
    <w:rsid w:val="005E22F7"/>
    <w:rsid w:val="005E263F"/>
    <w:rsid w:val="005E2AB9"/>
    <w:rsid w:val="005E2D45"/>
    <w:rsid w:val="005E2E24"/>
    <w:rsid w:val="005E30F6"/>
    <w:rsid w:val="005E3315"/>
    <w:rsid w:val="005E3691"/>
    <w:rsid w:val="005E36DF"/>
    <w:rsid w:val="005E3D78"/>
    <w:rsid w:val="005E3E87"/>
    <w:rsid w:val="005E4258"/>
    <w:rsid w:val="005E4591"/>
    <w:rsid w:val="005E495A"/>
    <w:rsid w:val="005E50B5"/>
    <w:rsid w:val="005E5AF4"/>
    <w:rsid w:val="005E5FAD"/>
    <w:rsid w:val="005E6686"/>
    <w:rsid w:val="005E688A"/>
    <w:rsid w:val="005E7025"/>
    <w:rsid w:val="005E7036"/>
    <w:rsid w:val="005E7294"/>
    <w:rsid w:val="005E72BE"/>
    <w:rsid w:val="005E77A4"/>
    <w:rsid w:val="005E78BE"/>
    <w:rsid w:val="005E7BEC"/>
    <w:rsid w:val="005E7D92"/>
    <w:rsid w:val="005F012F"/>
    <w:rsid w:val="005F0779"/>
    <w:rsid w:val="005F1087"/>
    <w:rsid w:val="005F1995"/>
    <w:rsid w:val="005F22A4"/>
    <w:rsid w:val="005F2359"/>
    <w:rsid w:val="005F2A68"/>
    <w:rsid w:val="005F2BFC"/>
    <w:rsid w:val="005F3344"/>
    <w:rsid w:val="005F3667"/>
    <w:rsid w:val="005F37A4"/>
    <w:rsid w:val="005F3A16"/>
    <w:rsid w:val="005F3B10"/>
    <w:rsid w:val="005F3FF0"/>
    <w:rsid w:val="005F4113"/>
    <w:rsid w:val="005F4278"/>
    <w:rsid w:val="005F450F"/>
    <w:rsid w:val="005F46E5"/>
    <w:rsid w:val="005F4A10"/>
    <w:rsid w:val="005F4BB5"/>
    <w:rsid w:val="005F4EFC"/>
    <w:rsid w:val="005F5673"/>
    <w:rsid w:val="005F5C26"/>
    <w:rsid w:val="005F5C90"/>
    <w:rsid w:val="005F6249"/>
    <w:rsid w:val="005F642E"/>
    <w:rsid w:val="005F64F2"/>
    <w:rsid w:val="005F6506"/>
    <w:rsid w:val="005F75F7"/>
    <w:rsid w:val="005F7A0B"/>
    <w:rsid w:val="0060040D"/>
    <w:rsid w:val="006004DC"/>
    <w:rsid w:val="0060060E"/>
    <w:rsid w:val="006007A5"/>
    <w:rsid w:val="00600893"/>
    <w:rsid w:val="00600C4B"/>
    <w:rsid w:val="006018B3"/>
    <w:rsid w:val="00601E6A"/>
    <w:rsid w:val="006022CB"/>
    <w:rsid w:val="00602650"/>
    <w:rsid w:val="006026B6"/>
    <w:rsid w:val="00602CC1"/>
    <w:rsid w:val="00602D5A"/>
    <w:rsid w:val="00603665"/>
    <w:rsid w:val="00603BA9"/>
    <w:rsid w:val="006040F4"/>
    <w:rsid w:val="006045A2"/>
    <w:rsid w:val="006046DC"/>
    <w:rsid w:val="00604A70"/>
    <w:rsid w:val="00604A96"/>
    <w:rsid w:val="00604B4A"/>
    <w:rsid w:val="0060598D"/>
    <w:rsid w:val="00605A25"/>
    <w:rsid w:val="00605DCF"/>
    <w:rsid w:val="00605ECE"/>
    <w:rsid w:val="006062C6"/>
    <w:rsid w:val="006063E2"/>
    <w:rsid w:val="0060685A"/>
    <w:rsid w:val="00606C92"/>
    <w:rsid w:val="00606FBE"/>
    <w:rsid w:val="006073AA"/>
    <w:rsid w:val="006074B6"/>
    <w:rsid w:val="00607C7B"/>
    <w:rsid w:val="00607D00"/>
    <w:rsid w:val="00607D37"/>
    <w:rsid w:val="00607EA6"/>
    <w:rsid w:val="00607F01"/>
    <w:rsid w:val="0061007A"/>
    <w:rsid w:val="006101BB"/>
    <w:rsid w:val="00610504"/>
    <w:rsid w:val="006109AB"/>
    <w:rsid w:val="00610B3C"/>
    <w:rsid w:val="00610F84"/>
    <w:rsid w:val="00611022"/>
    <w:rsid w:val="00612000"/>
    <w:rsid w:val="006125FE"/>
    <w:rsid w:val="00612B78"/>
    <w:rsid w:val="00612BA1"/>
    <w:rsid w:val="00612E96"/>
    <w:rsid w:val="00612FE5"/>
    <w:rsid w:val="006132D9"/>
    <w:rsid w:val="006139C2"/>
    <w:rsid w:val="00613A67"/>
    <w:rsid w:val="00613B89"/>
    <w:rsid w:val="00613CD4"/>
    <w:rsid w:val="00614115"/>
    <w:rsid w:val="006142D6"/>
    <w:rsid w:val="00614F06"/>
    <w:rsid w:val="00615812"/>
    <w:rsid w:val="00615C2E"/>
    <w:rsid w:val="00615C3D"/>
    <w:rsid w:val="00615F91"/>
    <w:rsid w:val="00616427"/>
    <w:rsid w:val="0061647D"/>
    <w:rsid w:val="0061700D"/>
    <w:rsid w:val="0061724D"/>
    <w:rsid w:val="006176C7"/>
    <w:rsid w:val="00617730"/>
    <w:rsid w:val="006178DA"/>
    <w:rsid w:val="00617EBA"/>
    <w:rsid w:val="00620154"/>
    <w:rsid w:val="006204F3"/>
    <w:rsid w:val="00620871"/>
    <w:rsid w:val="00621139"/>
    <w:rsid w:val="006214A5"/>
    <w:rsid w:val="006216C4"/>
    <w:rsid w:val="00621834"/>
    <w:rsid w:val="00621C12"/>
    <w:rsid w:val="00621E28"/>
    <w:rsid w:val="00622629"/>
    <w:rsid w:val="0062349A"/>
    <w:rsid w:val="006234F6"/>
    <w:rsid w:val="00623541"/>
    <w:rsid w:val="0062362A"/>
    <w:rsid w:val="00624605"/>
    <w:rsid w:val="00624B41"/>
    <w:rsid w:val="00624BF0"/>
    <w:rsid w:val="0062556D"/>
    <w:rsid w:val="0062580E"/>
    <w:rsid w:val="006259DB"/>
    <w:rsid w:val="00625AE0"/>
    <w:rsid w:val="00625DED"/>
    <w:rsid w:val="00626114"/>
    <w:rsid w:val="00626240"/>
    <w:rsid w:val="006263DF"/>
    <w:rsid w:val="006269FF"/>
    <w:rsid w:val="00626B2F"/>
    <w:rsid w:val="00626E95"/>
    <w:rsid w:val="00626ED8"/>
    <w:rsid w:val="00626F34"/>
    <w:rsid w:val="00626F5B"/>
    <w:rsid w:val="00627817"/>
    <w:rsid w:val="0062785B"/>
    <w:rsid w:val="00627B00"/>
    <w:rsid w:val="00627BFE"/>
    <w:rsid w:val="00627FF0"/>
    <w:rsid w:val="006300B0"/>
    <w:rsid w:val="006300F5"/>
    <w:rsid w:val="0063052F"/>
    <w:rsid w:val="006307C3"/>
    <w:rsid w:val="00630A48"/>
    <w:rsid w:val="00630B7C"/>
    <w:rsid w:val="00630F10"/>
    <w:rsid w:val="006311A5"/>
    <w:rsid w:val="0063235E"/>
    <w:rsid w:val="0063262A"/>
    <w:rsid w:val="0063263B"/>
    <w:rsid w:val="00632AC3"/>
    <w:rsid w:val="00632CF4"/>
    <w:rsid w:val="00633163"/>
    <w:rsid w:val="00633585"/>
    <w:rsid w:val="00633829"/>
    <w:rsid w:val="00633990"/>
    <w:rsid w:val="0063423A"/>
    <w:rsid w:val="00634273"/>
    <w:rsid w:val="00634BAB"/>
    <w:rsid w:val="00634C9B"/>
    <w:rsid w:val="00635178"/>
    <w:rsid w:val="00635505"/>
    <w:rsid w:val="00635A02"/>
    <w:rsid w:val="00636507"/>
    <w:rsid w:val="006366E3"/>
    <w:rsid w:val="0063683C"/>
    <w:rsid w:val="00636D37"/>
    <w:rsid w:val="0063702A"/>
    <w:rsid w:val="00637030"/>
    <w:rsid w:val="00637461"/>
    <w:rsid w:val="0063779C"/>
    <w:rsid w:val="006377FF"/>
    <w:rsid w:val="00637919"/>
    <w:rsid w:val="00637ECA"/>
    <w:rsid w:val="00640501"/>
    <w:rsid w:val="00640502"/>
    <w:rsid w:val="00640552"/>
    <w:rsid w:val="00640B2C"/>
    <w:rsid w:val="00640CB0"/>
    <w:rsid w:val="00640FCF"/>
    <w:rsid w:val="0064127D"/>
    <w:rsid w:val="00641743"/>
    <w:rsid w:val="00641C3F"/>
    <w:rsid w:val="00641D02"/>
    <w:rsid w:val="00641DBF"/>
    <w:rsid w:val="00641F28"/>
    <w:rsid w:val="006427EE"/>
    <w:rsid w:val="00642935"/>
    <w:rsid w:val="00642B19"/>
    <w:rsid w:val="00642F76"/>
    <w:rsid w:val="00642FFB"/>
    <w:rsid w:val="00643262"/>
    <w:rsid w:val="00643304"/>
    <w:rsid w:val="00643480"/>
    <w:rsid w:val="0064378D"/>
    <w:rsid w:val="00643CC1"/>
    <w:rsid w:val="00644118"/>
    <w:rsid w:val="006442E5"/>
    <w:rsid w:val="0064451C"/>
    <w:rsid w:val="00644548"/>
    <w:rsid w:val="00645314"/>
    <w:rsid w:val="00645879"/>
    <w:rsid w:val="00645D7A"/>
    <w:rsid w:val="00645F66"/>
    <w:rsid w:val="006461D7"/>
    <w:rsid w:val="00646A1D"/>
    <w:rsid w:val="00650068"/>
    <w:rsid w:val="006501B1"/>
    <w:rsid w:val="00650298"/>
    <w:rsid w:val="00650794"/>
    <w:rsid w:val="006509E4"/>
    <w:rsid w:val="00650E7F"/>
    <w:rsid w:val="00650F19"/>
    <w:rsid w:val="006517BA"/>
    <w:rsid w:val="00651A87"/>
    <w:rsid w:val="00651AD3"/>
    <w:rsid w:val="00651BD9"/>
    <w:rsid w:val="006522D4"/>
    <w:rsid w:val="00652A42"/>
    <w:rsid w:val="00653011"/>
    <w:rsid w:val="006536FE"/>
    <w:rsid w:val="00653C04"/>
    <w:rsid w:val="00653E8D"/>
    <w:rsid w:val="00654AA0"/>
    <w:rsid w:val="00654AB5"/>
    <w:rsid w:val="00654D55"/>
    <w:rsid w:val="006551AC"/>
    <w:rsid w:val="00655409"/>
    <w:rsid w:val="006555F6"/>
    <w:rsid w:val="00655E42"/>
    <w:rsid w:val="00655FA2"/>
    <w:rsid w:val="00655FC9"/>
    <w:rsid w:val="0065600E"/>
    <w:rsid w:val="00656575"/>
    <w:rsid w:val="0065666B"/>
    <w:rsid w:val="00656911"/>
    <w:rsid w:val="00656D11"/>
    <w:rsid w:val="00656F35"/>
    <w:rsid w:val="0065700F"/>
    <w:rsid w:val="006571D7"/>
    <w:rsid w:val="00657422"/>
    <w:rsid w:val="00657830"/>
    <w:rsid w:val="0065784B"/>
    <w:rsid w:val="00657B20"/>
    <w:rsid w:val="00657E2F"/>
    <w:rsid w:val="00657E63"/>
    <w:rsid w:val="00660327"/>
    <w:rsid w:val="0066045A"/>
    <w:rsid w:val="00660C92"/>
    <w:rsid w:val="00660D14"/>
    <w:rsid w:val="006610E5"/>
    <w:rsid w:val="006612B2"/>
    <w:rsid w:val="006615DA"/>
    <w:rsid w:val="00661606"/>
    <w:rsid w:val="006616AB"/>
    <w:rsid w:val="00662271"/>
    <w:rsid w:val="00662342"/>
    <w:rsid w:val="00662385"/>
    <w:rsid w:val="006625B5"/>
    <w:rsid w:val="00662639"/>
    <w:rsid w:val="00662E62"/>
    <w:rsid w:val="0066348A"/>
    <w:rsid w:val="00663F9D"/>
    <w:rsid w:val="00664035"/>
    <w:rsid w:val="00664A18"/>
    <w:rsid w:val="00664A60"/>
    <w:rsid w:val="00664BBB"/>
    <w:rsid w:val="00665000"/>
    <w:rsid w:val="00665576"/>
    <w:rsid w:val="00667422"/>
    <w:rsid w:val="0066749D"/>
    <w:rsid w:val="006679B3"/>
    <w:rsid w:val="00667A65"/>
    <w:rsid w:val="00667D78"/>
    <w:rsid w:val="00667ED8"/>
    <w:rsid w:val="0067084D"/>
    <w:rsid w:val="006709BD"/>
    <w:rsid w:val="00670A4E"/>
    <w:rsid w:val="00670B50"/>
    <w:rsid w:val="00670E80"/>
    <w:rsid w:val="00670EAA"/>
    <w:rsid w:val="00671097"/>
    <w:rsid w:val="00671365"/>
    <w:rsid w:val="0067154F"/>
    <w:rsid w:val="00671666"/>
    <w:rsid w:val="006718A3"/>
    <w:rsid w:val="00671BE8"/>
    <w:rsid w:val="00671C9F"/>
    <w:rsid w:val="0067207B"/>
    <w:rsid w:val="00672173"/>
    <w:rsid w:val="00672413"/>
    <w:rsid w:val="0067304D"/>
    <w:rsid w:val="006730D2"/>
    <w:rsid w:val="0067325C"/>
    <w:rsid w:val="00673EEE"/>
    <w:rsid w:val="006740C5"/>
    <w:rsid w:val="00674127"/>
    <w:rsid w:val="00674231"/>
    <w:rsid w:val="00674390"/>
    <w:rsid w:val="006743D2"/>
    <w:rsid w:val="00674533"/>
    <w:rsid w:val="00674627"/>
    <w:rsid w:val="00674F2F"/>
    <w:rsid w:val="00674F97"/>
    <w:rsid w:val="00675043"/>
    <w:rsid w:val="0067520E"/>
    <w:rsid w:val="00675437"/>
    <w:rsid w:val="00675717"/>
    <w:rsid w:val="00675A51"/>
    <w:rsid w:val="00676615"/>
    <w:rsid w:val="00676990"/>
    <w:rsid w:val="00676C87"/>
    <w:rsid w:val="00676CD5"/>
    <w:rsid w:val="006775AF"/>
    <w:rsid w:val="0067778E"/>
    <w:rsid w:val="006779D3"/>
    <w:rsid w:val="006779E6"/>
    <w:rsid w:val="00677AED"/>
    <w:rsid w:val="006803AC"/>
    <w:rsid w:val="006807EC"/>
    <w:rsid w:val="006807F0"/>
    <w:rsid w:val="00680EDB"/>
    <w:rsid w:val="00680F8E"/>
    <w:rsid w:val="00681CDA"/>
    <w:rsid w:val="006823C5"/>
    <w:rsid w:val="00682784"/>
    <w:rsid w:val="00682A7B"/>
    <w:rsid w:val="00682E8E"/>
    <w:rsid w:val="00682F1D"/>
    <w:rsid w:val="0068341D"/>
    <w:rsid w:val="0068359D"/>
    <w:rsid w:val="00683A62"/>
    <w:rsid w:val="00683B0D"/>
    <w:rsid w:val="0068405E"/>
    <w:rsid w:val="0068411E"/>
    <w:rsid w:val="00684303"/>
    <w:rsid w:val="006846AC"/>
    <w:rsid w:val="00684D02"/>
    <w:rsid w:val="00684FD9"/>
    <w:rsid w:val="006851B6"/>
    <w:rsid w:val="006855D7"/>
    <w:rsid w:val="00685B82"/>
    <w:rsid w:val="006860AD"/>
    <w:rsid w:val="00686914"/>
    <w:rsid w:val="006876A9"/>
    <w:rsid w:val="00687A1F"/>
    <w:rsid w:val="00690123"/>
    <w:rsid w:val="006903EA"/>
    <w:rsid w:val="00690885"/>
    <w:rsid w:val="00691236"/>
    <w:rsid w:val="00691562"/>
    <w:rsid w:val="006916CA"/>
    <w:rsid w:val="006919BA"/>
    <w:rsid w:val="00692924"/>
    <w:rsid w:val="00692EAB"/>
    <w:rsid w:val="00693CC4"/>
    <w:rsid w:val="0069469E"/>
    <w:rsid w:val="00694A4E"/>
    <w:rsid w:val="006959E6"/>
    <w:rsid w:val="00695B4D"/>
    <w:rsid w:val="00696311"/>
    <w:rsid w:val="00696B60"/>
    <w:rsid w:val="006970A9"/>
    <w:rsid w:val="0069735B"/>
    <w:rsid w:val="00697363"/>
    <w:rsid w:val="006979DE"/>
    <w:rsid w:val="00697AD8"/>
    <w:rsid w:val="00697C09"/>
    <w:rsid w:val="006A0155"/>
    <w:rsid w:val="006A0187"/>
    <w:rsid w:val="006A0211"/>
    <w:rsid w:val="006A08F6"/>
    <w:rsid w:val="006A0968"/>
    <w:rsid w:val="006A0C39"/>
    <w:rsid w:val="006A0C74"/>
    <w:rsid w:val="006A0E21"/>
    <w:rsid w:val="006A0E62"/>
    <w:rsid w:val="006A1216"/>
    <w:rsid w:val="006A18F1"/>
    <w:rsid w:val="006A1991"/>
    <w:rsid w:val="006A206F"/>
    <w:rsid w:val="006A237A"/>
    <w:rsid w:val="006A267F"/>
    <w:rsid w:val="006A27A3"/>
    <w:rsid w:val="006A27D5"/>
    <w:rsid w:val="006A283C"/>
    <w:rsid w:val="006A2A00"/>
    <w:rsid w:val="006A2D43"/>
    <w:rsid w:val="006A3A6F"/>
    <w:rsid w:val="006A3B97"/>
    <w:rsid w:val="006A3DEA"/>
    <w:rsid w:val="006A4033"/>
    <w:rsid w:val="006A4ACA"/>
    <w:rsid w:val="006A4B57"/>
    <w:rsid w:val="006A4D4E"/>
    <w:rsid w:val="006A4DE8"/>
    <w:rsid w:val="006A4EE4"/>
    <w:rsid w:val="006A4F05"/>
    <w:rsid w:val="006A51DB"/>
    <w:rsid w:val="006A53F4"/>
    <w:rsid w:val="006A5403"/>
    <w:rsid w:val="006A55E5"/>
    <w:rsid w:val="006A578C"/>
    <w:rsid w:val="006A6130"/>
    <w:rsid w:val="006A6190"/>
    <w:rsid w:val="006A62FE"/>
    <w:rsid w:val="006A657E"/>
    <w:rsid w:val="006A684D"/>
    <w:rsid w:val="006A6A03"/>
    <w:rsid w:val="006A6A3B"/>
    <w:rsid w:val="006A6BDF"/>
    <w:rsid w:val="006A6E92"/>
    <w:rsid w:val="006A6F90"/>
    <w:rsid w:val="006A7091"/>
    <w:rsid w:val="006A7112"/>
    <w:rsid w:val="006A7305"/>
    <w:rsid w:val="006A7D86"/>
    <w:rsid w:val="006A7EF0"/>
    <w:rsid w:val="006B00B4"/>
    <w:rsid w:val="006B0127"/>
    <w:rsid w:val="006B0175"/>
    <w:rsid w:val="006B03AD"/>
    <w:rsid w:val="006B063E"/>
    <w:rsid w:val="006B0AA4"/>
    <w:rsid w:val="006B0BF7"/>
    <w:rsid w:val="006B119E"/>
    <w:rsid w:val="006B13EB"/>
    <w:rsid w:val="006B1A17"/>
    <w:rsid w:val="006B1A4F"/>
    <w:rsid w:val="006B1A5B"/>
    <w:rsid w:val="006B1F34"/>
    <w:rsid w:val="006B2064"/>
    <w:rsid w:val="006B227B"/>
    <w:rsid w:val="006B2308"/>
    <w:rsid w:val="006B2353"/>
    <w:rsid w:val="006B26F4"/>
    <w:rsid w:val="006B27D8"/>
    <w:rsid w:val="006B29CA"/>
    <w:rsid w:val="006B2BF6"/>
    <w:rsid w:val="006B3062"/>
    <w:rsid w:val="006B323D"/>
    <w:rsid w:val="006B32AB"/>
    <w:rsid w:val="006B34F4"/>
    <w:rsid w:val="006B363F"/>
    <w:rsid w:val="006B3641"/>
    <w:rsid w:val="006B39BD"/>
    <w:rsid w:val="006B41EA"/>
    <w:rsid w:val="006B4257"/>
    <w:rsid w:val="006B4640"/>
    <w:rsid w:val="006B4744"/>
    <w:rsid w:val="006B49D5"/>
    <w:rsid w:val="006B50A7"/>
    <w:rsid w:val="006B5357"/>
    <w:rsid w:val="006B5958"/>
    <w:rsid w:val="006B5A79"/>
    <w:rsid w:val="006B5BEF"/>
    <w:rsid w:val="006B5FD0"/>
    <w:rsid w:val="006B6151"/>
    <w:rsid w:val="006B635B"/>
    <w:rsid w:val="006B650D"/>
    <w:rsid w:val="006B6A2B"/>
    <w:rsid w:val="006B6C40"/>
    <w:rsid w:val="006B6C64"/>
    <w:rsid w:val="006B73E7"/>
    <w:rsid w:val="006B7783"/>
    <w:rsid w:val="006B78A8"/>
    <w:rsid w:val="006B7CD4"/>
    <w:rsid w:val="006B7CFD"/>
    <w:rsid w:val="006C0521"/>
    <w:rsid w:val="006C07A4"/>
    <w:rsid w:val="006C1528"/>
    <w:rsid w:val="006C158A"/>
    <w:rsid w:val="006C1B19"/>
    <w:rsid w:val="006C1BB0"/>
    <w:rsid w:val="006C1D32"/>
    <w:rsid w:val="006C2653"/>
    <w:rsid w:val="006C2CAC"/>
    <w:rsid w:val="006C2DB4"/>
    <w:rsid w:val="006C2F36"/>
    <w:rsid w:val="006C3094"/>
    <w:rsid w:val="006C330F"/>
    <w:rsid w:val="006C3DB1"/>
    <w:rsid w:val="006C41CC"/>
    <w:rsid w:val="006C45B4"/>
    <w:rsid w:val="006C483F"/>
    <w:rsid w:val="006C4876"/>
    <w:rsid w:val="006C4931"/>
    <w:rsid w:val="006C4EF4"/>
    <w:rsid w:val="006C5159"/>
    <w:rsid w:val="006C611A"/>
    <w:rsid w:val="006C6449"/>
    <w:rsid w:val="006C663C"/>
    <w:rsid w:val="006C6B37"/>
    <w:rsid w:val="006C6B6E"/>
    <w:rsid w:val="006C6B94"/>
    <w:rsid w:val="006C7223"/>
    <w:rsid w:val="006C77EC"/>
    <w:rsid w:val="006C78C0"/>
    <w:rsid w:val="006D00BE"/>
    <w:rsid w:val="006D0139"/>
    <w:rsid w:val="006D0424"/>
    <w:rsid w:val="006D0581"/>
    <w:rsid w:val="006D0A40"/>
    <w:rsid w:val="006D0A87"/>
    <w:rsid w:val="006D1141"/>
    <w:rsid w:val="006D1B77"/>
    <w:rsid w:val="006D1DA4"/>
    <w:rsid w:val="006D201A"/>
    <w:rsid w:val="006D2235"/>
    <w:rsid w:val="006D2236"/>
    <w:rsid w:val="006D2502"/>
    <w:rsid w:val="006D269A"/>
    <w:rsid w:val="006D2898"/>
    <w:rsid w:val="006D28CC"/>
    <w:rsid w:val="006D2A06"/>
    <w:rsid w:val="006D2A57"/>
    <w:rsid w:val="006D2D29"/>
    <w:rsid w:val="006D2E0E"/>
    <w:rsid w:val="006D3723"/>
    <w:rsid w:val="006D39E0"/>
    <w:rsid w:val="006D3AF9"/>
    <w:rsid w:val="006D3D14"/>
    <w:rsid w:val="006D53F8"/>
    <w:rsid w:val="006D561C"/>
    <w:rsid w:val="006D5798"/>
    <w:rsid w:val="006D5B22"/>
    <w:rsid w:val="006D5E72"/>
    <w:rsid w:val="006D60F2"/>
    <w:rsid w:val="006D640F"/>
    <w:rsid w:val="006D665B"/>
    <w:rsid w:val="006D67E5"/>
    <w:rsid w:val="006D684C"/>
    <w:rsid w:val="006D68B7"/>
    <w:rsid w:val="006D6985"/>
    <w:rsid w:val="006D6A3D"/>
    <w:rsid w:val="006D6AA0"/>
    <w:rsid w:val="006D7355"/>
    <w:rsid w:val="006D7A66"/>
    <w:rsid w:val="006E06D1"/>
    <w:rsid w:val="006E111A"/>
    <w:rsid w:val="006E1530"/>
    <w:rsid w:val="006E1D85"/>
    <w:rsid w:val="006E22E8"/>
    <w:rsid w:val="006E290A"/>
    <w:rsid w:val="006E29B1"/>
    <w:rsid w:val="006E2C33"/>
    <w:rsid w:val="006E2C3C"/>
    <w:rsid w:val="006E3288"/>
    <w:rsid w:val="006E3336"/>
    <w:rsid w:val="006E3417"/>
    <w:rsid w:val="006E36AB"/>
    <w:rsid w:val="006E3BFD"/>
    <w:rsid w:val="006E3E57"/>
    <w:rsid w:val="006E4086"/>
    <w:rsid w:val="006E44BA"/>
    <w:rsid w:val="006E4A6C"/>
    <w:rsid w:val="006E5278"/>
    <w:rsid w:val="006E538C"/>
    <w:rsid w:val="006E54C1"/>
    <w:rsid w:val="006E5527"/>
    <w:rsid w:val="006E58C3"/>
    <w:rsid w:val="006E5BF4"/>
    <w:rsid w:val="006E5D1B"/>
    <w:rsid w:val="006E666B"/>
    <w:rsid w:val="006E6E0C"/>
    <w:rsid w:val="006E745B"/>
    <w:rsid w:val="006E78AB"/>
    <w:rsid w:val="006E7967"/>
    <w:rsid w:val="006F00CF"/>
    <w:rsid w:val="006F0160"/>
    <w:rsid w:val="006F07F8"/>
    <w:rsid w:val="006F0CB2"/>
    <w:rsid w:val="006F0DA1"/>
    <w:rsid w:val="006F0DC1"/>
    <w:rsid w:val="006F1AAC"/>
    <w:rsid w:val="006F1CDE"/>
    <w:rsid w:val="006F2176"/>
    <w:rsid w:val="006F21EC"/>
    <w:rsid w:val="006F2A37"/>
    <w:rsid w:val="006F2A96"/>
    <w:rsid w:val="006F2B52"/>
    <w:rsid w:val="006F2CB2"/>
    <w:rsid w:val="006F38B5"/>
    <w:rsid w:val="006F3F41"/>
    <w:rsid w:val="006F42EF"/>
    <w:rsid w:val="006F444A"/>
    <w:rsid w:val="006F45D0"/>
    <w:rsid w:val="006F4961"/>
    <w:rsid w:val="006F49C8"/>
    <w:rsid w:val="006F4E68"/>
    <w:rsid w:val="006F58E4"/>
    <w:rsid w:val="006F5B9D"/>
    <w:rsid w:val="006F5F96"/>
    <w:rsid w:val="006F5FB7"/>
    <w:rsid w:val="006F60F3"/>
    <w:rsid w:val="006F6286"/>
    <w:rsid w:val="006F694B"/>
    <w:rsid w:val="006F705D"/>
    <w:rsid w:val="006F73F2"/>
    <w:rsid w:val="006F7FCF"/>
    <w:rsid w:val="006F7FF8"/>
    <w:rsid w:val="007000B4"/>
    <w:rsid w:val="00700497"/>
    <w:rsid w:val="00700A33"/>
    <w:rsid w:val="007016BA"/>
    <w:rsid w:val="00701B23"/>
    <w:rsid w:val="00701FA5"/>
    <w:rsid w:val="00701FDB"/>
    <w:rsid w:val="0070283E"/>
    <w:rsid w:val="00702CC7"/>
    <w:rsid w:val="007031E5"/>
    <w:rsid w:val="007034E0"/>
    <w:rsid w:val="00703E06"/>
    <w:rsid w:val="00703F55"/>
    <w:rsid w:val="007048DD"/>
    <w:rsid w:val="00704B5C"/>
    <w:rsid w:val="00705209"/>
    <w:rsid w:val="00705582"/>
    <w:rsid w:val="0070574B"/>
    <w:rsid w:val="007058D8"/>
    <w:rsid w:val="007059EC"/>
    <w:rsid w:val="00705ECB"/>
    <w:rsid w:val="00706523"/>
    <w:rsid w:val="007066F9"/>
    <w:rsid w:val="0070695F"/>
    <w:rsid w:val="00706A77"/>
    <w:rsid w:val="00706FD5"/>
    <w:rsid w:val="0070743C"/>
    <w:rsid w:val="00707DC4"/>
    <w:rsid w:val="00707F9A"/>
    <w:rsid w:val="0071077B"/>
    <w:rsid w:val="00710D8F"/>
    <w:rsid w:val="007115A6"/>
    <w:rsid w:val="00711912"/>
    <w:rsid w:val="00711935"/>
    <w:rsid w:val="0071194D"/>
    <w:rsid w:val="00711BB3"/>
    <w:rsid w:val="00711DF9"/>
    <w:rsid w:val="0071223C"/>
    <w:rsid w:val="0071274A"/>
    <w:rsid w:val="00712937"/>
    <w:rsid w:val="00712AE4"/>
    <w:rsid w:val="00713196"/>
    <w:rsid w:val="00713380"/>
    <w:rsid w:val="00713491"/>
    <w:rsid w:val="0071391E"/>
    <w:rsid w:val="007139C4"/>
    <w:rsid w:val="00714445"/>
    <w:rsid w:val="00715383"/>
    <w:rsid w:val="00715854"/>
    <w:rsid w:val="007159B6"/>
    <w:rsid w:val="00715DFD"/>
    <w:rsid w:val="00715F06"/>
    <w:rsid w:val="00715F35"/>
    <w:rsid w:val="007160C2"/>
    <w:rsid w:val="0071640D"/>
    <w:rsid w:val="0071649B"/>
    <w:rsid w:val="00716C80"/>
    <w:rsid w:val="00716D3E"/>
    <w:rsid w:val="00717001"/>
    <w:rsid w:val="00717837"/>
    <w:rsid w:val="00717878"/>
    <w:rsid w:val="00717A56"/>
    <w:rsid w:val="00717A5F"/>
    <w:rsid w:val="00717D37"/>
    <w:rsid w:val="007200C9"/>
    <w:rsid w:val="0072023F"/>
    <w:rsid w:val="00720330"/>
    <w:rsid w:val="0072043F"/>
    <w:rsid w:val="00720DA8"/>
    <w:rsid w:val="0072135B"/>
    <w:rsid w:val="0072199A"/>
    <w:rsid w:val="007219B6"/>
    <w:rsid w:val="00721D77"/>
    <w:rsid w:val="00721DF1"/>
    <w:rsid w:val="00721EED"/>
    <w:rsid w:val="00722186"/>
    <w:rsid w:val="0072227A"/>
    <w:rsid w:val="007222AD"/>
    <w:rsid w:val="00722680"/>
    <w:rsid w:val="00722E7D"/>
    <w:rsid w:val="00722F1E"/>
    <w:rsid w:val="00723615"/>
    <w:rsid w:val="007236A0"/>
    <w:rsid w:val="00723734"/>
    <w:rsid w:val="00723856"/>
    <w:rsid w:val="00723AA6"/>
    <w:rsid w:val="00723CB4"/>
    <w:rsid w:val="0072426E"/>
    <w:rsid w:val="007243C0"/>
    <w:rsid w:val="00724560"/>
    <w:rsid w:val="00724B96"/>
    <w:rsid w:val="00724C75"/>
    <w:rsid w:val="00724D8A"/>
    <w:rsid w:val="0072558B"/>
    <w:rsid w:val="007259D5"/>
    <w:rsid w:val="00725AD1"/>
    <w:rsid w:val="007261CA"/>
    <w:rsid w:val="0072697C"/>
    <w:rsid w:val="00726B20"/>
    <w:rsid w:val="00726D4F"/>
    <w:rsid w:val="00726D8A"/>
    <w:rsid w:val="00727280"/>
    <w:rsid w:val="0072758B"/>
    <w:rsid w:val="007278B2"/>
    <w:rsid w:val="00727C49"/>
    <w:rsid w:val="00730136"/>
    <w:rsid w:val="0073049E"/>
    <w:rsid w:val="0073092D"/>
    <w:rsid w:val="00730953"/>
    <w:rsid w:val="00730B50"/>
    <w:rsid w:val="00730F98"/>
    <w:rsid w:val="00731026"/>
    <w:rsid w:val="007310FE"/>
    <w:rsid w:val="007317CC"/>
    <w:rsid w:val="00731B7B"/>
    <w:rsid w:val="00731C89"/>
    <w:rsid w:val="007328E0"/>
    <w:rsid w:val="007328F4"/>
    <w:rsid w:val="00732A3E"/>
    <w:rsid w:val="00732C84"/>
    <w:rsid w:val="00732F87"/>
    <w:rsid w:val="007330AA"/>
    <w:rsid w:val="007335C9"/>
    <w:rsid w:val="00733BE9"/>
    <w:rsid w:val="0073410E"/>
    <w:rsid w:val="00734650"/>
    <w:rsid w:val="00734A43"/>
    <w:rsid w:val="00734C40"/>
    <w:rsid w:val="00735873"/>
    <w:rsid w:val="0073589D"/>
    <w:rsid w:val="007359C3"/>
    <w:rsid w:val="00735FB9"/>
    <w:rsid w:val="00735FC2"/>
    <w:rsid w:val="00736129"/>
    <w:rsid w:val="007364E2"/>
    <w:rsid w:val="007367AA"/>
    <w:rsid w:val="007375C6"/>
    <w:rsid w:val="00737926"/>
    <w:rsid w:val="00737A42"/>
    <w:rsid w:val="00737BF5"/>
    <w:rsid w:val="007407B6"/>
    <w:rsid w:val="00740AAB"/>
    <w:rsid w:val="00741A16"/>
    <w:rsid w:val="007420B1"/>
    <w:rsid w:val="00742522"/>
    <w:rsid w:val="007426FD"/>
    <w:rsid w:val="0074275F"/>
    <w:rsid w:val="007429E8"/>
    <w:rsid w:val="00742F81"/>
    <w:rsid w:val="007430DA"/>
    <w:rsid w:val="00743164"/>
    <w:rsid w:val="00743627"/>
    <w:rsid w:val="00743743"/>
    <w:rsid w:val="00743869"/>
    <w:rsid w:val="00743FC3"/>
    <w:rsid w:val="00744256"/>
    <w:rsid w:val="007442E6"/>
    <w:rsid w:val="00744403"/>
    <w:rsid w:val="007445BD"/>
    <w:rsid w:val="00744707"/>
    <w:rsid w:val="007450D4"/>
    <w:rsid w:val="0074524E"/>
    <w:rsid w:val="00745772"/>
    <w:rsid w:val="007468A7"/>
    <w:rsid w:val="00746A9A"/>
    <w:rsid w:val="00746EA6"/>
    <w:rsid w:val="00746FD6"/>
    <w:rsid w:val="0074773C"/>
    <w:rsid w:val="00750039"/>
    <w:rsid w:val="007502A3"/>
    <w:rsid w:val="00750769"/>
    <w:rsid w:val="00750C90"/>
    <w:rsid w:val="00751407"/>
    <w:rsid w:val="007517A1"/>
    <w:rsid w:val="007517BD"/>
    <w:rsid w:val="00751C28"/>
    <w:rsid w:val="007520C1"/>
    <w:rsid w:val="007521D8"/>
    <w:rsid w:val="00752754"/>
    <w:rsid w:val="007528C1"/>
    <w:rsid w:val="00752914"/>
    <w:rsid w:val="00753003"/>
    <w:rsid w:val="00753560"/>
    <w:rsid w:val="00753AC4"/>
    <w:rsid w:val="00753D69"/>
    <w:rsid w:val="007540D5"/>
    <w:rsid w:val="00754370"/>
    <w:rsid w:val="007544C7"/>
    <w:rsid w:val="00754741"/>
    <w:rsid w:val="007548B1"/>
    <w:rsid w:val="00754B30"/>
    <w:rsid w:val="00755095"/>
    <w:rsid w:val="00755312"/>
    <w:rsid w:val="00755714"/>
    <w:rsid w:val="00755CD3"/>
    <w:rsid w:val="00755E63"/>
    <w:rsid w:val="00755F32"/>
    <w:rsid w:val="0075608E"/>
    <w:rsid w:val="007564B3"/>
    <w:rsid w:val="0075668F"/>
    <w:rsid w:val="007568D5"/>
    <w:rsid w:val="00756F0D"/>
    <w:rsid w:val="007574E4"/>
    <w:rsid w:val="00760BD8"/>
    <w:rsid w:val="00760EA8"/>
    <w:rsid w:val="00760F01"/>
    <w:rsid w:val="007611F3"/>
    <w:rsid w:val="0076147C"/>
    <w:rsid w:val="007614E1"/>
    <w:rsid w:val="00761B99"/>
    <w:rsid w:val="00761D69"/>
    <w:rsid w:val="00761E10"/>
    <w:rsid w:val="00761F4D"/>
    <w:rsid w:val="00761FC8"/>
    <w:rsid w:val="00762364"/>
    <w:rsid w:val="00762489"/>
    <w:rsid w:val="007625A8"/>
    <w:rsid w:val="0076270C"/>
    <w:rsid w:val="007627D5"/>
    <w:rsid w:val="007627EB"/>
    <w:rsid w:val="00762822"/>
    <w:rsid w:val="007628F5"/>
    <w:rsid w:val="00762E15"/>
    <w:rsid w:val="007631B0"/>
    <w:rsid w:val="007631F5"/>
    <w:rsid w:val="007633D6"/>
    <w:rsid w:val="007633DC"/>
    <w:rsid w:val="0076407E"/>
    <w:rsid w:val="007642BB"/>
    <w:rsid w:val="00764320"/>
    <w:rsid w:val="00764F18"/>
    <w:rsid w:val="00765294"/>
    <w:rsid w:val="007653DB"/>
    <w:rsid w:val="0076558C"/>
    <w:rsid w:val="00765CC4"/>
    <w:rsid w:val="00765D09"/>
    <w:rsid w:val="00766594"/>
    <w:rsid w:val="007675BE"/>
    <w:rsid w:val="00767749"/>
    <w:rsid w:val="00767A4A"/>
    <w:rsid w:val="00767A8D"/>
    <w:rsid w:val="00767DBB"/>
    <w:rsid w:val="00767F3B"/>
    <w:rsid w:val="00767F8E"/>
    <w:rsid w:val="007703B4"/>
    <w:rsid w:val="007703B6"/>
    <w:rsid w:val="007706E5"/>
    <w:rsid w:val="007708A5"/>
    <w:rsid w:val="00770F5C"/>
    <w:rsid w:val="00770F8B"/>
    <w:rsid w:val="00771232"/>
    <w:rsid w:val="007713B4"/>
    <w:rsid w:val="00771414"/>
    <w:rsid w:val="00771743"/>
    <w:rsid w:val="0077174E"/>
    <w:rsid w:val="00771B0D"/>
    <w:rsid w:val="007727E6"/>
    <w:rsid w:val="00772997"/>
    <w:rsid w:val="00772D2A"/>
    <w:rsid w:val="007738BB"/>
    <w:rsid w:val="007738DD"/>
    <w:rsid w:val="0077399D"/>
    <w:rsid w:val="00773D6B"/>
    <w:rsid w:val="00773E12"/>
    <w:rsid w:val="00774057"/>
    <w:rsid w:val="0077407C"/>
    <w:rsid w:val="0077411A"/>
    <w:rsid w:val="00774CE9"/>
    <w:rsid w:val="007755DD"/>
    <w:rsid w:val="00775B26"/>
    <w:rsid w:val="00775B39"/>
    <w:rsid w:val="0077602E"/>
    <w:rsid w:val="007760FE"/>
    <w:rsid w:val="007764D1"/>
    <w:rsid w:val="00776535"/>
    <w:rsid w:val="00776709"/>
    <w:rsid w:val="00776A24"/>
    <w:rsid w:val="00776D3A"/>
    <w:rsid w:val="00777992"/>
    <w:rsid w:val="00777C5A"/>
    <w:rsid w:val="00777D98"/>
    <w:rsid w:val="00777EF6"/>
    <w:rsid w:val="00780618"/>
    <w:rsid w:val="00780625"/>
    <w:rsid w:val="00780834"/>
    <w:rsid w:val="00780B6F"/>
    <w:rsid w:val="00780B7D"/>
    <w:rsid w:val="00780D6D"/>
    <w:rsid w:val="00780D7D"/>
    <w:rsid w:val="00780D87"/>
    <w:rsid w:val="00780F3A"/>
    <w:rsid w:val="00781336"/>
    <w:rsid w:val="00781503"/>
    <w:rsid w:val="0078188D"/>
    <w:rsid w:val="00781BD7"/>
    <w:rsid w:val="0078216E"/>
    <w:rsid w:val="007829C4"/>
    <w:rsid w:val="00782B15"/>
    <w:rsid w:val="007838FE"/>
    <w:rsid w:val="00783D10"/>
    <w:rsid w:val="00784375"/>
    <w:rsid w:val="0078451A"/>
    <w:rsid w:val="00785A2A"/>
    <w:rsid w:val="00785C72"/>
    <w:rsid w:val="00785DF9"/>
    <w:rsid w:val="00785E01"/>
    <w:rsid w:val="00785EB8"/>
    <w:rsid w:val="00785F77"/>
    <w:rsid w:val="00786C0E"/>
    <w:rsid w:val="00786E88"/>
    <w:rsid w:val="00786ED5"/>
    <w:rsid w:val="0078761D"/>
    <w:rsid w:val="00787898"/>
    <w:rsid w:val="00787947"/>
    <w:rsid w:val="00787DAB"/>
    <w:rsid w:val="00787EE5"/>
    <w:rsid w:val="00787FC1"/>
    <w:rsid w:val="007909FD"/>
    <w:rsid w:val="00790A36"/>
    <w:rsid w:val="00790AF8"/>
    <w:rsid w:val="00790DD2"/>
    <w:rsid w:val="00791418"/>
    <w:rsid w:val="007915DB"/>
    <w:rsid w:val="0079165A"/>
    <w:rsid w:val="00791B68"/>
    <w:rsid w:val="00791F4A"/>
    <w:rsid w:val="007922B8"/>
    <w:rsid w:val="0079287B"/>
    <w:rsid w:val="00792C42"/>
    <w:rsid w:val="00793264"/>
    <w:rsid w:val="0079365C"/>
    <w:rsid w:val="00793840"/>
    <w:rsid w:val="00793EB8"/>
    <w:rsid w:val="00794049"/>
    <w:rsid w:val="007941F6"/>
    <w:rsid w:val="0079430D"/>
    <w:rsid w:val="00794531"/>
    <w:rsid w:val="00794930"/>
    <w:rsid w:val="00796D10"/>
    <w:rsid w:val="0079735C"/>
    <w:rsid w:val="0079760D"/>
    <w:rsid w:val="00797AFA"/>
    <w:rsid w:val="00797BB2"/>
    <w:rsid w:val="007A01F5"/>
    <w:rsid w:val="007A0397"/>
    <w:rsid w:val="007A1021"/>
    <w:rsid w:val="007A133A"/>
    <w:rsid w:val="007A1459"/>
    <w:rsid w:val="007A169C"/>
    <w:rsid w:val="007A1A6F"/>
    <w:rsid w:val="007A1BB4"/>
    <w:rsid w:val="007A1D23"/>
    <w:rsid w:val="007A20A1"/>
    <w:rsid w:val="007A219C"/>
    <w:rsid w:val="007A2221"/>
    <w:rsid w:val="007A2397"/>
    <w:rsid w:val="007A23B3"/>
    <w:rsid w:val="007A2AA0"/>
    <w:rsid w:val="007A2BF9"/>
    <w:rsid w:val="007A2C59"/>
    <w:rsid w:val="007A33FD"/>
    <w:rsid w:val="007A40E7"/>
    <w:rsid w:val="007A43C0"/>
    <w:rsid w:val="007A4563"/>
    <w:rsid w:val="007A4588"/>
    <w:rsid w:val="007A45CF"/>
    <w:rsid w:val="007A45E0"/>
    <w:rsid w:val="007A480F"/>
    <w:rsid w:val="007A487D"/>
    <w:rsid w:val="007A4902"/>
    <w:rsid w:val="007A4940"/>
    <w:rsid w:val="007A4962"/>
    <w:rsid w:val="007A4CA1"/>
    <w:rsid w:val="007A4EF8"/>
    <w:rsid w:val="007A50DD"/>
    <w:rsid w:val="007A5349"/>
    <w:rsid w:val="007A59F7"/>
    <w:rsid w:val="007A60F6"/>
    <w:rsid w:val="007A6301"/>
    <w:rsid w:val="007A642D"/>
    <w:rsid w:val="007A66F9"/>
    <w:rsid w:val="007A67C3"/>
    <w:rsid w:val="007A684B"/>
    <w:rsid w:val="007A6999"/>
    <w:rsid w:val="007A6AE3"/>
    <w:rsid w:val="007A6B83"/>
    <w:rsid w:val="007A7136"/>
    <w:rsid w:val="007A753A"/>
    <w:rsid w:val="007A75D3"/>
    <w:rsid w:val="007A765F"/>
    <w:rsid w:val="007A76C6"/>
    <w:rsid w:val="007A7891"/>
    <w:rsid w:val="007A7906"/>
    <w:rsid w:val="007A79B0"/>
    <w:rsid w:val="007A7DAF"/>
    <w:rsid w:val="007A7EF6"/>
    <w:rsid w:val="007A7F92"/>
    <w:rsid w:val="007B00DB"/>
    <w:rsid w:val="007B05C0"/>
    <w:rsid w:val="007B061E"/>
    <w:rsid w:val="007B095F"/>
    <w:rsid w:val="007B0976"/>
    <w:rsid w:val="007B0DCE"/>
    <w:rsid w:val="007B10D5"/>
    <w:rsid w:val="007B1126"/>
    <w:rsid w:val="007B1140"/>
    <w:rsid w:val="007B13E0"/>
    <w:rsid w:val="007B1438"/>
    <w:rsid w:val="007B1899"/>
    <w:rsid w:val="007B1915"/>
    <w:rsid w:val="007B23D5"/>
    <w:rsid w:val="007B3033"/>
    <w:rsid w:val="007B30E0"/>
    <w:rsid w:val="007B33BF"/>
    <w:rsid w:val="007B3966"/>
    <w:rsid w:val="007B3DDF"/>
    <w:rsid w:val="007B45EC"/>
    <w:rsid w:val="007B5327"/>
    <w:rsid w:val="007B5518"/>
    <w:rsid w:val="007B578E"/>
    <w:rsid w:val="007B634E"/>
    <w:rsid w:val="007B66CF"/>
    <w:rsid w:val="007B66DC"/>
    <w:rsid w:val="007B6AFB"/>
    <w:rsid w:val="007B6ECB"/>
    <w:rsid w:val="007C0C1D"/>
    <w:rsid w:val="007C0D2B"/>
    <w:rsid w:val="007C1280"/>
    <w:rsid w:val="007C13EC"/>
    <w:rsid w:val="007C15D9"/>
    <w:rsid w:val="007C1986"/>
    <w:rsid w:val="007C1E20"/>
    <w:rsid w:val="007C20E1"/>
    <w:rsid w:val="007C2848"/>
    <w:rsid w:val="007C2A1A"/>
    <w:rsid w:val="007C2D58"/>
    <w:rsid w:val="007C354C"/>
    <w:rsid w:val="007C363D"/>
    <w:rsid w:val="007C3677"/>
    <w:rsid w:val="007C3DB0"/>
    <w:rsid w:val="007C3EC3"/>
    <w:rsid w:val="007C3FC7"/>
    <w:rsid w:val="007C41B5"/>
    <w:rsid w:val="007C43EA"/>
    <w:rsid w:val="007C4856"/>
    <w:rsid w:val="007C4872"/>
    <w:rsid w:val="007C4C3E"/>
    <w:rsid w:val="007C58CB"/>
    <w:rsid w:val="007C5C75"/>
    <w:rsid w:val="007C631E"/>
    <w:rsid w:val="007C69CB"/>
    <w:rsid w:val="007C6C2C"/>
    <w:rsid w:val="007C6C96"/>
    <w:rsid w:val="007C6D77"/>
    <w:rsid w:val="007C6F72"/>
    <w:rsid w:val="007C6F9D"/>
    <w:rsid w:val="007C727B"/>
    <w:rsid w:val="007C733B"/>
    <w:rsid w:val="007C7370"/>
    <w:rsid w:val="007C7512"/>
    <w:rsid w:val="007C7DEB"/>
    <w:rsid w:val="007C7F24"/>
    <w:rsid w:val="007D0872"/>
    <w:rsid w:val="007D1351"/>
    <w:rsid w:val="007D1659"/>
    <w:rsid w:val="007D17AD"/>
    <w:rsid w:val="007D1FC8"/>
    <w:rsid w:val="007D201B"/>
    <w:rsid w:val="007D246C"/>
    <w:rsid w:val="007D2E7D"/>
    <w:rsid w:val="007D3246"/>
    <w:rsid w:val="007D3710"/>
    <w:rsid w:val="007D3961"/>
    <w:rsid w:val="007D4170"/>
    <w:rsid w:val="007D41BA"/>
    <w:rsid w:val="007D43E1"/>
    <w:rsid w:val="007D4A5D"/>
    <w:rsid w:val="007D4BE5"/>
    <w:rsid w:val="007D4D7D"/>
    <w:rsid w:val="007D4E4D"/>
    <w:rsid w:val="007D4EB6"/>
    <w:rsid w:val="007D5295"/>
    <w:rsid w:val="007D5C07"/>
    <w:rsid w:val="007D5F6C"/>
    <w:rsid w:val="007D5FC4"/>
    <w:rsid w:val="007D6555"/>
    <w:rsid w:val="007D6927"/>
    <w:rsid w:val="007D69FE"/>
    <w:rsid w:val="007D6EB6"/>
    <w:rsid w:val="007D6EB9"/>
    <w:rsid w:val="007D706B"/>
    <w:rsid w:val="007D7D58"/>
    <w:rsid w:val="007D7DCE"/>
    <w:rsid w:val="007E012A"/>
    <w:rsid w:val="007E10AC"/>
    <w:rsid w:val="007E1259"/>
    <w:rsid w:val="007E1B84"/>
    <w:rsid w:val="007E2AE9"/>
    <w:rsid w:val="007E316F"/>
    <w:rsid w:val="007E3559"/>
    <w:rsid w:val="007E3BAB"/>
    <w:rsid w:val="007E3DDF"/>
    <w:rsid w:val="007E4624"/>
    <w:rsid w:val="007E46BF"/>
    <w:rsid w:val="007E50A5"/>
    <w:rsid w:val="007E5192"/>
    <w:rsid w:val="007E5D7C"/>
    <w:rsid w:val="007E5FA5"/>
    <w:rsid w:val="007E65DA"/>
    <w:rsid w:val="007E6C66"/>
    <w:rsid w:val="007E7105"/>
    <w:rsid w:val="007E712B"/>
    <w:rsid w:val="007E7479"/>
    <w:rsid w:val="007E74A0"/>
    <w:rsid w:val="007E7A50"/>
    <w:rsid w:val="007F002D"/>
    <w:rsid w:val="007F1269"/>
    <w:rsid w:val="007F15E0"/>
    <w:rsid w:val="007F181A"/>
    <w:rsid w:val="007F1F1B"/>
    <w:rsid w:val="007F2394"/>
    <w:rsid w:val="007F24B2"/>
    <w:rsid w:val="007F264B"/>
    <w:rsid w:val="007F2709"/>
    <w:rsid w:val="007F27AA"/>
    <w:rsid w:val="007F2BAF"/>
    <w:rsid w:val="007F3034"/>
    <w:rsid w:val="007F322A"/>
    <w:rsid w:val="007F35E8"/>
    <w:rsid w:val="007F36FD"/>
    <w:rsid w:val="007F3C4D"/>
    <w:rsid w:val="007F40CA"/>
    <w:rsid w:val="007F428A"/>
    <w:rsid w:val="007F44AF"/>
    <w:rsid w:val="007F4522"/>
    <w:rsid w:val="007F4605"/>
    <w:rsid w:val="007F46CC"/>
    <w:rsid w:val="007F4AE8"/>
    <w:rsid w:val="007F4C64"/>
    <w:rsid w:val="007F4E20"/>
    <w:rsid w:val="007F4E7A"/>
    <w:rsid w:val="007F4EC7"/>
    <w:rsid w:val="007F5805"/>
    <w:rsid w:val="007F59B2"/>
    <w:rsid w:val="007F5F31"/>
    <w:rsid w:val="007F5FC2"/>
    <w:rsid w:val="007F649F"/>
    <w:rsid w:val="007F6C7A"/>
    <w:rsid w:val="007F70A9"/>
    <w:rsid w:val="007F7164"/>
    <w:rsid w:val="007F774F"/>
    <w:rsid w:val="007F7FEC"/>
    <w:rsid w:val="00800464"/>
    <w:rsid w:val="00800FA8"/>
    <w:rsid w:val="0080184F"/>
    <w:rsid w:val="00801CA7"/>
    <w:rsid w:val="00802718"/>
    <w:rsid w:val="00802E0E"/>
    <w:rsid w:val="00803062"/>
    <w:rsid w:val="0080321C"/>
    <w:rsid w:val="00803806"/>
    <w:rsid w:val="00803D5B"/>
    <w:rsid w:val="00804200"/>
    <w:rsid w:val="00804737"/>
    <w:rsid w:val="0080490D"/>
    <w:rsid w:val="00804A84"/>
    <w:rsid w:val="00804B4C"/>
    <w:rsid w:val="00804FBC"/>
    <w:rsid w:val="00805475"/>
    <w:rsid w:val="008054A4"/>
    <w:rsid w:val="00806098"/>
    <w:rsid w:val="008060B4"/>
    <w:rsid w:val="00806870"/>
    <w:rsid w:val="00806AA0"/>
    <w:rsid w:val="00806CA7"/>
    <w:rsid w:val="00806EA9"/>
    <w:rsid w:val="00807115"/>
    <w:rsid w:val="00807846"/>
    <w:rsid w:val="0080785F"/>
    <w:rsid w:val="00807C0E"/>
    <w:rsid w:val="00807F79"/>
    <w:rsid w:val="008101F1"/>
    <w:rsid w:val="008104B5"/>
    <w:rsid w:val="008104F6"/>
    <w:rsid w:val="00810BC5"/>
    <w:rsid w:val="008127D1"/>
    <w:rsid w:val="008128EA"/>
    <w:rsid w:val="0081299E"/>
    <w:rsid w:val="00812A20"/>
    <w:rsid w:val="00812B35"/>
    <w:rsid w:val="00812CD1"/>
    <w:rsid w:val="00812CED"/>
    <w:rsid w:val="00812DAC"/>
    <w:rsid w:val="008130B1"/>
    <w:rsid w:val="00813775"/>
    <w:rsid w:val="00813CE1"/>
    <w:rsid w:val="00813E0B"/>
    <w:rsid w:val="00813E7F"/>
    <w:rsid w:val="00813F1C"/>
    <w:rsid w:val="008141D2"/>
    <w:rsid w:val="00814724"/>
    <w:rsid w:val="00814E88"/>
    <w:rsid w:val="00814FC8"/>
    <w:rsid w:val="00815313"/>
    <w:rsid w:val="00816171"/>
    <w:rsid w:val="00816400"/>
    <w:rsid w:val="008166D9"/>
    <w:rsid w:val="008167C2"/>
    <w:rsid w:val="00816989"/>
    <w:rsid w:val="00816B42"/>
    <w:rsid w:val="008174DF"/>
    <w:rsid w:val="00817B3C"/>
    <w:rsid w:val="00817BD6"/>
    <w:rsid w:val="00817C8F"/>
    <w:rsid w:val="00820006"/>
    <w:rsid w:val="0082003E"/>
    <w:rsid w:val="0082014E"/>
    <w:rsid w:val="008205EB"/>
    <w:rsid w:val="008211C3"/>
    <w:rsid w:val="00821AF8"/>
    <w:rsid w:val="00821B60"/>
    <w:rsid w:val="00821BB8"/>
    <w:rsid w:val="00821CF9"/>
    <w:rsid w:val="00821D6A"/>
    <w:rsid w:val="00822777"/>
    <w:rsid w:val="0082295D"/>
    <w:rsid w:val="00822CA9"/>
    <w:rsid w:val="00822D8A"/>
    <w:rsid w:val="00823076"/>
    <w:rsid w:val="0082344E"/>
    <w:rsid w:val="00823B98"/>
    <w:rsid w:val="00823EF9"/>
    <w:rsid w:val="00824166"/>
    <w:rsid w:val="008242B5"/>
    <w:rsid w:val="00824623"/>
    <w:rsid w:val="00824AFF"/>
    <w:rsid w:val="00824CA1"/>
    <w:rsid w:val="00824D19"/>
    <w:rsid w:val="00824D38"/>
    <w:rsid w:val="00825A83"/>
    <w:rsid w:val="00826226"/>
    <w:rsid w:val="0082650B"/>
    <w:rsid w:val="00826681"/>
    <w:rsid w:val="008269F0"/>
    <w:rsid w:val="008273F1"/>
    <w:rsid w:val="00827910"/>
    <w:rsid w:val="00827B99"/>
    <w:rsid w:val="00827FA3"/>
    <w:rsid w:val="00830624"/>
    <w:rsid w:val="0083119D"/>
    <w:rsid w:val="00831232"/>
    <w:rsid w:val="008313E9"/>
    <w:rsid w:val="008313FF"/>
    <w:rsid w:val="0083146C"/>
    <w:rsid w:val="008319F0"/>
    <w:rsid w:val="00831A60"/>
    <w:rsid w:val="00831CAC"/>
    <w:rsid w:val="00831DB6"/>
    <w:rsid w:val="00832256"/>
    <w:rsid w:val="00832397"/>
    <w:rsid w:val="00832462"/>
    <w:rsid w:val="00833410"/>
    <w:rsid w:val="00833928"/>
    <w:rsid w:val="00834481"/>
    <w:rsid w:val="0083472C"/>
    <w:rsid w:val="00835000"/>
    <w:rsid w:val="008354B0"/>
    <w:rsid w:val="0083587E"/>
    <w:rsid w:val="00835EBB"/>
    <w:rsid w:val="00836451"/>
    <w:rsid w:val="00836B1D"/>
    <w:rsid w:val="00836BAB"/>
    <w:rsid w:val="00836C89"/>
    <w:rsid w:val="00836DDA"/>
    <w:rsid w:val="00837049"/>
    <w:rsid w:val="0083705F"/>
    <w:rsid w:val="008372EC"/>
    <w:rsid w:val="0083780C"/>
    <w:rsid w:val="00837C84"/>
    <w:rsid w:val="00837CA4"/>
    <w:rsid w:val="00840EE6"/>
    <w:rsid w:val="00841792"/>
    <w:rsid w:val="00841D78"/>
    <w:rsid w:val="00842412"/>
    <w:rsid w:val="008424E7"/>
    <w:rsid w:val="0084258E"/>
    <w:rsid w:val="00842D1E"/>
    <w:rsid w:val="0084331C"/>
    <w:rsid w:val="00843A4C"/>
    <w:rsid w:val="00843B12"/>
    <w:rsid w:val="00843B9D"/>
    <w:rsid w:val="00844537"/>
    <w:rsid w:val="00844D40"/>
    <w:rsid w:val="00844F5F"/>
    <w:rsid w:val="008451C9"/>
    <w:rsid w:val="008456E4"/>
    <w:rsid w:val="00846413"/>
    <w:rsid w:val="00846E47"/>
    <w:rsid w:val="008471FC"/>
    <w:rsid w:val="00847606"/>
    <w:rsid w:val="00847687"/>
    <w:rsid w:val="008476AB"/>
    <w:rsid w:val="008476DC"/>
    <w:rsid w:val="008479C3"/>
    <w:rsid w:val="00847CC0"/>
    <w:rsid w:val="00847D7C"/>
    <w:rsid w:val="00847DB6"/>
    <w:rsid w:val="00850236"/>
    <w:rsid w:val="00850244"/>
    <w:rsid w:val="008504DF"/>
    <w:rsid w:val="00850624"/>
    <w:rsid w:val="00850AFD"/>
    <w:rsid w:val="00850BF5"/>
    <w:rsid w:val="0085204D"/>
    <w:rsid w:val="008521F6"/>
    <w:rsid w:val="00852201"/>
    <w:rsid w:val="00852555"/>
    <w:rsid w:val="00852CBA"/>
    <w:rsid w:val="0085309B"/>
    <w:rsid w:val="008530BE"/>
    <w:rsid w:val="0085347E"/>
    <w:rsid w:val="00853A93"/>
    <w:rsid w:val="00853C93"/>
    <w:rsid w:val="00853DEB"/>
    <w:rsid w:val="00853F3D"/>
    <w:rsid w:val="008543D7"/>
    <w:rsid w:val="00854580"/>
    <w:rsid w:val="0085487B"/>
    <w:rsid w:val="00854C19"/>
    <w:rsid w:val="00854F6A"/>
    <w:rsid w:val="008556E1"/>
    <w:rsid w:val="00855AAF"/>
    <w:rsid w:val="00855F3A"/>
    <w:rsid w:val="00855FE8"/>
    <w:rsid w:val="008562A8"/>
    <w:rsid w:val="0085665A"/>
    <w:rsid w:val="0085674A"/>
    <w:rsid w:val="008567CE"/>
    <w:rsid w:val="008567D5"/>
    <w:rsid w:val="00856BFA"/>
    <w:rsid w:val="00856F01"/>
    <w:rsid w:val="00857759"/>
    <w:rsid w:val="00860128"/>
    <w:rsid w:val="008606FC"/>
    <w:rsid w:val="0086093F"/>
    <w:rsid w:val="0086101E"/>
    <w:rsid w:val="00861061"/>
    <w:rsid w:val="008617B7"/>
    <w:rsid w:val="00861844"/>
    <w:rsid w:val="00861DD0"/>
    <w:rsid w:val="00861FBE"/>
    <w:rsid w:val="0086257C"/>
    <w:rsid w:val="00862A2C"/>
    <w:rsid w:val="00862DE2"/>
    <w:rsid w:val="0086313C"/>
    <w:rsid w:val="0086322C"/>
    <w:rsid w:val="0086333E"/>
    <w:rsid w:val="00863372"/>
    <w:rsid w:val="00863957"/>
    <w:rsid w:val="00863A37"/>
    <w:rsid w:val="00863E8E"/>
    <w:rsid w:val="008644EB"/>
    <w:rsid w:val="00864567"/>
    <w:rsid w:val="008647A6"/>
    <w:rsid w:val="00865193"/>
    <w:rsid w:val="0086547A"/>
    <w:rsid w:val="00865A95"/>
    <w:rsid w:val="00865AF1"/>
    <w:rsid w:val="00865AF6"/>
    <w:rsid w:val="00866301"/>
    <w:rsid w:val="008665E3"/>
    <w:rsid w:val="00866E7B"/>
    <w:rsid w:val="00867260"/>
    <w:rsid w:val="00867450"/>
    <w:rsid w:val="008679D3"/>
    <w:rsid w:val="00867AE1"/>
    <w:rsid w:val="00867BA6"/>
    <w:rsid w:val="00867BC8"/>
    <w:rsid w:val="00867CCD"/>
    <w:rsid w:val="00870677"/>
    <w:rsid w:val="00870755"/>
    <w:rsid w:val="00870AA5"/>
    <w:rsid w:val="00871C6B"/>
    <w:rsid w:val="00871D66"/>
    <w:rsid w:val="008724E3"/>
    <w:rsid w:val="00872653"/>
    <w:rsid w:val="008726A9"/>
    <w:rsid w:val="00872D97"/>
    <w:rsid w:val="00872DC9"/>
    <w:rsid w:val="00872DDE"/>
    <w:rsid w:val="00872F5D"/>
    <w:rsid w:val="00873506"/>
    <w:rsid w:val="00873DAC"/>
    <w:rsid w:val="008744F8"/>
    <w:rsid w:val="00874552"/>
    <w:rsid w:val="008749CC"/>
    <w:rsid w:val="00874CD0"/>
    <w:rsid w:val="00874DB3"/>
    <w:rsid w:val="00875386"/>
    <w:rsid w:val="00875872"/>
    <w:rsid w:val="008759A4"/>
    <w:rsid w:val="00875E02"/>
    <w:rsid w:val="00876073"/>
    <w:rsid w:val="00876454"/>
    <w:rsid w:val="00876BD0"/>
    <w:rsid w:val="00876F7A"/>
    <w:rsid w:val="008772A5"/>
    <w:rsid w:val="00877327"/>
    <w:rsid w:val="00877442"/>
    <w:rsid w:val="008778B3"/>
    <w:rsid w:val="0087790A"/>
    <w:rsid w:val="00877A48"/>
    <w:rsid w:val="00877AA0"/>
    <w:rsid w:val="0088103C"/>
    <w:rsid w:val="00881715"/>
    <w:rsid w:val="00881803"/>
    <w:rsid w:val="00881A3D"/>
    <w:rsid w:val="00881B89"/>
    <w:rsid w:val="0088256B"/>
    <w:rsid w:val="00882ACE"/>
    <w:rsid w:val="00882EEB"/>
    <w:rsid w:val="008835DF"/>
    <w:rsid w:val="00883823"/>
    <w:rsid w:val="00883EBF"/>
    <w:rsid w:val="00884185"/>
    <w:rsid w:val="008843A8"/>
    <w:rsid w:val="008844CD"/>
    <w:rsid w:val="008846D4"/>
    <w:rsid w:val="008847F4"/>
    <w:rsid w:val="00884B4D"/>
    <w:rsid w:val="00884FAF"/>
    <w:rsid w:val="008853B4"/>
    <w:rsid w:val="008854FF"/>
    <w:rsid w:val="008860FA"/>
    <w:rsid w:val="00886766"/>
    <w:rsid w:val="0088699A"/>
    <w:rsid w:val="00887053"/>
    <w:rsid w:val="008873DD"/>
    <w:rsid w:val="008878E4"/>
    <w:rsid w:val="00887997"/>
    <w:rsid w:val="00887C5F"/>
    <w:rsid w:val="00887E8C"/>
    <w:rsid w:val="0089017D"/>
    <w:rsid w:val="0089030F"/>
    <w:rsid w:val="00890C79"/>
    <w:rsid w:val="008911C9"/>
    <w:rsid w:val="0089175C"/>
    <w:rsid w:val="00891B21"/>
    <w:rsid w:val="00892111"/>
    <w:rsid w:val="008921D0"/>
    <w:rsid w:val="00892303"/>
    <w:rsid w:val="00892485"/>
    <w:rsid w:val="008924D7"/>
    <w:rsid w:val="00892756"/>
    <w:rsid w:val="008929B6"/>
    <w:rsid w:val="00893986"/>
    <w:rsid w:val="00893E77"/>
    <w:rsid w:val="00894525"/>
    <w:rsid w:val="00894785"/>
    <w:rsid w:val="008949D6"/>
    <w:rsid w:val="00894ABE"/>
    <w:rsid w:val="00894EA2"/>
    <w:rsid w:val="0089569E"/>
    <w:rsid w:val="008956C1"/>
    <w:rsid w:val="00895863"/>
    <w:rsid w:val="00895D22"/>
    <w:rsid w:val="00895EF5"/>
    <w:rsid w:val="00896BFC"/>
    <w:rsid w:val="00896E68"/>
    <w:rsid w:val="008974D5"/>
    <w:rsid w:val="0089781E"/>
    <w:rsid w:val="00897E7B"/>
    <w:rsid w:val="00897F58"/>
    <w:rsid w:val="008A010D"/>
    <w:rsid w:val="008A05A2"/>
    <w:rsid w:val="008A062A"/>
    <w:rsid w:val="008A08DD"/>
    <w:rsid w:val="008A08E7"/>
    <w:rsid w:val="008A0FA7"/>
    <w:rsid w:val="008A1D70"/>
    <w:rsid w:val="008A1E8B"/>
    <w:rsid w:val="008A1EBA"/>
    <w:rsid w:val="008A2208"/>
    <w:rsid w:val="008A2281"/>
    <w:rsid w:val="008A25D6"/>
    <w:rsid w:val="008A2821"/>
    <w:rsid w:val="008A2C26"/>
    <w:rsid w:val="008A336F"/>
    <w:rsid w:val="008A3868"/>
    <w:rsid w:val="008A39FD"/>
    <w:rsid w:val="008A3E23"/>
    <w:rsid w:val="008A41B7"/>
    <w:rsid w:val="008A42F3"/>
    <w:rsid w:val="008A439B"/>
    <w:rsid w:val="008A4515"/>
    <w:rsid w:val="008A4DB9"/>
    <w:rsid w:val="008A4F47"/>
    <w:rsid w:val="008A4FD7"/>
    <w:rsid w:val="008A52F9"/>
    <w:rsid w:val="008A56BA"/>
    <w:rsid w:val="008A5A2F"/>
    <w:rsid w:val="008A6341"/>
    <w:rsid w:val="008A6AA0"/>
    <w:rsid w:val="008A7153"/>
    <w:rsid w:val="008A73EE"/>
    <w:rsid w:val="008A75EF"/>
    <w:rsid w:val="008A7608"/>
    <w:rsid w:val="008A79D7"/>
    <w:rsid w:val="008B0846"/>
    <w:rsid w:val="008B0A2E"/>
    <w:rsid w:val="008B0B2D"/>
    <w:rsid w:val="008B10FB"/>
    <w:rsid w:val="008B16A5"/>
    <w:rsid w:val="008B1BE5"/>
    <w:rsid w:val="008B212F"/>
    <w:rsid w:val="008B2147"/>
    <w:rsid w:val="008B2BB0"/>
    <w:rsid w:val="008B2DBB"/>
    <w:rsid w:val="008B2E66"/>
    <w:rsid w:val="008B2E86"/>
    <w:rsid w:val="008B3050"/>
    <w:rsid w:val="008B339C"/>
    <w:rsid w:val="008B456F"/>
    <w:rsid w:val="008B4AAE"/>
    <w:rsid w:val="008B4CA5"/>
    <w:rsid w:val="008B507A"/>
    <w:rsid w:val="008B5101"/>
    <w:rsid w:val="008B52D1"/>
    <w:rsid w:val="008B58B6"/>
    <w:rsid w:val="008B5A87"/>
    <w:rsid w:val="008B65B3"/>
    <w:rsid w:val="008B67CE"/>
    <w:rsid w:val="008B683E"/>
    <w:rsid w:val="008B6C3A"/>
    <w:rsid w:val="008B6F78"/>
    <w:rsid w:val="008B7AD0"/>
    <w:rsid w:val="008B7D46"/>
    <w:rsid w:val="008B7F0B"/>
    <w:rsid w:val="008C0099"/>
    <w:rsid w:val="008C07E9"/>
    <w:rsid w:val="008C0A59"/>
    <w:rsid w:val="008C0F5C"/>
    <w:rsid w:val="008C108B"/>
    <w:rsid w:val="008C14FD"/>
    <w:rsid w:val="008C1535"/>
    <w:rsid w:val="008C1E0E"/>
    <w:rsid w:val="008C2056"/>
    <w:rsid w:val="008C2C72"/>
    <w:rsid w:val="008C31B7"/>
    <w:rsid w:val="008C36D0"/>
    <w:rsid w:val="008C37FD"/>
    <w:rsid w:val="008C3997"/>
    <w:rsid w:val="008C39CA"/>
    <w:rsid w:val="008C3B54"/>
    <w:rsid w:val="008C3EA3"/>
    <w:rsid w:val="008C464B"/>
    <w:rsid w:val="008C468A"/>
    <w:rsid w:val="008C477B"/>
    <w:rsid w:val="008C4829"/>
    <w:rsid w:val="008C497B"/>
    <w:rsid w:val="008C4A50"/>
    <w:rsid w:val="008C564B"/>
    <w:rsid w:val="008C5909"/>
    <w:rsid w:val="008C59E7"/>
    <w:rsid w:val="008C5B6C"/>
    <w:rsid w:val="008C6029"/>
    <w:rsid w:val="008C6243"/>
    <w:rsid w:val="008C68DA"/>
    <w:rsid w:val="008C757F"/>
    <w:rsid w:val="008C7676"/>
    <w:rsid w:val="008C786C"/>
    <w:rsid w:val="008C7897"/>
    <w:rsid w:val="008C794F"/>
    <w:rsid w:val="008C7A13"/>
    <w:rsid w:val="008C7A90"/>
    <w:rsid w:val="008D04C9"/>
    <w:rsid w:val="008D075A"/>
    <w:rsid w:val="008D07BA"/>
    <w:rsid w:val="008D0E37"/>
    <w:rsid w:val="008D1017"/>
    <w:rsid w:val="008D109A"/>
    <w:rsid w:val="008D12D2"/>
    <w:rsid w:val="008D1A11"/>
    <w:rsid w:val="008D201D"/>
    <w:rsid w:val="008D24CE"/>
    <w:rsid w:val="008D26AA"/>
    <w:rsid w:val="008D26F4"/>
    <w:rsid w:val="008D270D"/>
    <w:rsid w:val="008D2CD2"/>
    <w:rsid w:val="008D3B4B"/>
    <w:rsid w:val="008D40A7"/>
    <w:rsid w:val="008D41E2"/>
    <w:rsid w:val="008D4573"/>
    <w:rsid w:val="008D4D41"/>
    <w:rsid w:val="008D5556"/>
    <w:rsid w:val="008D588F"/>
    <w:rsid w:val="008D589C"/>
    <w:rsid w:val="008D5B70"/>
    <w:rsid w:val="008D5D4F"/>
    <w:rsid w:val="008D5F6A"/>
    <w:rsid w:val="008D604C"/>
    <w:rsid w:val="008D6105"/>
    <w:rsid w:val="008D65DF"/>
    <w:rsid w:val="008D68B8"/>
    <w:rsid w:val="008D6AA6"/>
    <w:rsid w:val="008D6B78"/>
    <w:rsid w:val="008D6D3C"/>
    <w:rsid w:val="008D702C"/>
    <w:rsid w:val="008D75EA"/>
    <w:rsid w:val="008D760C"/>
    <w:rsid w:val="008D7677"/>
    <w:rsid w:val="008D784D"/>
    <w:rsid w:val="008D798A"/>
    <w:rsid w:val="008D7EE1"/>
    <w:rsid w:val="008E0522"/>
    <w:rsid w:val="008E0B5F"/>
    <w:rsid w:val="008E0E02"/>
    <w:rsid w:val="008E0F3C"/>
    <w:rsid w:val="008E10AD"/>
    <w:rsid w:val="008E12C6"/>
    <w:rsid w:val="008E1E16"/>
    <w:rsid w:val="008E23D3"/>
    <w:rsid w:val="008E2546"/>
    <w:rsid w:val="008E2637"/>
    <w:rsid w:val="008E282C"/>
    <w:rsid w:val="008E29DC"/>
    <w:rsid w:val="008E2BD5"/>
    <w:rsid w:val="008E37BB"/>
    <w:rsid w:val="008E396A"/>
    <w:rsid w:val="008E3AEF"/>
    <w:rsid w:val="008E3E23"/>
    <w:rsid w:val="008E4615"/>
    <w:rsid w:val="008E484D"/>
    <w:rsid w:val="008E4B93"/>
    <w:rsid w:val="008E4BE1"/>
    <w:rsid w:val="008E4CC2"/>
    <w:rsid w:val="008E4F0C"/>
    <w:rsid w:val="008E4F31"/>
    <w:rsid w:val="008E5282"/>
    <w:rsid w:val="008E66B5"/>
    <w:rsid w:val="008E6A0C"/>
    <w:rsid w:val="008E6F2E"/>
    <w:rsid w:val="008E7CF7"/>
    <w:rsid w:val="008E7DCE"/>
    <w:rsid w:val="008F063F"/>
    <w:rsid w:val="008F073D"/>
    <w:rsid w:val="008F087E"/>
    <w:rsid w:val="008F092B"/>
    <w:rsid w:val="008F0B78"/>
    <w:rsid w:val="008F0C20"/>
    <w:rsid w:val="008F0CC2"/>
    <w:rsid w:val="008F0DF1"/>
    <w:rsid w:val="008F0E52"/>
    <w:rsid w:val="008F1699"/>
    <w:rsid w:val="008F1709"/>
    <w:rsid w:val="008F19A4"/>
    <w:rsid w:val="008F1CBA"/>
    <w:rsid w:val="008F1FE4"/>
    <w:rsid w:val="008F2543"/>
    <w:rsid w:val="008F28CF"/>
    <w:rsid w:val="008F2BB8"/>
    <w:rsid w:val="008F2C33"/>
    <w:rsid w:val="008F2D2F"/>
    <w:rsid w:val="008F2FAE"/>
    <w:rsid w:val="008F314C"/>
    <w:rsid w:val="008F3718"/>
    <w:rsid w:val="008F375C"/>
    <w:rsid w:val="008F3A00"/>
    <w:rsid w:val="008F3C46"/>
    <w:rsid w:val="008F3DF2"/>
    <w:rsid w:val="008F3EF7"/>
    <w:rsid w:val="008F44DC"/>
    <w:rsid w:val="008F46F8"/>
    <w:rsid w:val="008F49E3"/>
    <w:rsid w:val="008F49F4"/>
    <w:rsid w:val="008F4C08"/>
    <w:rsid w:val="008F4CD1"/>
    <w:rsid w:val="008F514E"/>
    <w:rsid w:val="008F5270"/>
    <w:rsid w:val="008F52D3"/>
    <w:rsid w:val="008F544B"/>
    <w:rsid w:val="008F56A4"/>
    <w:rsid w:val="008F57D5"/>
    <w:rsid w:val="008F5902"/>
    <w:rsid w:val="008F5CED"/>
    <w:rsid w:val="008F5D08"/>
    <w:rsid w:val="008F6092"/>
    <w:rsid w:val="008F6329"/>
    <w:rsid w:val="008F6496"/>
    <w:rsid w:val="008F6929"/>
    <w:rsid w:val="008F75F7"/>
    <w:rsid w:val="008F7A10"/>
    <w:rsid w:val="008F7A75"/>
    <w:rsid w:val="00900DF8"/>
    <w:rsid w:val="009013FD"/>
    <w:rsid w:val="009016BF"/>
    <w:rsid w:val="0090173B"/>
    <w:rsid w:val="00901CDF"/>
    <w:rsid w:val="00901FFD"/>
    <w:rsid w:val="00902227"/>
    <w:rsid w:val="00902269"/>
    <w:rsid w:val="00902533"/>
    <w:rsid w:val="00902A03"/>
    <w:rsid w:val="00902A04"/>
    <w:rsid w:val="00902D23"/>
    <w:rsid w:val="00903ADC"/>
    <w:rsid w:val="00903B78"/>
    <w:rsid w:val="00903E6B"/>
    <w:rsid w:val="009044CA"/>
    <w:rsid w:val="009048E4"/>
    <w:rsid w:val="0090551D"/>
    <w:rsid w:val="00905757"/>
    <w:rsid w:val="00905DCC"/>
    <w:rsid w:val="0090630A"/>
    <w:rsid w:val="009065C0"/>
    <w:rsid w:val="00906C27"/>
    <w:rsid w:val="00906CA5"/>
    <w:rsid w:val="00907306"/>
    <w:rsid w:val="00907594"/>
    <w:rsid w:val="00907B9E"/>
    <w:rsid w:val="00907CBB"/>
    <w:rsid w:val="00907CBC"/>
    <w:rsid w:val="00907D47"/>
    <w:rsid w:val="0091025D"/>
    <w:rsid w:val="009106AA"/>
    <w:rsid w:val="009109D3"/>
    <w:rsid w:val="00910C8C"/>
    <w:rsid w:val="009118F3"/>
    <w:rsid w:val="00911D7B"/>
    <w:rsid w:val="00911D93"/>
    <w:rsid w:val="00911DB9"/>
    <w:rsid w:val="00911EB1"/>
    <w:rsid w:val="00912143"/>
    <w:rsid w:val="00912208"/>
    <w:rsid w:val="009128EC"/>
    <w:rsid w:val="00912CEE"/>
    <w:rsid w:val="00912E29"/>
    <w:rsid w:val="00913608"/>
    <w:rsid w:val="00913734"/>
    <w:rsid w:val="00913A1B"/>
    <w:rsid w:val="00914054"/>
    <w:rsid w:val="009142C0"/>
    <w:rsid w:val="009143E0"/>
    <w:rsid w:val="0091472A"/>
    <w:rsid w:val="00914D6C"/>
    <w:rsid w:val="00914D84"/>
    <w:rsid w:val="009157FC"/>
    <w:rsid w:val="00916356"/>
    <w:rsid w:val="0091669B"/>
    <w:rsid w:val="009166BE"/>
    <w:rsid w:val="0091674D"/>
    <w:rsid w:val="00916E1A"/>
    <w:rsid w:val="00916ED0"/>
    <w:rsid w:val="00917195"/>
    <w:rsid w:val="009171B1"/>
    <w:rsid w:val="00917348"/>
    <w:rsid w:val="0091735F"/>
    <w:rsid w:val="009173DA"/>
    <w:rsid w:val="00917544"/>
    <w:rsid w:val="00917FCF"/>
    <w:rsid w:val="0092067D"/>
    <w:rsid w:val="00920704"/>
    <w:rsid w:val="0092089F"/>
    <w:rsid w:val="00921254"/>
    <w:rsid w:val="00921433"/>
    <w:rsid w:val="00921AA5"/>
    <w:rsid w:val="00921EE2"/>
    <w:rsid w:val="009220DC"/>
    <w:rsid w:val="00922494"/>
    <w:rsid w:val="009224DA"/>
    <w:rsid w:val="00922ADE"/>
    <w:rsid w:val="00922EA0"/>
    <w:rsid w:val="00923593"/>
    <w:rsid w:val="009236A8"/>
    <w:rsid w:val="0092455B"/>
    <w:rsid w:val="00924E12"/>
    <w:rsid w:val="00925156"/>
    <w:rsid w:val="0092534B"/>
    <w:rsid w:val="0092595C"/>
    <w:rsid w:val="00925DD8"/>
    <w:rsid w:val="009264B8"/>
    <w:rsid w:val="00926C95"/>
    <w:rsid w:val="00927048"/>
    <w:rsid w:val="009275A0"/>
    <w:rsid w:val="00927B89"/>
    <w:rsid w:val="00927B9B"/>
    <w:rsid w:val="00927CAC"/>
    <w:rsid w:val="00927FA5"/>
    <w:rsid w:val="00930040"/>
    <w:rsid w:val="0093024A"/>
    <w:rsid w:val="009306FB"/>
    <w:rsid w:val="00930795"/>
    <w:rsid w:val="00930A28"/>
    <w:rsid w:val="009311AE"/>
    <w:rsid w:val="0093136C"/>
    <w:rsid w:val="009316BA"/>
    <w:rsid w:val="00931A04"/>
    <w:rsid w:val="00931A4B"/>
    <w:rsid w:val="00931D5C"/>
    <w:rsid w:val="0093264C"/>
    <w:rsid w:val="009326D9"/>
    <w:rsid w:val="009327E0"/>
    <w:rsid w:val="0093296E"/>
    <w:rsid w:val="00932997"/>
    <w:rsid w:val="00932A21"/>
    <w:rsid w:val="00932C4F"/>
    <w:rsid w:val="00932D03"/>
    <w:rsid w:val="00932F33"/>
    <w:rsid w:val="009333DD"/>
    <w:rsid w:val="00933787"/>
    <w:rsid w:val="00933845"/>
    <w:rsid w:val="0093408A"/>
    <w:rsid w:val="00934094"/>
    <w:rsid w:val="0093446E"/>
    <w:rsid w:val="009348AB"/>
    <w:rsid w:val="00935585"/>
    <w:rsid w:val="00935A51"/>
    <w:rsid w:val="00936625"/>
    <w:rsid w:val="009367B2"/>
    <w:rsid w:val="00936CBA"/>
    <w:rsid w:val="00936D3C"/>
    <w:rsid w:val="009373A5"/>
    <w:rsid w:val="009376F7"/>
    <w:rsid w:val="00937726"/>
    <w:rsid w:val="0093797C"/>
    <w:rsid w:val="00937A0D"/>
    <w:rsid w:val="00937B7E"/>
    <w:rsid w:val="00937C34"/>
    <w:rsid w:val="0094004D"/>
    <w:rsid w:val="00940206"/>
    <w:rsid w:val="00940222"/>
    <w:rsid w:val="00940572"/>
    <w:rsid w:val="009409E9"/>
    <w:rsid w:val="00940CC3"/>
    <w:rsid w:val="00940D19"/>
    <w:rsid w:val="00940E6D"/>
    <w:rsid w:val="00941105"/>
    <w:rsid w:val="00941467"/>
    <w:rsid w:val="0094158C"/>
    <w:rsid w:val="00941BEF"/>
    <w:rsid w:val="00941FDE"/>
    <w:rsid w:val="00942446"/>
    <w:rsid w:val="0094266A"/>
    <w:rsid w:val="00942804"/>
    <w:rsid w:val="00942B28"/>
    <w:rsid w:val="00942E0E"/>
    <w:rsid w:val="00942E2F"/>
    <w:rsid w:val="00943074"/>
    <w:rsid w:val="0094346F"/>
    <w:rsid w:val="0094370C"/>
    <w:rsid w:val="00943E61"/>
    <w:rsid w:val="00943F0F"/>
    <w:rsid w:val="0094456D"/>
    <w:rsid w:val="009447E7"/>
    <w:rsid w:val="00944DFE"/>
    <w:rsid w:val="00944F89"/>
    <w:rsid w:val="00944FF0"/>
    <w:rsid w:val="00945CBC"/>
    <w:rsid w:val="00945F27"/>
    <w:rsid w:val="00946011"/>
    <w:rsid w:val="009471D3"/>
    <w:rsid w:val="00947273"/>
    <w:rsid w:val="0094762E"/>
    <w:rsid w:val="00947701"/>
    <w:rsid w:val="009479CB"/>
    <w:rsid w:val="00947BDE"/>
    <w:rsid w:val="0095057B"/>
    <w:rsid w:val="0095092E"/>
    <w:rsid w:val="00950940"/>
    <w:rsid w:val="00950C4D"/>
    <w:rsid w:val="00950D14"/>
    <w:rsid w:val="009514B6"/>
    <w:rsid w:val="0095161B"/>
    <w:rsid w:val="009518DB"/>
    <w:rsid w:val="009521C8"/>
    <w:rsid w:val="009521FD"/>
    <w:rsid w:val="009525FE"/>
    <w:rsid w:val="0095267B"/>
    <w:rsid w:val="00952CA9"/>
    <w:rsid w:val="009530FB"/>
    <w:rsid w:val="00953164"/>
    <w:rsid w:val="009534A1"/>
    <w:rsid w:val="009536E9"/>
    <w:rsid w:val="00953ED3"/>
    <w:rsid w:val="00953FD4"/>
    <w:rsid w:val="009542B7"/>
    <w:rsid w:val="009542F5"/>
    <w:rsid w:val="00954324"/>
    <w:rsid w:val="009544A0"/>
    <w:rsid w:val="0095458E"/>
    <w:rsid w:val="009548A8"/>
    <w:rsid w:val="00954908"/>
    <w:rsid w:val="00954A29"/>
    <w:rsid w:val="00954A2B"/>
    <w:rsid w:val="00954DAD"/>
    <w:rsid w:val="00955588"/>
    <w:rsid w:val="009556D4"/>
    <w:rsid w:val="00955977"/>
    <w:rsid w:val="00955989"/>
    <w:rsid w:val="00955B30"/>
    <w:rsid w:val="00955F90"/>
    <w:rsid w:val="009561E9"/>
    <w:rsid w:val="0095630F"/>
    <w:rsid w:val="00956468"/>
    <w:rsid w:val="009568AA"/>
    <w:rsid w:val="00956A31"/>
    <w:rsid w:val="00956AE9"/>
    <w:rsid w:val="00956EA4"/>
    <w:rsid w:val="00957137"/>
    <w:rsid w:val="009571B6"/>
    <w:rsid w:val="0095764D"/>
    <w:rsid w:val="00957BCB"/>
    <w:rsid w:val="00957BD4"/>
    <w:rsid w:val="00957D41"/>
    <w:rsid w:val="00957F9B"/>
    <w:rsid w:val="00957FDB"/>
    <w:rsid w:val="0096015D"/>
    <w:rsid w:val="009606A2"/>
    <w:rsid w:val="0096095C"/>
    <w:rsid w:val="00960A0D"/>
    <w:rsid w:val="00961117"/>
    <w:rsid w:val="009614E6"/>
    <w:rsid w:val="00961BAE"/>
    <w:rsid w:val="00962EB8"/>
    <w:rsid w:val="009639B5"/>
    <w:rsid w:val="00963A65"/>
    <w:rsid w:val="00963BBA"/>
    <w:rsid w:val="00963C41"/>
    <w:rsid w:val="00963E3F"/>
    <w:rsid w:val="0096408A"/>
    <w:rsid w:val="0096445B"/>
    <w:rsid w:val="00964F7E"/>
    <w:rsid w:val="00965235"/>
    <w:rsid w:val="00965581"/>
    <w:rsid w:val="0096589E"/>
    <w:rsid w:val="00965B92"/>
    <w:rsid w:val="00965EF4"/>
    <w:rsid w:val="0096627B"/>
    <w:rsid w:val="00966327"/>
    <w:rsid w:val="00966543"/>
    <w:rsid w:val="00966685"/>
    <w:rsid w:val="009668F5"/>
    <w:rsid w:val="00966CED"/>
    <w:rsid w:val="00966E58"/>
    <w:rsid w:val="00966F2D"/>
    <w:rsid w:val="00967E73"/>
    <w:rsid w:val="00970535"/>
    <w:rsid w:val="0097071A"/>
    <w:rsid w:val="009707DD"/>
    <w:rsid w:val="00970D29"/>
    <w:rsid w:val="009711B3"/>
    <w:rsid w:val="009711D1"/>
    <w:rsid w:val="009713C9"/>
    <w:rsid w:val="00971A40"/>
    <w:rsid w:val="00971D80"/>
    <w:rsid w:val="0097280F"/>
    <w:rsid w:val="0097289A"/>
    <w:rsid w:val="00972D22"/>
    <w:rsid w:val="00973017"/>
    <w:rsid w:val="0097315C"/>
    <w:rsid w:val="0097346B"/>
    <w:rsid w:val="009734DE"/>
    <w:rsid w:val="00973655"/>
    <w:rsid w:val="009736CE"/>
    <w:rsid w:val="00973A1C"/>
    <w:rsid w:val="00973D18"/>
    <w:rsid w:val="00973F05"/>
    <w:rsid w:val="0097417C"/>
    <w:rsid w:val="009742A3"/>
    <w:rsid w:val="00974397"/>
    <w:rsid w:val="009743E4"/>
    <w:rsid w:val="00974503"/>
    <w:rsid w:val="00974A3D"/>
    <w:rsid w:val="00974B44"/>
    <w:rsid w:val="00975696"/>
    <w:rsid w:val="00976C2F"/>
    <w:rsid w:val="00976E33"/>
    <w:rsid w:val="00976E78"/>
    <w:rsid w:val="00977487"/>
    <w:rsid w:val="00977687"/>
    <w:rsid w:val="009777BF"/>
    <w:rsid w:val="00977960"/>
    <w:rsid w:val="00977A78"/>
    <w:rsid w:val="00977B35"/>
    <w:rsid w:val="00977E23"/>
    <w:rsid w:val="00980A5A"/>
    <w:rsid w:val="00981275"/>
    <w:rsid w:val="00981568"/>
    <w:rsid w:val="00981E99"/>
    <w:rsid w:val="00981EF4"/>
    <w:rsid w:val="009820EA"/>
    <w:rsid w:val="0098227B"/>
    <w:rsid w:val="0098244C"/>
    <w:rsid w:val="0098256F"/>
    <w:rsid w:val="009836DE"/>
    <w:rsid w:val="00983D87"/>
    <w:rsid w:val="00984369"/>
    <w:rsid w:val="00984516"/>
    <w:rsid w:val="009845A5"/>
    <w:rsid w:val="009847E2"/>
    <w:rsid w:val="00984A08"/>
    <w:rsid w:val="00984A26"/>
    <w:rsid w:val="00984B80"/>
    <w:rsid w:val="00984EB2"/>
    <w:rsid w:val="0098535F"/>
    <w:rsid w:val="009857B8"/>
    <w:rsid w:val="0098580C"/>
    <w:rsid w:val="00985BDD"/>
    <w:rsid w:val="00985C22"/>
    <w:rsid w:val="00985ECE"/>
    <w:rsid w:val="00985FB4"/>
    <w:rsid w:val="00985FFD"/>
    <w:rsid w:val="00986150"/>
    <w:rsid w:val="009866CF"/>
    <w:rsid w:val="00986AF1"/>
    <w:rsid w:val="00986E01"/>
    <w:rsid w:val="009870F0"/>
    <w:rsid w:val="00987233"/>
    <w:rsid w:val="0098752F"/>
    <w:rsid w:val="009879F2"/>
    <w:rsid w:val="00987C3A"/>
    <w:rsid w:val="00987DC2"/>
    <w:rsid w:val="00987F80"/>
    <w:rsid w:val="009901B8"/>
    <w:rsid w:val="009908E2"/>
    <w:rsid w:val="00990C58"/>
    <w:rsid w:val="00990ED5"/>
    <w:rsid w:val="00991153"/>
    <w:rsid w:val="00991376"/>
    <w:rsid w:val="00991608"/>
    <w:rsid w:val="00991846"/>
    <w:rsid w:val="0099189F"/>
    <w:rsid w:val="00991A0D"/>
    <w:rsid w:val="009925D8"/>
    <w:rsid w:val="0099280B"/>
    <w:rsid w:val="00992B1E"/>
    <w:rsid w:val="00992CC7"/>
    <w:rsid w:val="009931F6"/>
    <w:rsid w:val="00993626"/>
    <w:rsid w:val="00993BAA"/>
    <w:rsid w:val="00993CBF"/>
    <w:rsid w:val="00993ED4"/>
    <w:rsid w:val="00993FDE"/>
    <w:rsid w:val="00994496"/>
    <w:rsid w:val="00994740"/>
    <w:rsid w:val="00994B20"/>
    <w:rsid w:val="009953E0"/>
    <w:rsid w:val="009963C8"/>
    <w:rsid w:val="00996C4D"/>
    <w:rsid w:val="00997002"/>
    <w:rsid w:val="00997AB8"/>
    <w:rsid w:val="009A0425"/>
    <w:rsid w:val="009A0B9B"/>
    <w:rsid w:val="009A137A"/>
    <w:rsid w:val="009A1778"/>
    <w:rsid w:val="009A1D00"/>
    <w:rsid w:val="009A2074"/>
    <w:rsid w:val="009A21CB"/>
    <w:rsid w:val="009A22ED"/>
    <w:rsid w:val="009A271B"/>
    <w:rsid w:val="009A2759"/>
    <w:rsid w:val="009A28E2"/>
    <w:rsid w:val="009A2995"/>
    <w:rsid w:val="009A2B6C"/>
    <w:rsid w:val="009A2C98"/>
    <w:rsid w:val="009A312F"/>
    <w:rsid w:val="009A31BE"/>
    <w:rsid w:val="009A335F"/>
    <w:rsid w:val="009A3A24"/>
    <w:rsid w:val="009A3BB4"/>
    <w:rsid w:val="009A3CC2"/>
    <w:rsid w:val="009A3D63"/>
    <w:rsid w:val="009A3DCC"/>
    <w:rsid w:val="009A4209"/>
    <w:rsid w:val="009A42FE"/>
    <w:rsid w:val="009A4316"/>
    <w:rsid w:val="009A46A8"/>
    <w:rsid w:val="009A4748"/>
    <w:rsid w:val="009A4F03"/>
    <w:rsid w:val="009A5035"/>
    <w:rsid w:val="009A5062"/>
    <w:rsid w:val="009A5C11"/>
    <w:rsid w:val="009A5C25"/>
    <w:rsid w:val="009A5D5E"/>
    <w:rsid w:val="009A67DA"/>
    <w:rsid w:val="009A694D"/>
    <w:rsid w:val="009A6FAC"/>
    <w:rsid w:val="009A7984"/>
    <w:rsid w:val="009B0660"/>
    <w:rsid w:val="009B07F0"/>
    <w:rsid w:val="009B111D"/>
    <w:rsid w:val="009B20B4"/>
    <w:rsid w:val="009B238A"/>
    <w:rsid w:val="009B24F9"/>
    <w:rsid w:val="009B2966"/>
    <w:rsid w:val="009B29B8"/>
    <w:rsid w:val="009B29C2"/>
    <w:rsid w:val="009B2EE6"/>
    <w:rsid w:val="009B2FB3"/>
    <w:rsid w:val="009B339A"/>
    <w:rsid w:val="009B3524"/>
    <w:rsid w:val="009B36EB"/>
    <w:rsid w:val="009B47A2"/>
    <w:rsid w:val="009B4BF9"/>
    <w:rsid w:val="009B4C28"/>
    <w:rsid w:val="009B5086"/>
    <w:rsid w:val="009B5413"/>
    <w:rsid w:val="009B55CA"/>
    <w:rsid w:val="009B57DF"/>
    <w:rsid w:val="009B588A"/>
    <w:rsid w:val="009B5E81"/>
    <w:rsid w:val="009B5F61"/>
    <w:rsid w:val="009B64D3"/>
    <w:rsid w:val="009B6A62"/>
    <w:rsid w:val="009B6EE3"/>
    <w:rsid w:val="009B76D2"/>
    <w:rsid w:val="009B779C"/>
    <w:rsid w:val="009B7942"/>
    <w:rsid w:val="009B79D9"/>
    <w:rsid w:val="009B7F23"/>
    <w:rsid w:val="009C00EE"/>
    <w:rsid w:val="009C0FB1"/>
    <w:rsid w:val="009C0FCE"/>
    <w:rsid w:val="009C1780"/>
    <w:rsid w:val="009C199D"/>
    <w:rsid w:val="009C1DD1"/>
    <w:rsid w:val="009C1E8C"/>
    <w:rsid w:val="009C1F3E"/>
    <w:rsid w:val="009C1F56"/>
    <w:rsid w:val="009C2113"/>
    <w:rsid w:val="009C217A"/>
    <w:rsid w:val="009C2842"/>
    <w:rsid w:val="009C2955"/>
    <w:rsid w:val="009C2B89"/>
    <w:rsid w:val="009C2E5D"/>
    <w:rsid w:val="009C30D0"/>
    <w:rsid w:val="009C325E"/>
    <w:rsid w:val="009C32D6"/>
    <w:rsid w:val="009C344F"/>
    <w:rsid w:val="009C3797"/>
    <w:rsid w:val="009C3951"/>
    <w:rsid w:val="009C39F4"/>
    <w:rsid w:val="009C3F23"/>
    <w:rsid w:val="009C3F8E"/>
    <w:rsid w:val="009C42D9"/>
    <w:rsid w:val="009C4581"/>
    <w:rsid w:val="009C4D30"/>
    <w:rsid w:val="009C50B3"/>
    <w:rsid w:val="009C536F"/>
    <w:rsid w:val="009C54C7"/>
    <w:rsid w:val="009C5A2C"/>
    <w:rsid w:val="009C5AEE"/>
    <w:rsid w:val="009C5D9A"/>
    <w:rsid w:val="009C5F8F"/>
    <w:rsid w:val="009C63A9"/>
    <w:rsid w:val="009C6F5C"/>
    <w:rsid w:val="009C716B"/>
    <w:rsid w:val="009C7348"/>
    <w:rsid w:val="009C7B3B"/>
    <w:rsid w:val="009C7C9A"/>
    <w:rsid w:val="009D016F"/>
    <w:rsid w:val="009D01EF"/>
    <w:rsid w:val="009D0DD9"/>
    <w:rsid w:val="009D0F87"/>
    <w:rsid w:val="009D0FB1"/>
    <w:rsid w:val="009D116D"/>
    <w:rsid w:val="009D12CD"/>
    <w:rsid w:val="009D14C8"/>
    <w:rsid w:val="009D170C"/>
    <w:rsid w:val="009D178D"/>
    <w:rsid w:val="009D17FA"/>
    <w:rsid w:val="009D1B7E"/>
    <w:rsid w:val="009D1C35"/>
    <w:rsid w:val="009D1FF6"/>
    <w:rsid w:val="009D22E5"/>
    <w:rsid w:val="009D29CA"/>
    <w:rsid w:val="009D29F7"/>
    <w:rsid w:val="009D2D66"/>
    <w:rsid w:val="009D301C"/>
    <w:rsid w:val="009D30BF"/>
    <w:rsid w:val="009D318A"/>
    <w:rsid w:val="009D3A52"/>
    <w:rsid w:val="009D3C35"/>
    <w:rsid w:val="009D49E2"/>
    <w:rsid w:val="009D4A0C"/>
    <w:rsid w:val="009D565C"/>
    <w:rsid w:val="009D613A"/>
    <w:rsid w:val="009D6315"/>
    <w:rsid w:val="009D631D"/>
    <w:rsid w:val="009D6A96"/>
    <w:rsid w:val="009D6B01"/>
    <w:rsid w:val="009D6DFA"/>
    <w:rsid w:val="009D6F4C"/>
    <w:rsid w:val="009D6FBE"/>
    <w:rsid w:val="009D720F"/>
    <w:rsid w:val="009D7596"/>
    <w:rsid w:val="009D77A2"/>
    <w:rsid w:val="009D7AF1"/>
    <w:rsid w:val="009D7F8D"/>
    <w:rsid w:val="009E0022"/>
    <w:rsid w:val="009E00F9"/>
    <w:rsid w:val="009E0331"/>
    <w:rsid w:val="009E03CB"/>
    <w:rsid w:val="009E08ED"/>
    <w:rsid w:val="009E132E"/>
    <w:rsid w:val="009E17B7"/>
    <w:rsid w:val="009E1898"/>
    <w:rsid w:val="009E1AE0"/>
    <w:rsid w:val="009E1C47"/>
    <w:rsid w:val="009E1CA3"/>
    <w:rsid w:val="009E1CCF"/>
    <w:rsid w:val="009E1D98"/>
    <w:rsid w:val="009E1F96"/>
    <w:rsid w:val="009E242E"/>
    <w:rsid w:val="009E25C9"/>
    <w:rsid w:val="009E29BB"/>
    <w:rsid w:val="009E304F"/>
    <w:rsid w:val="009E3213"/>
    <w:rsid w:val="009E4077"/>
    <w:rsid w:val="009E4185"/>
    <w:rsid w:val="009E4DB6"/>
    <w:rsid w:val="009E5457"/>
    <w:rsid w:val="009E5AC1"/>
    <w:rsid w:val="009E5EAF"/>
    <w:rsid w:val="009E5EF8"/>
    <w:rsid w:val="009E6719"/>
    <w:rsid w:val="009E6A7D"/>
    <w:rsid w:val="009E6C05"/>
    <w:rsid w:val="009E7397"/>
    <w:rsid w:val="009E75C9"/>
    <w:rsid w:val="009E7619"/>
    <w:rsid w:val="009E7953"/>
    <w:rsid w:val="009E7AE3"/>
    <w:rsid w:val="009F025C"/>
    <w:rsid w:val="009F03EE"/>
    <w:rsid w:val="009F0808"/>
    <w:rsid w:val="009F0C18"/>
    <w:rsid w:val="009F0E0D"/>
    <w:rsid w:val="009F11D9"/>
    <w:rsid w:val="009F1834"/>
    <w:rsid w:val="009F27BA"/>
    <w:rsid w:val="009F2B5E"/>
    <w:rsid w:val="009F2B5F"/>
    <w:rsid w:val="009F3627"/>
    <w:rsid w:val="009F37CE"/>
    <w:rsid w:val="009F3A99"/>
    <w:rsid w:val="009F4157"/>
    <w:rsid w:val="009F42D5"/>
    <w:rsid w:val="009F442A"/>
    <w:rsid w:val="009F4752"/>
    <w:rsid w:val="009F4864"/>
    <w:rsid w:val="009F4DBD"/>
    <w:rsid w:val="009F5295"/>
    <w:rsid w:val="009F5659"/>
    <w:rsid w:val="009F5E17"/>
    <w:rsid w:val="009F60C7"/>
    <w:rsid w:val="009F6A18"/>
    <w:rsid w:val="009F70B3"/>
    <w:rsid w:val="009F749C"/>
    <w:rsid w:val="00A000ED"/>
    <w:rsid w:val="00A003C3"/>
    <w:rsid w:val="00A00CFC"/>
    <w:rsid w:val="00A01311"/>
    <w:rsid w:val="00A013F1"/>
    <w:rsid w:val="00A0189F"/>
    <w:rsid w:val="00A01A5B"/>
    <w:rsid w:val="00A0264D"/>
    <w:rsid w:val="00A02B03"/>
    <w:rsid w:val="00A02B93"/>
    <w:rsid w:val="00A02ED3"/>
    <w:rsid w:val="00A0315B"/>
    <w:rsid w:val="00A03BAD"/>
    <w:rsid w:val="00A03F83"/>
    <w:rsid w:val="00A0436E"/>
    <w:rsid w:val="00A0451A"/>
    <w:rsid w:val="00A04630"/>
    <w:rsid w:val="00A04B33"/>
    <w:rsid w:val="00A04BD0"/>
    <w:rsid w:val="00A04EF6"/>
    <w:rsid w:val="00A04F5F"/>
    <w:rsid w:val="00A05188"/>
    <w:rsid w:val="00A05A07"/>
    <w:rsid w:val="00A05C34"/>
    <w:rsid w:val="00A05C39"/>
    <w:rsid w:val="00A06210"/>
    <w:rsid w:val="00A066C2"/>
    <w:rsid w:val="00A06810"/>
    <w:rsid w:val="00A06C39"/>
    <w:rsid w:val="00A06D74"/>
    <w:rsid w:val="00A07051"/>
    <w:rsid w:val="00A0718A"/>
    <w:rsid w:val="00A07514"/>
    <w:rsid w:val="00A075FA"/>
    <w:rsid w:val="00A07C10"/>
    <w:rsid w:val="00A07F74"/>
    <w:rsid w:val="00A100D5"/>
    <w:rsid w:val="00A10382"/>
    <w:rsid w:val="00A10522"/>
    <w:rsid w:val="00A10588"/>
    <w:rsid w:val="00A1064F"/>
    <w:rsid w:val="00A11557"/>
    <w:rsid w:val="00A11776"/>
    <w:rsid w:val="00A118DB"/>
    <w:rsid w:val="00A11E61"/>
    <w:rsid w:val="00A11EEE"/>
    <w:rsid w:val="00A124BB"/>
    <w:rsid w:val="00A124D7"/>
    <w:rsid w:val="00A125D2"/>
    <w:rsid w:val="00A127B4"/>
    <w:rsid w:val="00A12B5F"/>
    <w:rsid w:val="00A12B75"/>
    <w:rsid w:val="00A13015"/>
    <w:rsid w:val="00A136E0"/>
    <w:rsid w:val="00A1381A"/>
    <w:rsid w:val="00A13B0E"/>
    <w:rsid w:val="00A13FA1"/>
    <w:rsid w:val="00A141D3"/>
    <w:rsid w:val="00A148BE"/>
    <w:rsid w:val="00A14A4C"/>
    <w:rsid w:val="00A14E4D"/>
    <w:rsid w:val="00A15701"/>
    <w:rsid w:val="00A1576D"/>
    <w:rsid w:val="00A15B5D"/>
    <w:rsid w:val="00A16C01"/>
    <w:rsid w:val="00A17136"/>
    <w:rsid w:val="00A17336"/>
    <w:rsid w:val="00A17C2D"/>
    <w:rsid w:val="00A17CA5"/>
    <w:rsid w:val="00A17CC6"/>
    <w:rsid w:val="00A17CC8"/>
    <w:rsid w:val="00A17DF6"/>
    <w:rsid w:val="00A20099"/>
    <w:rsid w:val="00A202C6"/>
    <w:rsid w:val="00A207AD"/>
    <w:rsid w:val="00A20CBD"/>
    <w:rsid w:val="00A213FC"/>
    <w:rsid w:val="00A21CC2"/>
    <w:rsid w:val="00A21D1A"/>
    <w:rsid w:val="00A22185"/>
    <w:rsid w:val="00A221DC"/>
    <w:rsid w:val="00A2251E"/>
    <w:rsid w:val="00A24623"/>
    <w:rsid w:val="00A24678"/>
    <w:rsid w:val="00A24DF6"/>
    <w:rsid w:val="00A2507B"/>
    <w:rsid w:val="00A254A8"/>
    <w:rsid w:val="00A25A67"/>
    <w:rsid w:val="00A25BAB"/>
    <w:rsid w:val="00A25D84"/>
    <w:rsid w:val="00A2601A"/>
    <w:rsid w:val="00A2692D"/>
    <w:rsid w:val="00A26B1D"/>
    <w:rsid w:val="00A30415"/>
    <w:rsid w:val="00A30955"/>
    <w:rsid w:val="00A30974"/>
    <w:rsid w:val="00A30E36"/>
    <w:rsid w:val="00A30F09"/>
    <w:rsid w:val="00A31160"/>
    <w:rsid w:val="00A31697"/>
    <w:rsid w:val="00A31746"/>
    <w:rsid w:val="00A319B3"/>
    <w:rsid w:val="00A31C7C"/>
    <w:rsid w:val="00A31FB9"/>
    <w:rsid w:val="00A3212F"/>
    <w:rsid w:val="00A32233"/>
    <w:rsid w:val="00A3261C"/>
    <w:rsid w:val="00A328FC"/>
    <w:rsid w:val="00A32C66"/>
    <w:rsid w:val="00A33656"/>
    <w:rsid w:val="00A33762"/>
    <w:rsid w:val="00A33F6F"/>
    <w:rsid w:val="00A34868"/>
    <w:rsid w:val="00A34935"/>
    <w:rsid w:val="00A34C11"/>
    <w:rsid w:val="00A34D83"/>
    <w:rsid w:val="00A34E74"/>
    <w:rsid w:val="00A3599C"/>
    <w:rsid w:val="00A3607B"/>
    <w:rsid w:val="00A36123"/>
    <w:rsid w:val="00A366D9"/>
    <w:rsid w:val="00A36F56"/>
    <w:rsid w:val="00A37089"/>
    <w:rsid w:val="00A374FF"/>
    <w:rsid w:val="00A375DE"/>
    <w:rsid w:val="00A379ED"/>
    <w:rsid w:val="00A37E1B"/>
    <w:rsid w:val="00A408B2"/>
    <w:rsid w:val="00A409E3"/>
    <w:rsid w:val="00A40D18"/>
    <w:rsid w:val="00A41B75"/>
    <w:rsid w:val="00A41BBE"/>
    <w:rsid w:val="00A41C0A"/>
    <w:rsid w:val="00A41EFD"/>
    <w:rsid w:val="00A42001"/>
    <w:rsid w:val="00A427ED"/>
    <w:rsid w:val="00A428D5"/>
    <w:rsid w:val="00A42D5F"/>
    <w:rsid w:val="00A42DFF"/>
    <w:rsid w:val="00A435FF"/>
    <w:rsid w:val="00A438BE"/>
    <w:rsid w:val="00A438CC"/>
    <w:rsid w:val="00A439B6"/>
    <w:rsid w:val="00A43B65"/>
    <w:rsid w:val="00A43E0C"/>
    <w:rsid w:val="00A43E9C"/>
    <w:rsid w:val="00A43F8D"/>
    <w:rsid w:val="00A44615"/>
    <w:rsid w:val="00A45319"/>
    <w:rsid w:val="00A458DA"/>
    <w:rsid w:val="00A459F0"/>
    <w:rsid w:val="00A45DB3"/>
    <w:rsid w:val="00A45F78"/>
    <w:rsid w:val="00A46540"/>
    <w:rsid w:val="00A46B42"/>
    <w:rsid w:val="00A46CA9"/>
    <w:rsid w:val="00A472A8"/>
    <w:rsid w:val="00A47A03"/>
    <w:rsid w:val="00A47B29"/>
    <w:rsid w:val="00A47BB3"/>
    <w:rsid w:val="00A47F31"/>
    <w:rsid w:val="00A502E9"/>
    <w:rsid w:val="00A5047C"/>
    <w:rsid w:val="00A50560"/>
    <w:rsid w:val="00A50DCF"/>
    <w:rsid w:val="00A5165F"/>
    <w:rsid w:val="00A51684"/>
    <w:rsid w:val="00A516CD"/>
    <w:rsid w:val="00A517F7"/>
    <w:rsid w:val="00A524FA"/>
    <w:rsid w:val="00A528A5"/>
    <w:rsid w:val="00A529E9"/>
    <w:rsid w:val="00A52B2C"/>
    <w:rsid w:val="00A52C35"/>
    <w:rsid w:val="00A52C92"/>
    <w:rsid w:val="00A535CC"/>
    <w:rsid w:val="00A535ED"/>
    <w:rsid w:val="00A53C67"/>
    <w:rsid w:val="00A53DFB"/>
    <w:rsid w:val="00A5430F"/>
    <w:rsid w:val="00A54315"/>
    <w:rsid w:val="00A54490"/>
    <w:rsid w:val="00A54723"/>
    <w:rsid w:val="00A54C0E"/>
    <w:rsid w:val="00A54D93"/>
    <w:rsid w:val="00A54E2B"/>
    <w:rsid w:val="00A54EE1"/>
    <w:rsid w:val="00A559D9"/>
    <w:rsid w:val="00A55CAE"/>
    <w:rsid w:val="00A562B6"/>
    <w:rsid w:val="00A5635D"/>
    <w:rsid w:val="00A56502"/>
    <w:rsid w:val="00A56970"/>
    <w:rsid w:val="00A56E0C"/>
    <w:rsid w:val="00A56F1B"/>
    <w:rsid w:val="00A56FB8"/>
    <w:rsid w:val="00A571B2"/>
    <w:rsid w:val="00A571D0"/>
    <w:rsid w:val="00A57547"/>
    <w:rsid w:val="00A57597"/>
    <w:rsid w:val="00A57653"/>
    <w:rsid w:val="00A57CD6"/>
    <w:rsid w:val="00A6010A"/>
    <w:rsid w:val="00A60905"/>
    <w:rsid w:val="00A60D10"/>
    <w:rsid w:val="00A60DFB"/>
    <w:rsid w:val="00A60E8D"/>
    <w:rsid w:val="00A6117C"/>
    <w:rsid w:val="00A62160"/>
    <w:rsid w:val="00A627DA"/>
    <w:rsid w:val="00A62DD4"/>
    <w:rsid w:val="00A63134"/>
    <w:rsid w:val="00A633E0"/>
    <w:rsid w:val="00A63637"/>
    <w:rsid w:val="00A63AFA"/>
    <w:rsid w:val="00A63E5D"/>
    <w:rsid w:val="00A64649"/>
    <w:rsid w:val="00A6488D"/>
    <w:rsid w:val="00A64ACC"/>
    <w:rsid w:val="00A65374"/>
    <w:rsid w:val="00A656C6"/>
    <w:rsid w:val="00A657D3"/>
    <w:rsid w:val="00A65854"/>
    <w:rsid w:val="00A65E82"/>
    <w:rsid w:val="00A66444"/>
    <w:rsid w:val="00A670CC"/>
    <w:rsid w:val="00A673ED"/>
    <w:rsid w:val="00A673FC"/>
    <w:rsid w:val="00A67872"/>
    <w:rsid w:val="00A67919"/>
    <w:rsid w:val="00A6791A"/>
    <w:rsid w:val="00A67F48"/>
    <w:rsid w:val="00A701D3"/>
    <w:rsid w:val="00A7027E"/>
    <w:rsid w:val="00A7076A"/>
    <w:rsid w:val="00A70A09"/>
    <w:rsid w:val="00A70BC2"/>
    <w:rsid w:val="00A70BF5"/>
    <w:rsid w:val="00A7143D"/>
    <w:rsid w:val="00A718BC"/>
    <w:rsid w:val="00A71A77"/>
    <w:rsid w:val="00A721FE"/>
    <w:rsid w:val="00A724FA"/>
    <w:rsid w:val="00A7275C"/>
    <w:rsid w:val="00A72A56"/>
    <w:rsid w:val="00A72BFC"/>
    <w:rsid w:val="00A7343A"/>
    <w:rsid w:val="00A73562"/>
    <w:rsid w:val="00A73B30"/>
    <w:rsid w:val="00A73B36"/>
    <w:rsid w:val="00A73C31"/>
    <w:rsid w:val="00A73E3F"/>
    <w:rsid w:val="00A73EBF"/>
    <w:rsid w:val="00A73F40"/>
    <w:rsid w:val="00A73FAA"/>
    <w:rsid w:val="00A741CE"/>
    <w:rsid w:val="00A743E8"/>
    <w:rsid w:val="00A74869"/>
    <w:rsid w:val="00A74DAC"/>
    <w:rsid w:val="00A74F7C"/>
    <w:rsid w:val="00A75171"/>
    <w:rsid w:val="00A7544A"/>
    <w:rsid w:val="00A7557E"/>
    <w:rsid w:val="00A75CE5"/>
    <w:rsid w:val="00A76181"/>
    <w:rsid w:val="00A76272"/>
    <w:rsid w:val="00A76946"/>
    <w:rsid w:val="00A77161"/>
    <w:rsid w:val="00A774EF"/>
    <w:rsid w:val="00A77877"/>
    <w:rsid w:val="00A80714"/>
    <w:rsid w:val="00A8090F"/>
    <w:rsid w:val="00A80954"/>
    <w:rsid w:val="00A80E8C"/>
    <w:rsid w:val="00A81DD3"/>
    <w:rsid w:val="00A81E91"/>
    <w:rsid w:val="00A81EE5"/>
    <w:rsid w:val="00A82897"/>
    <w:rsid w:val="00A82B7A"/>
    <w:rsid w:val="00A83FA5"/>
    <w:rsid w:val="00A84CE7"/>
    <w:rsid w:val="00A84CEA"/>
    <w:rsid w:val="00A84D78"/>
    <w:rsid w:val="00A84F03"/>
    <w:rsid w:val="00A851F7"/>
    <w:rsid w:val="00A854B3"/>
    <w:rsid w:val="00A854BE"/>
    <w:rsid w:val="00A854C2"/>
    <w:rsid w:val="00A85F94"/>
    <w:rsid w:val="00A8698E"/>
    <w:rsid w:val="00A8710E"/>
    <w:rsid w:val="00A872E5"/>
    <w:rsid w:val="00A8739C"/>
    <w:rsid w:val="00A87C61"/>
    <w:rsid w:val="00A87F70"/>
    <w:rsid w:val="00A902A5"/>
    <w:rsid w:val="00A9054A"/>
    <w:rsid w:val="00A90937"/>
    <w:rsid w:val="00A90AD8"/>
    <w:rsid w:val="00A912E1"/>
    <w:rsid w:val="00A91652"/>
    <w:rsid w:val="00A9178B"/>
    <w:rsid w:val="00A91B53"/>
    <w:rsid w:val="00A92870"/>
    <w:rsid w:val="00A9294D"/>
    <w:rsid w:val="00A930DA"/>
    <w:rsid w:val="00A9326F"/>
    <w:rsid w:val="00A93716"/>
    <w:rsid w:val="00A937FC"/>
    <w:rsid w:val="00A93966"/>
    <w:rsid w:val="00A94008"/>
    <w:rsid w:val="00A94413"/>
    <w:rsid w:val="00A95035"/>
    <w:rsid w:val="00A95194"/>
    <w:rsid w:val="00A9587B"/>
    <w:rsid w:val="00A95B72"/>
    <w:rsid w:val="00A95DF6"/>
    <w:rsid w:val="00A9710A"/>
    <w:rsid w:val="00A97243"/>
    <w:rsid w:val="00A972CB"/>
    <w:rsid w:val="00A9769C"/>
    <w:rsid w:val="00A97BB2"/>
    <w:rsid w:val="00A97C72"/>
    <w:rsid w:val="00AA03E6"/>
    <w:rsid w:val="00AA0794"/>
    <w:rsid w:val="00AA07FB"/>
    <w:rsid w:val="00AA0C34"/>
    <w:rsid w:val="00AA16CB"/>
    <w:rsid w:val="00AA1C3B"/>
    <w:rsid w:val="00AA1DEE"/>
    <w:rsid w:val="00AA1FB7"/>
    <w:rsid w:val="00AA2244"/>
    <w:rsid w:val="00AA2349"/>
    <w:rsid w:val="00AA26CA"/>
    <w:rsid w:val="00AA2BAA"/>
    <w:rsid w:val="00AA333C"/>
    <w:rsid w:val="00AA3745"/>
    <w:rsid w:val="00AA3A79"/>
    <w:rsid w:val="00AA4398"/>
    <w:rsid w:val="00AA4581"/>
    <w:rsid w:val="00AA4804"/>
    <w:rsid w:val="00AA57A4"/>
    <w:rsid w:val="00AA583C"/>
    <w:rsid w:val="00AA5A67"/>
    <w:rsid w:val="00AA5D2E"/>
    <w:rsid w:val="00AA5D7F"/>
    <w:rsid w:val="00AA5ECC"/>
    <w:rsid w:val="00AA601F"/>
    <w:rsid w:val="00AA6188"/>
    <w:rsid w:val="00AA6360"/>
    <w:rsid w:val="00AA6528"/>
    <w:rsid w:val="00AA7737"/>
    <w:rsid w:val="00AA7938"/>
    <w:rsid w:val="00AA7D89"/>
    <w:rsid w:val="00AA7D8B"/>
    <w:rsid w:val="00AB0047"/>
    <w:rsid w:val="00AB0C0A"/>
    <w:rsid w:val="00AB0CEF"/>
    <w:rsid w:val="00AB1200"/>
    <w:rsid w:val="00AB1282"/>
    <w:rsid w:val="00AB137E"/>
    <w:rsid w:val="00AB143A"/>
    <w:rsid w:val="00AB24A5"/>
    <w:rsid w:val="00AB2DAE"/>
    <w:rsid w:val="00AB3449"/>
    <w:rsid w:val="00AB39F5"/>
    <w:rsid w:val="00AB3D4D"/>
    <w:rsid w:val="00AB4025"/>
    <w:rsid w:val="00AB4E4E"/>
    <w:rsid w:val="00AB4F53"/>
    <w:rsid w:val="00AB5047"/>
    <w:rsid w:val="00AB581D"/>
    <w:rsid w:val="00AB5C85"/>
    <w:rsid w:val="00AB5D4F"/>
    <w:rsid w:val="00AB5D6A"/>
    <w:rsid w:val="00AB5F16"/>
    <w:rsid w:val="00AB6911"/>
    <w:rsid w:val="00AB69A4"/>
    <w:rsid w:val="00AB71F3"/>
    <w:rsid w:val="00AB72D5"/>
    <w:rsid w:val="00AB739E"/>
    <w:rsid w:val="00AB7611"/>
    <w:rsid w:val="00AB76B3"/>
    <w:rsid w:val="00AB7943"/>
    <w:rsid w:val="00AB7BA7"/>
    <w:rsid w:val="00AC0051"/>
    <w:rsid w:val="00AC02CC"/>
    <w:rsid w:val="00AC03DC"/>
    <w:rsid w:val="00AC05F2"/>
    <w:rsid w:val="00AC098A"/>
    <w:rsid w:val="00AC0C10"/>
    <w:rsid w:val="00AC0D6D"/>
    <w:rsid w:val="00AC14F0"/>
    <w:rsid w:val="00AC15F0"/>
    <w:rsid w:val="00AC1777"/>
    <w:rsid w:val="00AC177A"/>
    <w:rsid w:val="00AC19B2"/>
    <w:rsid w:val="00AC1CCF"/>
    <w:rsid w:val="00AC1CEA"/>
    <w:rsid w:val="00AC1D79"/>
    <w:rsid w:val="00AC2274"/>
    <w:rsid w:val="00AC238F"/>
    <w:rsid w:val="00AC2798"/>
    <w:rsid w:val="00AC27C0"/>
    <w:rsid w:val="00AC2F1D"/>
    <w:rsid w:val="00AC34AB"/>
    <w:rsid w:val="00AC34D2"/>
    <w:rsid w:val="00AC3549"/>
    <w:rsid w:val="00AC379F"/>
    <w:rsid w:val="00AC3810"/>
    <w:rsid w:val="00AC3C4C"/>
    <w:rsid w:val="00AC3E5D"/>
    <w:rsid w:val="00AC3F42"/>
    <w:rsid w:val="00AC4E0E"/>
    <w:rsid w:val="00AC52A4"/>
    <w:rsid w:val="00AC5A1A"/>
    <w:rsid w:val="00AC5A9A"/>
    <w:rsid w:val="00AC63BC"/>
    <w:rsid w:val="00AC6739"/>
    <w:rsid w:val="00AC6CCF"/>
    <w:rsid w:val="00AC6F03"/>
    <w:rsid w:val="00AC7079"/>
    <w:rsid w:val="00AC73A9"/>
    <w:rsid w:val="00AC7A44"/>
    <w:rsid w:val="00AD0069"/>
    <w:rsid w:val="00AD0A62"/>
    <w:rsid w:val="00AD0BB4"/>
    <w:rsid w:val="00AD106A"/>
    <w:rsid w:val="00AD2C72"/>
    <w:rsid w:val="00AD2FC6"/>
    <w:rsid w:val="00AD3457"/>
    <w:rsid w:val="00AD363A"/>
    <w:rsid w:val="00AD3876"/>
    <w:rsid w:val="00AD39B5"/>
    <w:rsid w:val="00AD3B65"/>
    <w:rsid w:val="00AD3CD3"/>
    <w:rsid w:val="00AD4501"/>
    <w:rsid w:val="00AD46B3"/>
    <w:rsid w:val="00AD4AF2"/>
    <w:rsid w:val="00AD4CEA"/>
    <w:rsid w:val="00AD57B0"/>
    <w:rsid w:val="00AD5BB9"/>
    <w:rsid w:val="00AD5CC7"/>
    <w:rsid w:val="00AD5E6D"/>
    <w:rsid w:val="00AD637B"/>
    <w:rsid w:val="00AD65A9"/>
    <w:rsid w:val="00AD6955"/>
    <w:rsid w:val="00AD699D"/>
    <w:rsid w:val="00AD7165"/>
    <w:rsid w:val="00AD7AC2"/>
    <w:rsid w:val="00AE0190"/>
    <w:rsid w:val="00AE0558"/>
    <w:rsid w:val="00AE05EA"/>
    <w:rsid w:val="00AE0621"/>
    <w:rsid w:val="00AE063F"/>
    <w:rsid w:val="00AE0823"/>
    <w:rsid w:val="00AE0B4F"/>
    <w:rsid w:val="00AE0ED5"/>
    <w:rsid w:val="00AE134B"/>
    <w:rsid w:val="00AE23ED"/>
    <w:rsid w:val="00AE258F"/>
    <w:rsid w:val="00AE2DB6"/>
    <w:rsid w:val="00AE324E"/>
    <w:rsid w:val="00AE3464"/>
    <w:rsid w:val="00AE352F"/>
    <w:rsid w:val="00AE39FF"/>
    <w:rsid w:val="00AE3A61"/>
    <w:rsid w:val="00AE3A7B"/>
    <w:rsid w:val="00AE4077"/>
    <w:rsid w:val="00AE4097"/>
    <w:rsid w:val="00AE4540"/>
    <w:rsid w:val="00AE4936"/>
    <w:rsid w:val="00AE4C36"/>
    <w:rsid w:val="00AE522F"/>
    <w:rsid w:val="00AE551B"/>
    <w:rsid w:val="00AE578C"/>
    <w:rsid w:val="00AE5C43"/>
    <w:rsid w:val="00AE5CC5"/>
    <w:rsid w:val="00AE636B"/>
    <w:rsid w:val="00AE6882"/>
    <w:rsid w:val="00AE68E8"/>
    <w:rsid w:val="00AE72A8"/>
    <w:rsid w:val="00AE72DA"/>
    <w:rsid w:val="00AE7391"/>
    <w:rsid w:val="00AE74FF"/>
    <w:rsid w:val="00AE79B7"/>
    <w:rsid w:val="00AF0603"/>
    <w:rsid w:val="00AF08B1"/>
    <w:rsid w:val="00AF09A9"/>
    <w:rsid w:val="00AF0AC4"/>
    <w:rsid w:val="00AF11F0"/>
    <w:rsid w:val="00AF1491"/>
    <w:rsid w:val="00AF2294"/>
    <w:rsid w:val="00AF24EF"/>
    <w:rsid w:val="00AF2D2A"/>
    <w:rsid w:val="00AF2E2A"/>
    <w:rsid w:val="00AF3270"/>
    <w:rsid w:val="00AF352A"/>
    <w:rsid w:val="00AF363C"/>
    <w:rsid w:val="00AF36FE"/>
    <w:rsid w:val="00AF374C"/>
    <w:rsid w:val="00AF39E6"/>
    <w:rsid w:val="00AF4968"/>
    <w:rsid w:val="00AF52CB"/>
    <w:rsid w:val="00AF52FE"/>
    <w:rsid w:val="00AF5308"/>
    <w:rsid w:val="00AF589D"/>
    <w:rsid w:val="00AF59BB"/>
    <w:rsid w:val="00AF5F8E"/>
    <w:rsid w:val="00AF604C"/>
    <w:rsid w:val="00AF60A7"/>
    <w:rsid w:val="00AF6246"/>
    <w:rsid w:val="00AF641D"/>
    <w:rsid w:val="00AF6973"/>
    <w:rsid w:val="00AF6E5C"/>
    <w:rsid w:val="00AF72BB"/>
    <w:rsid w:val="00AF7309"/>
    <w:rsid w:val="00AF7598"/>
    <w:rsid w:val="00AF79A6"/>
    <w:rsid w:val="00AF7B97"/>
    <w:rsid w:val="00AF7CAC"/>
    <w:rsid w:val="00B008BB"/>
    <w:rsid w:val="00B00D60"/>
    <w:rsid w:val="00B00F6C"/>
    <w:rsid w:val="00B0163F"/>
    <w:rsid w:val="00B0184B"/>
    <w:rsid w:val="00B01F4A"/>
    <w:rsid w:val="00B02348"/>
    <w:rsid w:val="00B02C12"/>
    <w:rsid w:val="00B045C8"/>
    <w:rsid w:val="00B0486D"/>
    <w:rsid w:val="00B04B66"/>
    <w:rsid w:val="00B050C7"/>
    <w:rsid w:val="00B05345"/>
    <w:rsid w:val="00B0555C"/>
    <w:rsid w:val="00B05AB5"/>
    <w:rsid w:val="00B06428"/>
    <w:rsid w:val="00B06461"/>
    <w:rsid w:val="00B068E1"/>
    <w:rsid w:val="00B069DE"/>
    <w:rsid w:val="00B06E45"/>
    <w:rsid w:val="00B06F29"/>
    <w:rsid w:val="00B07B32"/>
    <w:rsid w:val="00B103CE"/>
    <w:rsid w:val="00B10818"/>
    <w:rsid w:val="00B10AFE"/>
    <w:rsid w:val="00B10B34"/>
    <w:rsid w:val="00B1103F"/>
    <w:rsid w:val="00B11DB4"/>
    <w:rsid w:val="00B1219E"/>
    <w:rsid w:val="00B124DC"/>
    <w:rsid w:val="00B12A2E"/>
    <w:rsid w:val="00B12EE8"/>
    <w:rsid w:val="00B130A8"/>
    <w:rsid w:val="00B13D95"/>
    <w:rsid w:val="00B14424"/>
    <w:rsid w:val="00B144F5"/>
    <w:rsid w:val="00B14539"/>
    <w:rsid w:val="00B1459F"/>
    <w:rsid w:val="00B1497A"/>
    <w:rsid w:val="00B14E1B"/>
    <w:rsid w:val="00B15196"/>
    <w:rsid w:val="00B1527E"/>
    <w:rsid w:val="00B15B45"/>
    <w:rsid w:val="00B15CA3"/>
    <w:rsid w:val="00B160C9"/>
    <w:rsid w:val="00B1626E"/>
    <w:rsid w:val="00B16288"/>
    <w:rsid w:val="00B16B5F"/>
    <w:rsid w:val="00B16CF4"/>
    <w:rsid w:val="00B16EF2"/>
    <w:rsid w:val="00B16F09"/>
    <w:rsid w:val="00B16F63"/>
    <w:rsid w:val="00B1710E"/>
    <w:rsid w:val="00B1758A"/>
    <w:rsid w:val="00B175F6"/>
    <w:rsid w:val="00B17E63"/>
    <w:rsid w:val="00B20370"/>
    <w:rsid w:val="00B20844"/>
    <w:rsid w:val="00B219D2"/>
    <w:rsid w:val="00B21D95"/>
    <w:rsid w:val="00B2242D"/>
    <w:rsid w:val="00B224F5"/>
    <w:rsid w:val="00B2285A"/>
    <w:rsid w:val="00B22C26"/>
    <w:rsid w:val="00B22FD1"/>
    <w:rsid w:val="00B2361A"/>
    <w:rsid w:val="00B23AA6"/>
    <w:rsid w:val="00B23CC0"/>
    <w:rsid w:val="00B242A7"/>
    <w:rsid w:val="00B243FE"/>
    <w:rsid w:val="00B244E8"/>
    <w:rsid w:val="00B2460A"/>
    <w:rsid w:val="00B246F8"/>
    <w:rsid w:val="00B24BB0"/>
    <w:rsid w:val="00B24DF7"/>
    <w:rsid w:val="00B25114"/>
    <w:rsid w:val="00B258D1"/>
    <w:rsid w:val="00B25982"/>
    <w:rsid w:val="00B25E7D"/>
    <w:rsid w:val="00B26153"/>
    <w:rsid w:val="00B26463"/>
    <w:rsid w:val="00B26F9A"/>
    <w:rsid w:val="00B2799E"/>
    <w:rsid w:val="00B30193"/>
    <w:rsid w:val="00B301BF"/>
    <w:rsid w:val="00B30E04"/>
    <w:rsid w:val="00B3139D"/>
    <w:rsid w:val="00B317D0"/>
    <w:rsid w:val="00B3182D"/>
    <w:rsid w:val="00B31D7D"/>
    <w:rsid w:val="00B32095"/>
    <w:rsid w:val="00B32918"/>
    <w:rsid w:val="00B32978"/>
    <w:rsid w:val="00B3308C"/>
    <w:rsid w:val="00B330E4"/>
    <w:rsid w:val="00B33351"/>
    <w:rsid w:val="00B33B63"/>
    <w:rsid w:val="00B33B80"/>
    <w:rsid w:val="00B345FD"/>
    <w:rsid w:val="00B34859"/>
    <w:rsid w:val="00B34925"/>
    <w:rsid w:val="00B349C5"/>
    <w:rsid w:val="00B34C13"/>
    <w:rsid w:val="00B34CA9"/>
    <w:rsid w:val="00B34CC6"/>
    <w:rsid w:val="00B3533C"/>
    <w:rsid w:val="00B355E5"/>
    <w:rsid w:val="00B3575A"/>
    <w:rsid w:val="00B35D34"/>
    <w:rsid w:val="00B35D57"/>
    <w:rsid w:val="00B35EEF"/>
    <w:rsid w:val="00B36274"/>
    <w:rsid w:val="00B3638B"/>
    <w:rsid w:val="00B36533"/>
    <w:rsid w:val="00B36A53"/>
    <w:rsid w:val="00B37442"/>
    <w:rsid w:val="00B37471"/>
    <w:rsid w:val="00B37B2D"/>
    <w:rsid w:val="00B40159"/>
    <w:rsid w:val="00B4074E"/>
    <w:rsid w:val="00B40784"/>
    <w:rsid w:val="00B40AEF"/>
    <w:rsid w:val="00B40CE8"/>
    <w:rsid w:val="00B41754"/>
    <w:rsid w:val="00B41E7C"/>
    <w:rsid w:val="00B41FB4"/>
    <w:rsid w:val="00B42049"/>
    <w:rsid w:val="00B42830"/>
    <w:rsid w:val="00B42858"/>
    <w:rsid w:val="00B42A3D"/>
    <w:rsid w:val="00B42BEA"/>
    <w:rsid w:val="00B42CFA"/>
    <w:rsid w:val="00B431C0"/>
    <w:rsid w:val="00B435B3"/>
    <w:rsid w:val="00B436B9"/>
    <w:rsid w:val="00B43E5A"/>
    <w:rsid w:val="00B43F46"/>
    <w:rsid w:val="00B444F1"/>
    <w:rsid w:val="00B448B9"/>
    <w:rsid w:val="00B4492B"/>
    <w:rsid w:val="00B44F2F"/>
    <w:rsid w:val="00B45BF7"/>
    <w:rsid w:val="00B45CD5"/>
    <w:rsid w:val="00B45EDB"/>
    <w:rsid w:val="00B45F34"/>
    <w:rsid w:val="00B45FD4"/>
    <w:rsid w:val="00B46481"/>
    <w:rsid w:val="00B467A7"/>
    <w:rsid w:val="00B4680F"/>
    <w:rsid w:val="00B46FA2"/>
    <w:rsid w:val="00B4780B"/>
    <w:rsid w:val="00B50023"/>
    <w:rsid w:val="00B50697"/>
    <w:rsid w:val="00B5101E"/>
    <w:rsid w:val="00B51521"/>
    <w:rsid w:val="00B518E1"/>
    <w:rsid w:val="00B528CA"/>
    <w:rsid w:val="00B52A32"/>
    <w:rsid w:val="00B52A33"/>
    <w:rsid w:val="00B52CAE"/>
    <w:rsid w:val="00B5325B"/>
    <w:rsid w:val="00B532EF"/>
    <w:rsid w:val="00B53718"/>
    <w:rsid w:val="00B539D4"/>
    <w:rsid w:val="00B53C93"/>
    <w:rsid w:val="00B54751"/>
    <w:rsid w:val="00B54941"/>
    <w:rsid w:val="00B54B1C"/>
    <w:rsid w:val="00B54DBF"/>
    <w:rsid w:val="00B54DFB"/>
    <w:rsid w:val="00B54F02"/>
    <w:rsid w:val="00B54FAE"/>
    <w:rsid w:val="00B5520A"/>
    <w:rsid w:val="00B555DB"/>
    <w:rsid w:val="00B5595D"/>
    <w:rsid w:val="00B559C7"/>
    <w:rsid w:val="00B55A77"/>
    <w:rsid w:val="00B55F57"/>
    <w:rsid w:val="00B56196"/>
    <w:rsid w:val="00B56EF0"/>
    <w:rsid w:val="00B570D4"/>
    <w:rsid w:val="00B57215"/>
    <w:rsid w:val="00B57410"/>
    <w:rsid w:val="00B57423"/>
    <w:rsid w:val="00B57735"/>
    <w:rsid w:val="00B57B8E"/>
    <w:rsid w:val="00B57F0C"/>
    <w:rsid w:val="00B60081"/>
    <w:rsid w:val="00B60A1B"/>
    <w:rsid w:val="00B60C26"/>
    <w:rsid w:val="00B610EB"/>
    <w:rsid w:val="00B61862"/>
    <w:rsid w:val="00B61A22"/>
    <w:rsid w:val="00B61D57"/>
    <w:rsid w:val="00B61DEB"/>
    <w:rsid w:val="00B620E7"/>
    <w:rsid w:val="00B62224"/>
    <w:rsid w:val="00B626CF"/>
    <w:rsid w:val="00B62B3F"/>
    <w:rsid w:val="00B62F57"/>
    <w:rsid w:val="00B63073"/>
    <w:rsid w:val="00B63CB7"/>
    <w:rsid w:val="00B640DD"/>
    <w:rsid w:val="00B64181"/>
    <w:rsid w:val="00B6456E"/>
    <w:rsid w:val="00B647FB"/>
    <w:rsid w:val="00B648FD"/>
    <w:rsid w:val="00B64ACE"/>
    <w:rsid w:val="00B64BEE"/>
    <w:rsid w:val="00B64D4A"/>
    <w:rsid w:val="00B650D4"/>
    <w:rsid w:val="00B65574"/>
    <w:rsid w:val="00B65E77"/>
    <w:rsid w:val="00B65FC9"/>
    <w:rsid w:val="00B66050"/>
    <w:rsid w:val="00B661AC"/>
    <w:rsid w:val="00B66633"/>
    <w:rsid w:val="00B66840"/>
    <w:rsid w:val="00B66D49"/>
    <w:rsid w:val="00B66E28"/>
    <w:rsid w:val="00B67290"/>
    <w:rsid w:val="00B6794A"/>
    <w:rsid w:val="00B67C46"/>
    <w:rsid w:val="00B67D2F"/>
    <w:rsid w:val="00B70180"/>
    <w:rsid w:val="00B708FF"/>
    <w:rsid w:val="00B70B20"/>
    <w:rsid w:val="00B70C4E"/>
    <w:rsid w:val="00B70E6A"/>
    <w:rsid w:val="00B71347"/>
    <w:rsid w:val="00B71A09"/>
    <w:rsid w:val="00B71A94"/>
    <w:rsid w:val="00B71AB5"/>
    <w:rsid w:val="00B722FC"/>
    <w:rsid w:val="00B72402"/>
    <w:rsid w:val="00B724A6"/>
    <w:rsid w:val="00B730DA"/>
    <w:rsid w:val="00B736E1"/>
    <w:rsid w:val="00B73BBB"/>
    <w:rsid w:val="00B73CA9"/>
    <w:rsid w:val="00B7495F"/>
    <w:rsid w:val="00B74AEE"/>
    <w:rsid w:val="00B74EF5"/>
    <w:rsid w:val="00B74F97"/>
    <w:rsid w:val="00B74FD0"/>
    <w:rsid w:val="00B751C1"/>
    <w:rsid w:val="00B755D3"/>
    <w:rsid w:val="00B755F3"/>
    <w:rsid w:val="00B75952"/>
    <w:rsid w:val="00B75DAB"/>
    <w:rsid w:val="00B7609F"/>
    <w:rsid w:val="00B7616F"/>
    <w:rsid w:val="00B76639"/>
    <w:rsid w:val="00B76646"/>
    <w:rsid w:val="00B76D20"/>
    <w:rsid w:val="00B76EFA"/>
    <w:rsid w:val="00B77188"/>
    <w:rsid w:val="00B77286"/>
    <w:rsid w:val="00B77463"/>
    <w:rsid w:val="00B7792A"/>
    <w:rsid w:val="00B8000F"/>
    <w:rsid w:val="00B80BB4"/>
    <w:rsid w:val="00B80C16"/>
    <w:rsid w:val="00B81C0E"/>
    <w:rsid w:val="00B81C37"/>
    <w:rsid w:val="00B820B8"/>
    <w:rsid w:val="00B824EE"/>
    <w:rsid w:val="00B82610"/>
    <w:rsid w:val="00B82684"/>
    <w:rsid w:val="00B831BA"/>
    <w:rsid w:val="00B8329D"/>
    <w:rsid w:val="00B837D0"/>
    <w:rsid w:val="00B839A0"/>
    <w:rsid w:val="00B8408A"/>
    <w:rsid w:val="00B8444B"/>
    <w:rsid w:val="00B8460E"/>
    <w:rsid w:val="00B848C2"/>
    <w:rsid w:val="00B84D9D"/>
    <w:rsid w:val="00B84DDF"/>
    <w:rsid w:val="00B85629"/>
    <w:rsid w:val="00B85E88"/>
    <w:rsid w:val="00B864EC"/>
    <w:rsid w:val="00B866E0"/>
    <w:rsid w:val="00B868F4"/>
    <w:rsid w:val="00B86DEE"/>
    <w:rsid w:val="00B87056"/>
    <w:rsid w:val="00B875AE"/>
    <w:rsid w:val="00B87B6A"/>
    <w:rsid w:val="00B87D58"/>
    <w:rsid w:val="00B87F51"/>
    <w:rsid w:val="00B9003B"/>
    <w:rsid w:val="00B90497"/>
    <w:rsid w:val="00B90714"/>
    <w:rsid w:val="00B90B49"/>
    <w:rsid w:val="00B911DD"/>
    <w:rsid w:val="00B9156D"/>
    <w:rsid w:val="00B91799"/>
    <w:rsid w:val="00B91844"/>
    <w:rsid w:val="00B91936"/>
    <w:rsid w:val="00B91B32"/>
    <w:rsid w:val="00B91BE8"/>
    <w:rsid w:val="00B91D13"/>
    <w:rsid w:val="00B921DC"/>
    <w:rsid w:val="00B92674"/>
    <w:rsid w:val="00B92861"/>
    <w:rsid w:val="00B92FD3"/>
    <w:rsid w:val="00B9321C"/>
    <w:rsid w:val="00B93434"/>
    <w:rsid w:val="00B93D50"/>
    <w:rsid w:val="00B93E54"/>
    <w:rsid w:val="00B941D1"/>
    <w:rsid w:val="00B94654"/>
    <w:rsid w:val="00B9471C"/>
    <w:rsid w:val="00B949F6"/>
    <w:rsid w:val="00B9522A"/>
    <w:rsid w:val="00B95982"/>
    <w:rsid w:val="00B95CF0"/>
    <w:rsid w:val="00B96E6A"/>
    <w:rsid w:val="00B97173"/>
    <w:rsid w:val="00B971FE"/>
    <w:rsid w:val="00B97303"/>
    <w:rsid w:val="00B97A31"/>
    <w:rsid w:val="00B97B29"/>
    <w:rsid w:val="00B97D90"/>
    <w:rsid w:val="00BA0074"/>
    <w:rsid w:val="00BA022F"/>
    <w:rsid w:val="00BA0541"/>
    <w:rsid w:val="00BA07AC"/>
    <w:rsid w:val="00BA10B8"/>
    <w:rsid w:val="00BA1118"/>
    <w:rsid w:val="00BA1570"/>
    <w:rsid w:val="00BA15CD"/>
    <w:rsid w:val="00BA1671"/>
    <w:rsid w:val="00BA19B2"/>
    <w:rsid w:val="00BA1BA2"/>
    <w:rsid w:val="00BA208B"/>
    <w:rsid w:val="00BA2370"/>
    <w:rsid w:val="00BA2E2F"/>
    <w:rsid w:val="00BA32D6"/>
    <w:rsid w:val="00BA3ADA"/>
    <w:rsid w:val="00BA3B16"/>
    <w:rsid w:val="00BA3C25"/>
    <w:rsid w:val="00BA3D9A"/>
    <w:rsid w:val="00BA3DFA"/>
    <w:rsid w:val="00BA3E06"/>
    <w:rsid w:val="00BA416C"/>
    <w:rsid w:val="00BA4249"/>
    <w:rsid w:val="00BA42B4"/>
    <w:rsid w:val="00BA434C"/>
    <w:rsid w:val="00BA4418"/>
    <w:rsid w:val="00BA4601"/>
    <w:rsid w:val="00BA47F2"/>
    <w:rsid w:val="00BA4C8F"/>
    <w:rsid w:val="00BA4D05"/>
    <w:rsid w:val="00BA5143"/>
    <w:rsid w:val="00BA5686"/>
    <w:rsid w:val="00BA56FB"/>
    <w:rsid w:val="00BA5A9B"/>
    <w:rsid w:val="00BA5AA7"/>
    <w:rsid w:val="00BA5B92"/>
    <w:rsid w:val="00BA6168"/>
    <w:rsid w:val="00BA7C65"/>
    <w:rsid w:val="00BA7CA3"/>
    <w:rsid w:val="00BB0237"/>
    <w:rsid w:val="00BB0292"/>
    <w:rsid w:val="00BB07A3"/>
    <w:rsid w:val="00BB098F"/>
    <w:rsid w:val="00BB11F5"/>
    <w:rsid w:val="00BB13D2"/>
    <w:rsid w:val="00BB17F6"/>
    <w:rsid w:val="00BB1E63"/>
    <w:rsid w:val="00BB1EDA"/>
    <w:rsid w:val="00BB25D8"/>
    <w:rsid w:val="00BB2CEF"/>
    <w:rsid w:val="00BB2DA6"/>
    <w:rsid w:val="00BB3305"/>
    <w:rsid w:val="00BB360E"/>
    <w:rsid w:val="00BB3642"/>
    <w:rsid w:val="00BB3ADD"/>
    <w:rsid w:val="00BB3CF6"/>
    <w:rsid w:val="00BB4002"/>
    <w:rsid w:val="00BB463C"/>
    <w:rsid w:val="00BB47FC"/>
    <w:rsid w:val="00BB4A31"/>
    <w:rsid w:val="00BB4BBA"/>
    <w:rsid w:val="00BB4D6E"/>
    <w:rsid w:val="00BB4E77"/>
    <w:rsid w:val="00BB4EAD"/>
    <w:rsid w:val="00BB50CE"/>
    <w:rsid w:val="00BB5323"/>
    <w:rsid w:val="00BB5434"/>
    <w:rsid w:val="00BB57BC"/>
    <w:rsid w:val="00BB5A1B"/>
    <w:rsid w:val="00BB5D4F"/>
    <w:rsid w:val="00BB5FBF"/>
    <w:rsid w:val="00BB603C"/>
    <w:rsid w:val="00BB6246"/>
    <w:rsid w:val="00BB6363"/>
    <w:rsid w:val="00BB6494"/>
    <w:rsid w:val="00BB65A1"/>
    <w:rsid w:val="00BB6EF2"/>
    <w:rsid w:val="00BB73E8"/>
    <w:rsid w:val="00BB7762"/>
    <w:rsid w:val="00BB78B6"/>
    <w:rsid w:val="00BB795E"/>
    <w:rsid w:val="00BB7A5B"/>
    <w:rsid w:val="00BB7AEB"/>
    <w:rsid w:val="00BB7D1D"/>
    <w:rsid w:val="00BB7F0A"/>
    <w:rsid w:val="00BB7F6F"/>
    <w:rsid w:val="00BB7FD3"/>
    <w:rsid w:val="00BC0954"/>
    <w:rsid w:val="00BC0A36"/>
    <w:rsid w:val="00BC0E1C"/>
    <w:rsid w:val="00BC1119"/>
    <w:rsid w:val="00BC11B7"/>
    <w:rsid w:val="00BC2A16"/>
    <w:rsid w:val="00BC2DD3"/>
    <w:rsid w:val="00BC30FC"/>
    <w:rsid w:val="00BC32D9"/>
    <w:rsid w:val="00BC3B00"/>
    <w:rsid w:val="00BC3ECF"/>
    <w:rsid w:val="00BC43F2"/>
    <w:rsid w:val="00BC4596"/>
    <w:rsid w:val="00BC4B7F"/>
    <w:rsid w:val="00BC4F2E"/>
    <w:rsid w:val="00BC54C2"/>
    <w:rsid w:val="00BC5738"/>
    <w:rsid w:val="00BC5A3F"/>
    <w:rsid w:val="00BC5B8A"/>
    <w:rsid w:val="00BC637D"/>
    <w:rsid w:val="00BC69E6"/>
    <w:rsid w:val="00BC6B70"/>
    <w:rsid w:val="00BC7599"/>
    <w:rsid w:val="00BC768C"/>
    <w:rsid w:val="00BC79AD"/>
    <w:rsid w:val="00BC7D55"/>
    <w:rsid w:val="00BD0093"/>
    <w:rsid w:val="00BD00A3"/>
    <w:rsid w:val="00BD08F0"/>
    <w:rsid w:val="00BD0C70"/>
    <w:rsid w:val="00BD0CB5"/>
    <w:rsid w:val="00BD1565"/>
    <w:rsid w:val="00BD17F5"/>
    <w:rsid w:val="00BD22B1"/>
    <w:rsid w:val="00BD2374"/>
    <w:rsid w:val="00BD2464"/>
    <w:rsid w:val="00BD288D"/>
    <w:rsid w:val="00BD2A92"/>
    <w:rsid w:val="00BD2C4A"/>
    <w:rsid w:val="00BD3138"/>
    <w:rsid w:val="00BD33F2"/>
    <w:rsid w:val="00BD3409"/>
    <w:rsid w:val="00BD402C"/>
    <w:rsid w:val="00BD43EB"/>
    <w:rsid w:val="00BD46C7"/>
    <w:rsid w:val="00BD46D9"/>
    <w:rsid w:val="00BD4A9A"/>
    <w:rsid w:val="00BD4AEB"/>
    <w:rsid w:val="00BD571E"/>
    <w:rsid w:val="00BD59A3"/>
    <w:rsid w:val="00BD609B"/>
    <w:rsid w:val="00BD633B"/>
    <w:rsid w:val="00BD6465"/>
    <w:rsid w:val="00BD6696"/>
    <w:rsid w:val="00BD7029"/>
    <w:rsid w:val="00BD71C0"/>
    <w:rsid w:val="00BD753E"/>
    <w:rsid w:val="00BD764A"/>
    <w:rsid w:val="00BD76C1"/>
    <w:rsid w:val="00BE04BF"/>
    <w:rsid w:val="00BE05F6"/>
    <w:rsid w:val="00BE060C"/>
    <w:rsid w:val="00BE0ADB"/>
    <w:rsid w:val="00BE0BCE"/>
    <w:rsid w:val="00BE0F0D"/>
    <w:rsid w:val="00BE0F3E"/>
    <w:rsid w:val="00BE14EB"/>
    <w:rsid w:val="00BE1710"/>
    <w:rsid w:val="00BE19FE"/>
    <w:rsid w:val="00BE1B98"/>
    <w:rsid w:val="00BE256C"/>
    <w:rsid w:val="00BE262C"/>
    <w:rsid w:val="00BE284E"/>
    <w:rsid w:val="00BE2C83"/>
    <w:rsid w:val="00BE3390"/>
    <w:rsid w:val="00BE3CC3"/>
    <w:rsid w:val="00BE3D4F"/>
    <w:rsid w:val="00BE3FA7"/>
    <w:rsid w:val="00BE44B9"/>
    <w:rsid w:val="00BE4559"/>
    <w:rsid w:val="00BE48A2"/>
    <w:rsid w:val="00BE4E29"/>
    <w:rsid w:val="00BE564F"/>
    <w:rsid w:val="00BE5885"/>
    <w:rsid w:val="00BE59A8"/>
    <w:rsid w:val="00BE5BD0"/>
    <w:rsid w:val="00BE5BED"/>
    <w:rsid w:val="00BE5C5C"/>
    <w:rsid w:val="00BE5D4D"/>
    <w:rsid w:val="00BE668A"/>
    <w:rsid w:val="00BE66C4"/>
    <w:rsid w:val="00BE6A62"/>
    <w:rsid w:val="00BE6CA1"/>
    <w:rsid w:val="00BE6D0E"/>
    <w:rsid w:val="00BE6DAD"/>
    <w:rsid w:val="00BE7EB8"/>
    <w:rsid w:val="00BF1D17"/>
    <w:rsid w:val="00BF239E"/>
    <w:rsid w:val="00BF25DF"/>
    <w:rsid w:val="00BF2751"/>
    <w:rsid w:val="00BF280F"/>
    <w:rsid w:val="00BF2872"/>
    <w:rsid w:val="00BF2B29"/>
    <w:rsid w:val="00BF30AE"/>
    <w:rsid w:val="00BF324E"/>
    <w:rsid w:val="00BF39A2"/>
    <w:rsid w:val="00BF40AD"/>
    <w:rsid w:val="00BF45B4"/>
    <w:rsid w:val="00BF496E"/>
    <w:rsid w:val="00BF4ABA"/>
    <w:rsid w:val="00BF4AD2"/>
    <w:rsid w:val="00BF4D34"/>
    <w:rsid w:val="00BF4FD6"/>
    <w:rsid w:val="00BF5278"/>
    <w:rsid w:val="00BF52E5"/>
    <w:rsid w:val="00BF5424"/>
    <w:rsid w:val="00BF58E1"/>
    <w:rsid w:val="00BF5CEE"/>
    <w:rsid w:val="00BF5F80"/>
    <w:rsid w:val="00BF6464"/>
    <w:rsid w:val="00BF6580"/>
    <w:rsid w:val="00BF66E1"/>
    <w:rsid w:val="00BF6DDD"/>
    <w:rsid w:val="00BF728A"/>
    <w:rsid w:val="00BF79A5"/>
    <w:rsid w:val="00BF7AB2"/>
    <w:rsid w:val="00BF7B39"/>
    <w:rsid w:val="00BF7C07"/>
    <w:rsid w:val="00BF7D2D"/>
    <w:rsid w:val="00C001CC"/>
    <w:rsid w:val="00C0043E"/>
    <w:rsid w:val="00C00824"/>
    <w:rsid w:val="00C00A62"/>
    <w:rsid w:val="00C00BAE"/>
    <w:rsid w:val="00C01AE3"/>
    <w:rsid w:val="00C01F76"/>
    <w:rsid w:val="00C025FE"/>
    <w:rsid w:val="00C0271F"/>
    <w:rsid w:val="00C027E6"/>
    <w:rsid w:val="00C029A8"/>
    <w:rsid w:val="00C02E4C"/>
    <w:rsid w:val="00C02E4D"/>
    <w:rsid w:val="00C03178"/>
    <w:rsid w:val="00C03584"/>
    <w:rsid w:val="00C0374D"/>
    <w:rsid w:val="00C038D0"/>
    <w:rsid w:val="00C04013"/>
    <w:rsid w:val="00C05120"/>
    <w:rsid w:val="00C05221"/>
    <w:rsid w:val="00C05325"/>
    <w:rsid w:val="00C053B0"/>
    <w:rsid w:val="00C054DC"/>
    <w:rsid w:val="00C0559E"/>
    <w:rsid w:val="00C05A26"/>
    <w:rsid w:val="00C05ABE"/>
    <w:rsid w:val="00C05D83"/>
    <w:rsid w:val="00C05D9D"/>
    <w:rsid w:val="00C05FD9"/>
    <w:rsid w:val="00C07274"/>
    <w:rsid w:val="00C074EA"/>
    <w:rsid w:val="00C076B6"/>
    <w:rsid w:val="00C07A41"/>
    <w:rsid w:val="00C07CF7"/>
    <w:rsid w:val="00C07D46"/>
    <w:rsid w:val="00C07FB7"/>
    <w:rsid w:val="00C1015D"/>
    <w:rsid w:val="00C110F2"/>
    <w:rsid w:val="00C111DB"/>
    <w:rsid w:val="00C114D1"/>
    <w:rsid w:val="00C119BB"/>
    <w:rsid w:val="00C120DC"/>
    <w:rsid w:val="00C1242B"/>
    <w:rsid w:val="00C1244D"/>
    <w:rsid w:val="00C12A19"/>
    <w:rsid w:val="00C1302B"/>
    <w:rsid w:val="00C13259"/>
    <w:rsid w:val="00C132C7"/>
    <w:rsid w:val="00C138CA"/>
    <w:rsid w:val="00C139ED"/>
    <w:rsid w:val="00C13A7D"/>
    <w:rsid w:val="00C141FE"/>
    <w:rsid w:val="00C144A2"/>
    <w:rsid w:val="00C14BBF"/>
    <w:rsid w:val="00C1568C"/>
    <w:rsid w:val="00C156C5"/>
    <w:rsid w:val="00C15E9F"/>
    <w:rsid w:val="00C15F35"/>
    <w:rsid w:val="00C1614A"/>
    <w:rsid w:val="00C16439"/>
    <w:rsid w:val="00C16818"/>
    <w:rsid w:val="00C16A65"/>
    <w:rsid w:val="00C16BC0"/>
    <w:rsid w:val="00C16BC3"/>
    <w:rsid w:val="00C16CB0"/>
    <w:rsid w:val="00C16CF2"/>
    <w:rsid w:val="00C17B37"/>
    <w:rsid w:val="00C17C75"/>
    <w:rsid w:val="00C17DD3"/>
    <w:rsid w:val="00C201B9"/>
    <w:rsid w:val="00C201D5"/>
    <w:rsid w:val="00C2030C"/>
    <w:rsid w:val="00C208A1"/>
    <w:rsid w:val="00C20930"/>
    <w:rsid w:val="00C20ACD"/>
    <w:rsid w:val="00C20AEC"/>
    <w:rsid w:val="00C216A2"/>
    <w:rsid w:val="00C21808"/>
    <w:rsid w:val="00C21894"/>
    <w:rsid w:val="00C218E3"/>
    <w:rsid w:val="00C2197C"/>
    <w:rsid w:val="00C21B7B"/>
    <w:rsid w:val="00C22525"/>
    <w:rsid w:val="00C227D4"/>
    <w:rsid w:val="00C22B51"/>
    <w:rsid w:val="00C22F67"/>
    <w:rsid w:val="00C22F7B"/>
    <w:rsid w:val="00C23348"/>
    <w:rsid w:val="00C238A8"/>
    <w:rsid w:val="00C23B03"/>
    <w:rsid w:val="00C23CBE"/>
    <w:rsid w:val="00C23ED3"/>
    <w:rsid w:val="00C24141"/>
    <w:rsid w:val="00C24401"/>
    <w:rsid w:val="00C24984"/>
    <w:rsid w:val="00C2566B"/>
    <w:rsid w:val="00C259CF"/>
    <w:rsid w:val="00C2615B"/>
    <w:rsid w:val="00C26B2E"/>
    <w:rsid w:val="00C27AF4"/>
    <w:rsid w:val="00C27FD0"/>
    <w:rsid w:val="00C30A5B"/>
    <w:rsid w:val="00C30CD2"/>
    <w:rsid w:val="00C3111B"/>
    <w:rsid w:val="00C316A8"/>
    <w:rsid w:val="00C318FF"/>
    <w:rsid w:val="00C31BC3"/>
    <w:rsid w:val="00C31EA2"/>
    <w:rsid w:val="00C32386"/>
    <w:rsid w:val="00C32750"/>
    <w:rsid w:val="00C327AE"/>
    <w:rsid w:val="00C3284E"/>
    <w:rsid w:val="00C32DBA"/>
    <w:rsid w:val="00C32EEF"/>
    <w:rsid w:val="00C335A7"/>
    <w:rsid w:val="00C33702"/>
    <w:rsid w:val="00C34404"/>
    <w:rsid w:val="00C345A4"/>
    <w:rsid w:val="00C34D98"/>
    <w:rsid w:val="00C34FA9"/>
    <w:rsid w:val="00C3504C"/>
    <w:rsid w:val="00C35368"/>
    <w:rsid w:val="00C3600F"/>
    <w:rsid w:val="00C366C8"/>
    <w:rsid w:val="00C369AA"/>
    <w:rsid w:val="00C36F29"/>
    <w:rsid w:val="00C3734C"/>
    <w:rsid w:val="00C373E6"/>
    <w:rsid w:val="00C375C7"/>
    <w:rsid w:val="00C37741"/>
    <w:rsid w:val="00C3791F"/>
    <w:rsid w:val="00C37BC7"/>
    <w:rsid w:val="00C4069C"/>
    <w:rsid w:val="00C40C85"/>
    <w:rsid w:val="00C4167E"/>
    <w:rsid w:val="00C41ACF"/>
    <w:rsid w:val="00C41C9E"/>
    <w:rsid w:val="00C42529"/>
    <w:rsid w:val="00C425D7"/>
    <w:rsid w:val="00C42603"/>
    <w:rsid w:val="00C426E7"/>
    <w:rsid w:val="00C429DD"/>
    <w:rsid w:val="00C435E3"/>
    <w:rsid w:val="00C43A89"/>
    <w:rsid w:val="00C43D18"/>
    <w:rsid w:val="00C44ACC"/>
    <w:rsid w:val="00C44D0F"/>
    <w:rsid w:val="00C45469"/>
    <w:rsid w:val="00C456B9"/>
    <w:rsid w:val="00C465F8"/>
    <w:rsid w:val="00C46982"/>
    <w:rsid w:val="00C469E6"/>
    <w:rsid w:val="00C46A0A"/>
    <w:rsid w:val="00C46A63"/>
    <w:rsid w:val="00C46C75"/>
    <w:rsid w:val="00C46F75"/>
    <w:rsid w:val="00C47079"/>
    <w:rsid w:val="00C470FC"/>
    <w:rsid w:val="00C47424"/>
    <w:rsid w:val="00C476A4"/>
    <w:rsid w:val="00C47793"/>
    <w:rsid w:val="00C479F2"/>
    <w:rsid w:val="00C47AC8"/>
    <w:rsid w:val="00C47D0D"/>
    <w:rsid w:val="00C47DB8"/>
    <w:rsid w:val="00C47F56"/>
    <w:rsid w:val="00C47F80"/>
    <w:rsid w:val="00C503ED"/>
    <w:rsid w:val="00C50940"/>
    <w:rsid w:val="00C50E34"/>
    <w:rsid w:val="00C50E9E"/>
    <w:rsid w:val="00C50F00"/>
    <w:rsid w:val="00C510E1"/>
    <w:rsid w:val="00C51899"/>
    <w:rsid w:val="00C51914"/>
    <w:rsid w:val="00C51C92"/>
    <w:rsid w:val="00C52368"/>
    <w:rsid w:val="00C531A6"/>
    <w:rsid w:val="00C531B8"/>
    <w:rsid w:val="00C53625"/>
    <w:rsid w:val="00C53644"/>
    <w:rsid w:val="00C5364A"/>
    <w:rsid w:val="00C53A91"/>
    <w:rsid w:val="00C53B35"/>
    <w:rsid w:val="00C541C1"/>
    <w:rsid w:val="00C5438E"/>
    <w:rsid w:val="00C54666"/>
    <w:rsid w:val="00C54CC1"/>
    <w:rsid w:val="00C54DDD"/>
    <w:rsid w:val="00C5522B"/>
    <w:rsid w:val="00C5523B"/>
    <w:rsid w:val="00C553DB"/>
    <w:rsid w:val="00C5577C"/>
    <w:rsid w:val="00C557FB"/>
    <w:rsid w:val="00C55C88"/>
    <w:rsid w:val="00C55CD4"/>
    <w:rsid w:val="00C55FD8"/>
    <w:rsid w:val="00C5614E"/>
    <w:rsid w:val="00C56198"/>
    <w:rsid w:val="00C56898"/>
    <w:rsid w:val="00C5699B"/>
    <w:rsid w:val="00C56B11"/>
    <w:rsid w:val="00C56BA5"/>
    <w:rsid w:val="00C56D80"/>
    <w:rsid w:val="00C56E1F"/>
    <w:rsid w:val="00C57720"/>
    <w:rsid w:val="00C57EFC"/>
    <w:rsid w:val="00C602A1"/>
    <w:rsid w:val="00C60491"/>
    <w:rsid w:val="00C609F3"/>
    <w:rsid w:val="00C60C59"/>
    <w:rsid w:val="00C60D1F"/>
    <w:rsid w:val="00C619D3"/>
    <w:rsid w:val="00C61A09"/>
    <w:rsid w:val="00C61C9A"/>
    <w:rsid w:val="00C61DD6"/>
    <w:rsid w:val="00C61EF6"/>
    <w:rsid w:val="00C629B3"/>
    <w:rsid w:val="00C62B4C"/>
    <w:rsid w:val="00C635E9"/>
    <w:rsid w:val="00C6376F"/>
    <w:rsid w:val="00C637B6"/>
    <w:rsid w:val="00C63922"/>
    <w:rsid w:val="00C6397D"/>
    <w:rsid w:val="00C63B4F"/>
    <w:rsid w:val="00C63F92"/>
    <w:rsid w:val="00C6400C"/>
    <w:rsid w:val="00C6444B"/>
    <w:rsid w:val="00C649F9"/>
    <w:rsid w:val="00C652AE"/>
    <w:rsid w:val="00C65563"/>
    <w:rsid w:val="00C65944"/>
    <w:rsid w:val="00C659A5"/>
    <w:rsid w:val="00C65A9A"/>
    <w:rsid w:val="00C65CAA"/>
    <w:rsid w:val="00C667B2"/>
    <w:rsid w:val="00C67006"/>
    <w:rsid w:val="00C673D0"/>
    <w:rsid w:val="00C67CF5"/>
    <w:rsid w:val="00C67DE9"/>
    <w:rsid w:val="00C703BD"/>
    <w:rsid w:val="00C709E2"/>
    <w:rsid w:val="00C70CF4"/>
    <w:rsid w:val="00C70D79"/>
    <w:rsid w:val="00C713F0"/>
    <w:rsid w:val="00C715C0"/>
    <w:rsid w:val="00C71667"/>
    <w:rsid w:val="00C71C9B"/>
    <w:rsid w:val="00C72088"/>
    <w:rsid w:val="00C7212A"/>
    <w:rsid w:val="00C7228D"/>
    <w:rsid w:val="00C722FC"/>
    <w:rsid w:val="00C724E8"/>
    <w:rsid w:val="00C7272A"/>
    <w:rsid w:val="00C72B16"/>
    <w:rsid w:val="00C72F6A"/>
    <w:rsid w:val="00C733CA"/>
    <w:rsid w:val="00C73AEE"/>
    <w:rsid w:val="00C73B5A"/>
    <w:rsid w:val="00C73D8D"/>
    <w:rsid w:val="00C73E65"/>
    <w:rsid w:val="00C740A3"/>
    <w:rsid w:val="00C74128"/>
    <w:rsid w:val="00C74568"/>
    <w:rsid w:val="00C74CE0"/>
    <w:rsid w:val="00C756AB"/>
    <w:rsid w:val="00C763F8"/>
    <w:rsid w:val="00C764F7"/>
    <w:rsid w:val="00C7683F"/>
    <w:rsid w:val="00C76893"/>
    <w:rsid w:val="00C76F00"/>
    <w:rsid w:val="00C775A5"/>
    <w:rsid w:val="00C77847"/>
    <w:rsid w:val="00C778F8"/>
    <w:rsid w:val="00C7790A"/>
    <w:rsid w:val="00C779DA"/>
    <w:rsid w:val="00C77DDD"/>
    <w:rsid w:val="00C77E8D"/>
    <w:rsid w:val="00C80636"/>
    <w:rsid w:val="00C80671"/>
    <w:rsid w:val="00C806FF"/>
    <w:rsid w:val="00C80AE6"/>
    <w:rsid w:val="00C80DDB"/>
    <w:rsid w:val="00C80ED5"/>
    <w:rsid w:val="00C8151E"/>
    <w:rsid w:val="00C815E1"/>
    <w:rsid w:val="00C81B62"/>
    <w:rsid w:val="00C81DC6"/>
    <w:rsid w:val="00C81E18"/>
    <w:rsid w:val="00C81E6D"/>
    <w:rsid w:val="00C82002"/>
    <w:rsid w:val="00C823B2"/>
    <w:rsid w:val="00C829B9"/>
    <w:rsid w:val="00C82BAD"/>
    <w:rsid w:val="00C82F1D"/>
    <w:rsid w:val="00C82FC1"/>
    <w:rsid w:val="00C83466"/>
    <w:rsid w:val="00C83975"/>
    <w:rsid w:val="00C83FF2"/>
    <w:rsid w:val="00C8445D"/>
    <w:rsid w:val="00C845B1"/>
    <w:rsid w:val="00C84A20"/>
    <w:rsid w:val="00C84BDD"/>
    <w:rsid w:val="00C84E5C"/>
    <w:rsid w:val="00C8545F"/>
    <w:rsid w:val="00C85978"/>
    <w:rsid w:val="00C859F2"/>
    <w:rsid w:val="00C85A93"/>
    <w:rsid w:val="00C85ABD"/>
    <w:rsid w:val="00C85B89"/>
    <w:rsid w:val="00C85DFD"/>
    <w:rsid w:val="00C863C1"/>
    <w:rsid w:val="00C87196"/>
    <w:rsid w:val="00C874B5"/>
    <w:rsid w:val="00C87957"/>
    <w:rsid w:val="00C87A2B"/>
    <w:rsid w:val="00C90A1C"/>
    <w:rsid w:val="00C90BC7"/>
    <w:rsid w:val="00C90CDF"/>
    <w:rsid w:val="00C90E46"/>
    <w:rsid w:val="00C910D0"/>
    <w:rsid w:val="00C913B7"/>
    <w:rsid w:val="00C91DE2"/>
    <w:rsid w:val="00C91E80"/>
    <w:rsid w:val="00C91ECF"/>
    <w:rsid w:val="00C91F6A"/>
    <w:rsid w:val="00C920C2"/>
    <w:rsid w:val="00C92218"/>
    <w:rsid w:val="00C92293"/>
    <w:rsid w:val="00C92F63"/>
    <w:rsid w:val="00C93270"/>
    <w:rsid w:val="00C935E3"/>
    <w:rsid w:val="00C9365A"/>
    <w:rsid w:val="00C937D2"/>
    <w:rsid w:val="00C93938"/>
    <w:rsid w:val="00C93A9F"/>
    <w:rsid w:val="00C93D84"/>
    <w:rsid w:val="00C93E12"/>
    <w:rsid w:val="00C93FEA"/>
    <w:rsid w:val="00C94535"/>
    <w:rsid w:val="00C94823"/>
    <w:rsid w:val="00C949B3"/>
    <w:rsid w:val="00C94E0A"/>
    <w:rsid w:val="00C94EF9"/>
    <w:rsid w:val="00C95057"/>
    <w:rsid w:val="00C95177"/>
    <w:rsid w:val="00C95534"/>
    <w:rsid w:val="00C958DA"/>
    <w:rsid w:val="00C95958"/>
    <w:rsid w:val="00C95D37"/>
    <w:rsid w:val="00C9606D"/>
    <w:rsid w:val="00C968E5"/>
    <w:rsid w:val="00C969C1"/>
    <w:rsid w:val="00C96B3B"/>
    <w:rsid w:val="00C97225"/>
    <w:rsid w:val="00C97269"/>
    <w:rsid w:val="00C9726E"/>
    <w:rsid w:val="00C97754"/>
    <w:rsid w:val="00C97789"/>
    <w:rsid w:val="00CA0085"/>
    <w:rsid w:val="00CA0245"/>
    <w:rsid w:val="00CA07AE"/>
    <w:rsid w:val="00CA0968"/>
    <w:rsid w:val="00CA0CB4"/>
    <w:rsid w:val="00CA0D81"/>
    <w:rsid w:val="00CA14C5"/>
    <w:rsid w:val="00CA14E4"/>
    <w:rsid w:val="00CA1728"/>
    <w:rsid w:val="00CA1791"/>
    <w:rsid w:val="00CA181F"/>
    <w:rsid w:val="00CA1A43"/>
    <w:rsid w:val="00CA1E98"/>
    <w:rsid w:val="00CA2264"/>
    <w:rsid w:val="00CA22F0"/>
    <w:rsid w:val="00CA25CE"/>
    <w:rsid w:val="00CA277A"/>
    <w:rsid w:val="00CA2A5A"/>
    <w:rsid w:val="00CA2BF1"/>
    <w:rsid w:val="00CA2C05"/>
    <w:rsid w:val="00CA2F27"/>
    <w:rsid w:val="00CA3055"/>
    <w:rsid w:val="00CA343A"/>
    <w:rsid w:val="00CA34B5"/>
    <w:rsid w:val="00CA36DD"/>
    <w:rsid w:val="00CA3D4B"/>
    <w:rsid w:val="00CA44E2"/>
    <w:rsid w:val="00CA45D8"/>
    <w:rsid w:val="00CA46A9"/>
    <w:rsid w:val="00CA4EC3"/>
    <w:rsid w:val="00CA51A5"/>
    <w:rsid w:val="00CA5712"/>
    <w:rsid w:val="00CA5724"/>
    <w:rsid w:val="00CA593A"/>
    <w:rsid w:val="00CA5D71"/>
    <w:rsid w:val="00CA5FCA"/>
    <w:rsid w:val="00CA6470"/>
    <w:rsid w:val="00CA743D"/>
    <w:rsid w:val="00CA76A1"/>
    <w:rsid w:val="00CA7AD9"/>
    <w:rsid w:val="00CB014F"/>
    <w:rsid w:val="00CB02F3"/>
    <w:rsid w:val="00CB0480"/>
    <w:rsid w:val="00CB0937"/>
    <w:rsid w:val="00CB0EC9"/>
    <w:rsid w:val="00CB0F17"/>
    <w:rsid w:val="00CB0FDC"/>
    <w:rsid w:val="00CB1131"/>
    <w:rsid w:val="00CB1959"/>
    <w:rsid w:val="00CB1D39"/>
    <w:rsid w:val="00CB1D99"/>
    <w:rsid w:val="00CB1F1A"/>
    <w:rsid w:val="00CB25D3"/>
    <w:rsid w:val="00CB32D5"/>
    <w:rsid w:val="00CB32D9"/>
    <w:rsid w:val="00CB3D60"/>
    <w:rsid w:val="00CB3FCC"/>
    <w:rsid w:val="00CB426F"/>
    <w:rsid w:val="00CB48CB"/>
    <w:rsid w:val="00CB5200"/>
    <w:rsid w:val="00CB52F4"/>
    <w:rsid w:val="00CB54C8"/>
    <w:rsid w:val="00CB5612"/>
    <w:rsid w:val="00CB5A25"/>
    <w:rsid w:val="00CB5ACA"/>
    <w:rsid w:val="00CB5B0E"/>
    <w:rsid w:val="00CB6327"/>
    <w:rsid w:val="00CB68E8"/>
    <w:rsid w:val="00CB6DEA"/>
    <w:rsid w:val="00CB7187"/>
    <w:rsid w:val="00CB71FC"/>
    <w:rsid w:val="00CB799B"/>
    <w:rsid w:val="00CC0138"/>
    <w:rsid w:val="00CC0A6B"/>
    <w:rsid w:val="00CC0B7F"/>
    <w:rsid w:val="00CC0C34"/>
    <w:rsid w:val="00CC0CA4"/>
    <w:rsid w:val="00CC0DE6"/>
    <w:rsid w:val="00CC163A"/>
    <w:rsid w:val="00CC16F5"/>
    <w:rsid w:val="00CC219A"/>
    <w:rsid w:val="00CC2572"/>
    <w:rsid w:val="00CC331F"/>
    <w:rsid w:val="00CC3543"/>
    <w:rsid w:val="00CC3D13"/>
    <w:rsid w:val="00CC3D8A"/>
    <w:rsid w:val="00CC3DAC"/>
    <w:rsid w:val="00CC3F77"/>
    <w:rsid w:val="00CC45FD"/>
    <w:rsid w:val="00CC494F"/>
    <w:rsid w:val="00CC496A"/>
    <w:rsid w:val="00CC53DE"/>
    <w:rsid w:val="00CC5885"/>
    <w:rsid w:val="00CC5E3E"/>
    <w:rsid w:val="00CC6335"/>
    <w:rsid w:val="00CC657A"/>
    <w:rsid w:val="00CC6ABB"/>
    <w:rsid w:val="00CC7180"/>
    <w:rsid w:val="00CC7781"/>
    <w:rsid w:val="00CC783D"/>
    <w:rsid w:val="00CC7AC7"/>
    <w:rsid w:val="00CC7EB2"/>
    <w:rsid w:val="00CD03DC"/>
    <w:rsid w:val="00CD03F9"/>
    <w:rsid w:val="00CD164A"/>
    <w:rsid w:val="00CD1ADF"/>
    <w:rsid w:val="00CD1BA3"/>
    <w:rsid w:val="00CD2299"/>
    <w:rsid w:val="00CD2402"/>
    <w:rsid w:val="00CD25C7"/>
    <w:rsid w:val="00CD2679"/>
    <w:rsid w:val="00CD2C32"/>
    <w:rsid w:val="00CD2CE4"/>
    <w:rsid w:val="00CD3336"/>
    <w:rsid w:val="00CD33EF"/>
    <w:rsid w:val="00CD36CD"/>
    <w:rsid w:val="00CD3729"/>
    <w:rsid w:val="00CD4204"/>
    <w:rsid w:val="00CD4C39"/>
    <w:rsid w:val="00CD4E5C"/>
    <w:rsid w:val="00CD5271"/>
    <w:rsid w:val="00CD5BA5"/>
    <w:rsid w:val="00CD5BE4"/>
    <w:rsid w:val="00CD5C55"/>
    <w:rsid w:val="00CD62EB"/>
    <w:rsid w:val="00CD6426"/>
    <w:rsid w:val="00CD669B"/>
    <w:rsid w:val="00CD6FAC"/>
    <w:rsid w:val="00CD71C5"/>
    <w:rsid w:val="00CD7596"/>
    <w:rsid w:val="00CD7658"/>
    <w:rsid w:val="00CD7951"/>
    <w:rsid w:val="00CD7AD0"/>
    <w:rsid w:val="00CD7BC1"/>
    <w:rsid w:val="00CE0136"/>
    <w:rsid w:val="00CE10EE"/>
    <w:rsid w:val="00CE1C60"/>
    <w:rsid w:val="00CE1CDB"/>
    <w:rsid w:val="00CE1FD1"/>
    <w:rsid w:val="00CE2527"/>
    <w:rsid w:val="00CE36D5"/>
    <w:rsid w:val="00CE3B9E"/>
    <w:rsid w:val="00CE420D"/>
    <w:rsid w:val="00CE4945"/>
    <w:rsid w:val="00CE4C40"/>
    <w:rsid w:val="00CE517B"/>
    <w:rsid w:val="00CE57D9"/>
    <w:rsid w:val="00CE5866"/>
    <w:rsid w:val="00CE59A0"/>
    <w:rsid w:val="00CE5F91"/>
    <w:rsid w:val="00CE671E"/>
    <w:rsid w:val="00CE6BF7"/>
    <w:rsid w:val="00CE72BB"/>
    <w:rsid w:val="00CE7501"/>
    <w:rsid w:val="00CE77C7"/>
    <w:rsid w:val="00CE7CC9"/>
    <w:rsid w:val="00CF004E"/>
    <w:rsid w:val="00CF0629"/>
    <w:rsid w:val="00CF06A6"/>
    <w:rsid w:val="00CF0909"/>
    <w:rsid w:val="00CF0B39"/>
    <w:rsid w:val="00CF13EF"/>
    <w:rsid w:val="00CF1523"/>
    <w:rsid w:val="00CF1981"/>
    <w:rsid w:val="00CF1B30"/>
    <w:rsid w:val="00CF1BCD"/>
    <w:rsid w:val="00CF1D9D"/>
    <w:rsid w:val="00CF1DE8"/>
    <w:rsid w:val="00CF228D"/>
    <w:rsid w:val="00CF2E0B"/>
    <w:rsid w:val="00CF3332"/>
    <w:rsid w:val="00CF39DE"/>
    <w:rsid w:val="00CF3A02"/>
    <w:rsid w:val="00CF41E4"/>
    <w:rsid w:val="00CF423C"/>
    <w:rsid w:val="00CF43A1"/>
    <w:rsid w:val="00CF505D"/>
    <w:rsid w:val="00CF50D4"/>
    <w:rsid w:val="00CF5C49"/>
    <w:rsid w:val="00CF6660"/>
    <w:rsid w:val="00CF67CB"/>
    <w:rsid w:val="00CF7436"/>
    <w:rsid w:val="00CF7864"/>
    <w:rsid w:val="00CF7D52"/>
    <w:rsid w:val="00CF7F4B"/>
    <w:rsid w:val="00CF7FB0"/>
    <w:rsid w:val="00D00007"/>
    <w:rsid w:val="00D009D8"/>
    <w:rsid w:val="00D00DDE"/>
    <w:rsid w:val="00D0111C"/>
    <w:rsid w:val="00D011B3"/>
    <w:rsid w:val="00D0155C"/>
    <w:rsid w:val="00D0175A"/>
    <w:rsid w:val="00D0192B"/>
    <w:rsid w:val="00D01941"/>
    <w:rsid w:val="00D01A03"/>
    <w:rsid w:val="00D02103"/>
    <w:rsid w:val="00D02479"/>
    <w:rsid w:val="00D02D24"/>
    <w:rsid w:val="00D03057"/>
    <w:rsid w:val="00D033C2"/>
    <w:rsid w:val="00D03824"/>
    <w:rsid w:val="00D0416E"/>
    <w:rsid w:val="00D048B4"/>
    <w:rsid w:val="00D048D7"/>
    <w:rsid w:val="00D049AA"/>
    <w:rsid w:val="00D04E8D"/>
    <w:rsid w:val="00D05438"/>
    <w:rsid w:val="00D055A9"/>
    <w:rsid w:val="00D05722"/>
    <w:rsid w:val="00D05DEA"/>
    <w:rsid w:val="00D05E28"/>
    <w:rsid w:val="00D05F51"/>
    <w:rsid w:val="00D06092"/>
    <w:rsid w:val="00D06450"/>
    <w:rsid w:val="00D067BA"/>
    <w:rsid w:val="00D067C0"/>
    <w:rsid w:val="00D06983"/>
    <w:rsid w:val="00D06B17"/>
    <w:rsid w:val="00D06F4F"/>
    <w:rsid w:val="00D07567"/>
    <w:rsid w:val="00D07832"/>
    <w:rsid w:val="00D0784E"/>
    <w:rsid w:val="00D0786C"/>
    <w:rsid w:val="00D078ED"/>
    <w:rsid w:val="00D07B50"/>
    <w:rsid w:val="00D07DA4"/>
    <w:rsid w:val="00D10932"/>
    <w:rsid w:val="00D109BC"/>
    <w:rsid w:val="00D10CE6"/>
    <w:rsid w:val="00D10CEA"/>
    <w:rsid w:val="00D10D50"/>
    <w:rsid w:val="00D10DBF"/>
    <w:rsid w:val="00D10E71"/>
    <w:rsid w:val="00D11066"/>
    <w:rsid w:val="00D119CA"/>
    <w:rsid w:val="00D12800"/>
    <w:rsid w:val="00D1280D"/>
    <w:rsid w:val="00D12E00"/>
    <w:rsid w:val="00D12E62"/>
    <w:rsid w:val="00D1327E"/>
    <w:rsid w:val="00D13CC9"/>
    <w:rsid w:val="00D144E2"/>
    <w:rsid w:val="00D14B6C"/>
    <w:rsid w:val="00D15994"/>
    <w:rsid w:val="00D16147"/>
    <w:rsid w:val="00D166DB"/>
    <w:rsid w:val="00D16A10"/>
    <w:rsid w:val="00D16BCA"/>
    <w:rsid w:val="00D16CA5"/>
    <w:rsid w:val="00D173C5"/>
    <w:rsid w:val="00D1744E"/>
    <w:rsid w:val="00D17522"/>
    <w:rsid w:val="00D1758F"/>
    <w:rsid w:val="00D177F2"/>
    <w:rsid w:val="00D17C70"/>
    <w:rsid w:val="00D17CFC"/>
    <w:rsid w:val="00D2005C"/>
    <w:rsid w:val="00D203BE"/>
    <w:rsid w:val="00D2074C"/>
    <w:rsid w:val="00D20C0F"/>
    <w:rsid w:val="00D212F0"/>
    <w:rsid w:val="00D21353"/>
    <w:rsid w:val="00D220D9"/>
    <w:rsid w:val="00D22462"/>
    <w:rsid w:val="00D224BA"/>
    <w:rsid w:val="00D2279A"/>
    <w:rsid w:val="00D228C0"/>
    <w:rsid w:val="00D22DC6"/>
    <w:rsid w:val="00D232CC"/>
    <w:rsid w:val="00D23507"/>
    <w:rsid w:val="00D23891"/>
    <w:rsid w:val="00D238D2"/>
    <w:rsid w:val="00D23B00"/>
    <w:rsid w:val="00D23F9F"/>
    <w:rsid w:val="00D241B5"/>
    <w:rsid w:val="00D242C7"/>
    <w:rsid w:val="00D2495B"/>
    <w:rsid w:val="00D24B4F"/>
    <w:rsid w:val="00D24C74"/>
    <w:rsid w:val="00D24C8A"/>
    <w:rsid w:val="00D2527D"/>
    <w:rsid w:val="00D259C4"/>
    <w:rsid w:val="00D25CE5"/>
    <w:rsid w:val="00D25E2A"/>
    <w:rsid w:val="00D25FA9"/>
    <w:rsid w:val="00D263D1"/>
    <w:rsid w:val="00D2648B"/>
    <w:rsid w:val="00D269BE"/>
    <w:rsid w:val="00D269DD"/>
    <w:rsid w:val="00D273E3"/>
    <w:rsid w:val="00D2786D"/>
    <w:rsid w:val="00D278D5"/>
    <w:rsid w:val="00D279A2"/>
    <w:rsid w:val="00D279E3"/>
    <w:rsid w:val="00D30267"/>
    <w:rsid w:val="00D303E8"/>
    <w:rsid w:val="00D30523"/>
    <w:rsid w:val="00D30782"/>
    <w:rsid w:val="00D30D13"/>
    <w:rsid w:val="00D30D52"/>
    <w:rsid w:val="00D31483"/>
    <w:rsid w:val="00D314BF"/>
    <w:rsid w:val="00D318A3"/>
    <w:rsid w:val="00D31AEB"/>
    <w:rsid w:val="00D31ECF"/>
    <w:rsid w:val="00D32553"/>
    <w:rsid w:val="00D32D6E"/>
    <w:rsid w:val="00D32F2E"/>
    <w:rsid w:val="00D33196"/>
    <w:rsid w:val="00D33246"/>
    <w:rsid w:val="00D33967"/>
    <w:rsid w:val="00D33A61"/>
    <w:rsid w:val="00D33B20"/>
    <w:rsid w:val="00D33CCE"/>
    <w:rsid w:val="00D3438E"/>
    <w:rsid w:val="00D3475E"/>
    <w:rsid w:val="00D347C1"/>
    <w:rsid w:val="00D34B87"/>
    <w:rsid w:val="00D34C58"/>
    <w:rsid w:val="00D3547A"/>
    <w:rsid w:val="00D3572D"/>
    <w:rsid w:val="00D35BC7"/>
    <w:rsid w:val="00D35D2D"/>
    <w:rsid w:val="00D35F7C"/>
    <w:rsid w:val="00D35FC5"/>
    <w:rsid w:val="00D36168"/>
    <w:rsid w:val="00D361F7"/>
    <w:rsid w:val="00D363A6"/>
    <w:rsid w:val="00D36B0F"/>
    <w:rsid w:val="00D36BC9"/>
    <w:rsid w:val="00D36BD5"/>
    <w:rsid w:val="00D37770"/>
    <w:rsid w:val="00D37AF2"/>
    <w:rsid w:val="00D37CEC"/>
    <w:rsid w:val="00D37DD6"/>
    <w:rsid w:val="00D37F09"/>
    <w:rsid w:val="00D4037F"/>
    <w:rsid w:val="00D406C6"/>
    <w:rsid w:val="00D409B4"/>
    <w:rsid w:val="00D41069"/>
    <w:rsid w:val="00D41245"/>
    <w:rsid w:val="00D41FE1"/>
    <w:rsid w:val="00D4238B"/>
    <w:rsid w:val="00D42403"/>
    <w:rsid w:val="00D42430"/>
    <w:rsid w:val="00D42573"/>
    <w:rsid w:val="00D42649"/>
    <w:rsid w:val="00D427B5"/>
    <w:rsid w:val="00D42A09"/>
    <w:rsid w:val="00D42B5E"/>
    <w:rsid w:val="00D42B83"/>
    <w:rsid w:val="00D42C21"/>
    <w:rsid w:val="00D433F2"/>
    <w:rsid w:val="00D43759"/>
    <w:rsid w:val="00D43AFF"/>
    <w:rsid w:val="00D43D20"/>
    <w:rsid w:val="00D43EC7"/>
    <w:rsid w:val="00D43F8D"/>
    <w:rsid w:val="00D444DB"/>
    <w:rsid w:val="00D44865"/>
    <w:rsid w:val="00D4513B"/>
    <w:rsid w:val="00D45265"/>
    <w:rsid w:val="00D45810"/>
    <w:rsid w:val="00D45998"/>
    <w:rsid w:val="00D45A33"/>
    <w:rsid w:val="00D4631F"/>
    <w:rsid w:val="00D46343"/>
    <w:rsid w:val="00D4667A"/>
    <w:rsid w:val="00D468AF"/>
    <w:rsid w:val="00D46923"/>
    <w:rsid w:val="00D46FD5"/>
    <w:rsid w:val="00D46FEE"/>
    <w:rsid w:val="00D474FB"/>
    <w:rsid w:val="00D47871"/>
    <w:rsid w:val="00D47AF9"/>
    <w:rsid w:val="00D47F5B"/>
    <w:rsid w:val="00D50431"/>
    <w:rsid w:val="00D506EE"/>
    <w:rsid w:val="00D51644"/>
    <w:rsid w:val="00D51B6E"/>
    <w:rsid w:val="00D51FE3"/>
    <w:rsid w:val="00D520C0"/>
    <w:rsid w:val="00D521BE"/>
    <w:rsid w:val="00D524A2"/>
    <w:rsid w:val="00D52B35"/>
    <w:rsid w:val="00D52BFB"/>
    <w:rsid w:val="00D52D3F"/>
    <w:rsid w:val="00D52F79"/>
    <w:rsid w:val="00D531A2"/>
    <w:rsid w:val="00D53358"/>
    <w:rsid w:val="00D533F5"/>
    <w:rsid w:val="00D5341D"/>
    <w:rsid w:val="00D53723"/>
    <w:rsid w:val="00D53E49"/>
    <w:rsid w:val="00D53F74"/>
    <w:rsid w:val="00D540C1"/>
    <w:rsid w:val="00D543FE"/>
    <w:rsid w:val="00D54A75"/>
    <w:rsid w:val="00D55005"/>
    <w:rsid w:val="00D55567"/>
    <w:rsid w:val="00D555BC"/>
    <w:rsid w:val="00D5566E"/>
    <w:rsid w:val="00D55913"/>
    <w:rsid w:val="00D561E3"/>
    <w:rsid w:val="00D56294"/>
    <w:rsid w:val="00D564E9"/>
    <w:rsid w:val="00D566F9"/>
    <w:rsid w:val="00D5687A"/>
    <w:rsid w:val="00D568CF"/>
    <w:rsid w:val="00D57341"/>
    <w:rsid w:val="00D57D41"/>
    <w:rsid w:val="00D604A7"/>
    <w:rsid w:val="00D604D0"/>
    <w:rsid w:val="00D6086D"/>
    <w:rsid w:val="00D60AFC"/>
    <w:rsid w:val="00D60D22"/>
    <w:rsid w:val="00D6102C"/>
    <w:rsid w:val="00D6114C"/>
    <w:rsid w:val="00D6198A"/>
    <w:rsid w:val="00D61AFA"/>
    <w:rsid w:val="00D61E86"/>
    <w:rsid w:val="00D62508"/>
    <w:rsid w:val="00D627A6"/>
    <w:rsid w:val="00D62B9E"/>
    <w:rsid w:val="00D630F5"/>
    <w:rsid w:val="00D63344"/>
    <w:rsid w:val="00D6336F"/>
    <w:rsid w:val="00D6363F"/>
    <w:rsid w:val="00D63B9B"/>
    <w:rsid w:val="00D63C9D"/>
    <w:rsid w:val="00D64054"/>
    <w:rsid w:val="00D64164"/>
    <w:rsid w:val="00D642E1"/>
    <w:rsid w:val="00D643C9"/>
    <w:rsid w:val="00D64612"/>
    <w:rsid w:val="00D65444"/>
    <w:rsid w:val="00D65763"/>
    <w:rsid w:val="00D65AA2"/>
    <w:rsid w:val="00D65B84"/>
    <w:rsid w:val="00D65DAE"/>
    <w:rsid w:val="00D6603D"/>
    <w:rsid w:val="00D66608"/>
    <w:rsid w:val="00D66B13"/>
    <w:rsid w:val="00D66BAA"/>
    <w:rsid w:val="00D66D20"/>
    <w:rsid w:val="00D67190"/>
    <w:rsid w:val="00D673F5"/>
    <w:rsid w:val="00D6759F"/>
    <w:rsid w:val="00D6776B"/>
    <w:rsid w:val="00D703F0"/>
    <w:rsid w:val="00D70448"/>
    <w:rsid w:val="00D7061F"/>
    <w:rsid w:val="00D70F27"/>
    <w:rsid w:val="00D70F63"/>
    <w:rsid w:val="00D71155"/>
    <w:rsid w:val="00D71839"/>
    <w:rsid w:val="00D71997"/>
    <w:rsid w:val="00D71A88"/>
    <w:rsid w:val="00D72304"/>
    <w:rsid w:val="00D72658"/>
    <w:rsid w:val="00D72747"/>
    <w:rsid w:val="00D72D79"/>
    <w:rsid w:val="00D72FC9"/>
    <w:rsid w:val="00D732EC"/>
    <w:rsid w:val="00D734F5"/>
    <w:rsid w:val="00D73550"/>
    <w:rsid w:val="00D738CD"/>
    <w:rsid w:val="00D742F3"/>
    <w:rsid w:val="00D74771"/>
    <w:rsid w:val="00D748CB"/>
    <w:rsid w:val="00D74BB8"/>
    <w:rsid w:val="00D74D62"/>
    <w:rsid w:val="00D74D96"/>
    <w:rsid w:val="00D74EFF"/>
    <w:rsid w:val="00D75835"/>
    <w:rsid w:val="00D75AB7"/>
    <w:rsid w:val="00D75C51"/>
    <w:rsid w:val="00D75C70"/>
    <w:rsid w:val="00D75EFA"/>
    <w:rsid w:val="00D7645D"/>
    <w:rsid w:val="00D765D5"/>
    <w:rsid w:val="00D76A4F"/>
    <w:rsid w:val="00D76D0B"/>
    <w:rsid w:val="00D77C4A"/>
    <w:rsid w:val="00D77CCE"/>
    <w:rsid w:val="00D77EC3"/>
    <w:rsid w:val="00D77FF7"/>
    <w:rsid w:val="00D803B2"/>
    <w:rsid w:val="00D806FC"/>
    <w:rsid w:val="00D807CD"/>
    <w:rsid w:val="00D808E7"/>
    <w:rsid w:val="00D80A2D"/>
    <w:rsid w:val="00D80B3A"/>
    <w:rsid w:val="00D80D85"/>
    <w:rsid w:val="00D80EC8"/>
    <w:rsid w:val="00D8168E"/>
    <w:rsid w:val="00D818B3"/>
    <w:rsid w:val="00D81DF6"/>
    <w:rsid w:val="00D82278"/>
    <w:rsid w:val="00D824C9"/>
    <w:rsid w:val="00D82F8D"/>
    <w:rsid w:val="00D82FF3"/>
    <w:rsid w:val="00D83563"/>
    <w:rsid w:val="00D83571"/>
    <w:rsid w:val="00D83894"/>
    <w:rsid w:val="00D83AF5"/>
    <w:rsid w:val="00D83C39"/>
    <w:rsid w:val="00D83D2D"/>
    <w:rsid w:val="00D83FD0"/>
    <w:rsid w:val="00D844CA"/>
    <w:rsid w:val="00D84991"/>
    <w:rsid w:val="00D84F9E"/>
    <w:rsid w:val="00D851E2"/>
    <w:rsid w:val="00D8564C"/>
    <w:rsid w:val="00D85990"/>
    <w:rsid w:val="00D859C7"/>
    <w:rsid w:val="00D85D73"/>
    <w:rsid w:val="00D85FDF"/>
    <w:rsid w:val="00D861ED"/>
    <w:rsid w:val="00D86317"/>
    <w:rsid w:val="00D86397"/>
    <w:rsid w:val="00D86643"/>
    <w:rsid w:val="00D869CA"/>
    <w:rsid w:val="00D87A3C"/>
    <w:rsid w:val="00D90074"/>
    <w:rsid w:val="00D90357"/>
    <w:rsid w:val="00D904D5"/>
    <w:rsid w:val="00D90A06"/>
    <w:rsid w:val="00D90A69"/>
    <w:rsid w:val="00D90CEE"/>
    <w:rsid w:val="00D90F8C"/>
    <w:rsid w:val="00D912D2"/>
    <w:rsid w:val="00D91412"/>
    <w:rsid w:val="00D915BF"/>
    <w:rsid w:val="00D9190A"/>
    <w:rsid w:val="00D91B11"/>
    <w:rsid w:val="00D92006"/>
    <w:rsid w:val="00D92030"/>
    <w:rsid w:val="00D925BA"/>
    <w:rsid w:val="00D927E6"/>
    <w:rsid w:val="00D92A63"/>
    <w:rsid w:val="00D933F2"/>
    <w:rsid w:val="00D9375D"/>
    <w:rsid w:val="00D93FC9"/>
    <w:rsid w:val="00D9476D"/>
    <w:rsid w:val="00D94AE5"/>
    <w:rsid w:val="00D94AEA"/>
    <w:rsid w:val="00D94B76"/>
    <w:rsid w:val="00D94D7B"/>
    <w:rsid w:val="00D94F3E"/>
    <w:rsid w:val="00D94F42"/>
    <w:rsid w:val="00D94F72"/>
    <w:rsid w:val="00D95178"/>
    <w:rsid w:val="00D95736"/>
    <w:rsid w:val="00D95809"/>
    <w:rsid w:val="00D95A1E"/>
    <w:rsid w:val="00D95AA3"/>
    <w:rsid w:val="00D95E6A"/>
    <w:rsid w:val="00D96098"/>
    <w:rsid w:val="00D96289"/>
    <w:rsid w:val="00D9654B"/>
    <w:rsid w:val="00D96626"/>
    <w:rsid w:val="00D96686"/>
    <w:rsid w:val="00D9690A"/>
    <w:rsid w:val="00D96F22"/>
    <w:rsid w:val="00D97192"/>
    <w:rsid w:val="00D97952"/>
    <w:rsid w:val="00D97D62"/>
    <w:rsid w:val="00DA08E3"/>
    <w:rsid w:val="00DA0E31"/>
    <w:rsid w:val="00DA169E"/>
    <w:rsid w:val="00DA1765"/>
    <w:rsid w:val="00DA1785"/>
    <w:rsid w:val="00DA18A3"/>
    <w:rsid w:val="00DA193E"/>
    <w:rsid w:val="00DA1BC4"/>
    <w:rsid w:val="00DA21BF"/>
    <w:rsid w:val="00DA3105"/>
    <w:rsid w:val="00DA34E7"/>
    <w:rsid w:val="00DA3755"/>
    <w:rsid w:val="00DA3C0D"/>
    <w:rsid w:val="00DA5484"/>
    <w:rsid w:val="00DA5669"/>
    <w:rsid w:val="00DA56E3"/>
    <w:rsid w:val="00DA5C43"/>
    <w:rsid w:val="00DA607C"/>
    <w:rsid w:val="00DA635F"/>
    <w:rsid w:val="00DA796F"/>
    <w:rsid w:val="00DA7C6B"/>
    <w:rsid w:val="00DA7DAD"/>
    <w:rsid w:val="00DA7E67"/>
    <w:rsid w:val="00DB018B"/>
    <w:rsid w:val="00DB0523"/>
    <w:rsid w:val="00DB0615"/>
    <w:rsid w:val="00DB07AC"/>
    <w:rsid w:val="00DB0860"/>
    <w:rsid w:val="00DB08B2"/>
    <w:rsid w:val="00DB0936"/>
    <w:rsid w:val="00DB0A2D"/>
    <w:rsid w:val="00DB0C6E"/>
    <w:rsid w:val="00DB0E22"/>
    <w:rsid w:val="00DB10B9"/>
    <w:rsid w:val="00DB1486"/>
    <w:rsid w:val="00DB1518"/>
    <w:rsid w:val="00DB1AA9"/>
    <w:rsid w:val="00DB269C"/>
    <w:rsid w:val="00DB3116"/>
    <w:rsid w:val="00DB31E4"/>
    <w:rsid w:val="00DB342E"/>
    <w:rsid w:val="00DB399C"/>
    <w:rsid w:val="00DB3D0E"/>
    <w:rsid w:val="00DB4798"/>
    <w:rsid w:val="00DB504B"/>
    <w:rsid w:val="00DB5375"/>
    <w:rsid w:val="00DB56A8"/>
    <w:rsid w:val="00DB58A1"/>
    <w:rsid w:val="00DB5A09"/>
    <w:rsid w:val="00DB6483"/>
    <w:rsid w:val="00DB6AFF"/>
    <w:rsid w:val="00DB6CF4"/>
    <w:rsid w:val="00DB6E06"/>
    <w:rsid w:val="00DB70AE"/>
    <w:rsid w:val="00DB794D"/>
    <w:rsid w:val="00DB79EF"/>
    <w:rsid w:val="00DB7C3C"/>
    <w:rsid w:val="00DC02BF"/>
    <w:rsid w:val="00DC07FE"/>
    <w:rsid w:val="00DC0841"/>
    <w:rsid w:val="00DC1426"/>
    <w:rsid w:val="00DC146E"/>
    <w:rsid w:val="00DC1AF8"/>
    <w:rsid w:val="00DC201C"/>
    <w:rsid w:val="00DC2324"/>
    <w:rsid w:val="00DC238C"/>
    <w:rsid w:val="00DC241C"/>
    <w:rsid w:val="00DC250D"/>
    <w:rsid w:val="00DC26F7"/>
    <w:rsid w:val="00DC2760"/>
    <w:rsid w:val="00DC2B28"/>
    <w:rsid w:val="00DC2F6C"/>
    <w:rsid w:val="00DC38DE"/>
    <w:rsid w:val="00DC404C"/>
    <w:rsid w:val="00DC4608"/>
    <w:rsid w:val="00DC48B5"/>
    <w:rsid w:val="00DC4D3C"/>
    <w:rsid w:val="00DC4E56"/>
    <w:rsid w:val="00DC4EB8"/>
    <w:rsid w:val="00DC5693"/>
    <w:rsid w:val="00DC59EC"/>
    <w:rsid w:val="00DC5DB5"/>
    <w:rsid w:val="00DC5F64"/>
    <w:rsid w:val="00DC5F7F"/>
    <w:rsid w:val="00DC612A"/>
    <w:rsid w:val="00DC6A7C"/>
    <w:rsid w:val="00DC701F"/>
    <w:rsid w:val="00DC7803"/>
    <w:rsid w:val="00DD00D3"/>
    <w:rsid w:val="00DD0198"/>
    <w:rsid w:val="00DD025B"/>
    <w:rsid w:val="00DD044E"/>
    <w:rsid w:val="00DD046E"/>
    <w:rsid w:val="00DD0D3C"/>
    <w:rsid w:val="00DD0E96"/>
    <w:rsid w:val="00DD0F44"/>
    <w:rsid w:val="00DD1503"/>
    <w:rsid w:val="00DD162A"/>
    <w:rsid w:val="00DD1745"/>
    <w:rsid w:val="00DD1813"/>
    <w:rsid w:val="00DD184B"/>
    <w:rsid w:val="00DD187E"/>
    <w:rsid w:val="00DD1C75"/>
    <w:rsid w:val="00DD1DC1"/>
    <w:rsid w:val="00DD2379"/>
    <w:rsid w:val="00DD2A7D"/>
    <w:rsid w:val="00DD3501"/>
    <w:rsid w:val="00DD3815"/>
    <w:rsid w:val="00DD3D64"/>
    <w:rsid w:val="00DD3D7C"/>
    <w:rsid w:val="00DD4189"/>
    <w:rsid w:val="00DD44C4"/>
    <w:rsid w:val="00DD470C"/>
    <w:rsid w:val="00DD476C"/>
    <w:rsid w:val="00DD4B59"/>
    <w:rsid w:val="00DD4C85"/>
    <w:rsid w:val="00DD519F"/>
    <w:rsid w:val="00DD5204"/>
    <w:rsid w:val="00DD6103"/>
    <w:rsid w:val="00DD64FA"/>
    <w:rsid w:val="00DD68BB"/>
    <w:rsid w:val="00DD690D"/>
    <w:rsid w:val="00DD6DA7"/>
    <w:rsid w:val="00DE02CD"/>
    <w:rsid w:val="00DE059E"/>
    <w:rsid w:val="00DE06C2"/>
    <w:rsid w:val="00DE0B2F"/>
    <w:rsid w:val="00DE0E53"/>
    <w:rsid w:val="00DE20D3"/>
    <w:rsid w:val="00DE20EE"/>
    <w:rsid w:val="00DE216D"/>
    <w:rsid w:val="00DE261B"/>
    <w:rsid w:val="00DE2924"/>
    <w:rsid w:val="00DE32E1"/>
    <w:rsid w:val="00DE3829"/>
    <w:rsid w:val="00DE4059"/>
    <w:rsid w:val="00DE413B"/>
    <w:rsid w:val="00DE4153"/>
    <w:rsid w:val="00DE4272"/>
    <w:rsid w:val="00DE42A0"/>
    <w:rsid w:val="00DE45BE"/>
    <w:rsid w:val="00DE4734"/>
    <w:rsid w:val="00DE4B28"/>
    <w:rsid w:val="00DE4C99"/>
    <w:rsid w:val="00DE51E4"/>
    <w:rsid w:val="00DE5C69"/>
    <w:rsid w:val="00DE5EC6"/>
    <w:rsid w:val="00DE6040"/>
    <w:rsid w:val="00DE66D1"/>
    <w:rsid w:val="00DE694D"/>
    <w:rsid w:val="00DE6B40"/>
    <w:rsid w:val="00DE6E65"/>
    <w:rsid w:val="00DE7556"/>
    <w:rsid w:val="00DE7B90"/>
    <w:rsid w:val="00DF056D"/>
    <w:rsid w:val="00DF072E"/>
    <w:rsid w:val="00DF0779"/>
    <w:rsid w:val="00DF0ABC"/>
    <w:rsid w:val="00DF1272"/>
    <w:rsid w:val="00DF1305"/>
    <w:rsid w:val="00DF136C"/>
    <w:rsid w:val="00DF1865"/>
    <w:rsid w:val="00DF19FF"/>
    <w:rsid w:val="00DF206C"/>
    <w:rsid w:val="00DF2BAF"/>
    <w:rsid w:val="00DF2CBA"/>
    <w:rsid w:val="00DF2EE3"/>
    <w:rsid w:val="00DF365D"/>
    <w:rsid w:val="00DF39EF"/>
    <w:rsid w:val="00DF3CCD"/>
    <w:rsid w:val="00DF3DD2"/>
    <w:rsid w:val="00DF3F36"/>
    <w:rsid w:val="00DF411E"/>
    <w:rsid w:val="00DF4315"/>
    <w:rsid w:val="00DF4A70"/>
    <w:rsid w:val="00DF4ADE"/>
    <w:rsid w:val="00DF558C"/>
    <w:rsid w:val="00DF598F"/>
    <w:rsid w:val="00DF5D1F"/>
    <w:rsid w:val="00DF661D"/>
    <w:rsid w:val="00DF67D1"/>
    <w:rsid w:val="00DF6A60"/>
    <w:rsid w:val="00DF6CDC"/>
    <w:rsid w:val="00DF6D07"/>
    <w:rsid w:val="00DF762E"/>
    <w:rsid w:val="00DF7833"/>
    <w:rsid w:val="00DF7A7A"/>
    <w:rsid w:val="00DF7D37"/>
    <w:rsid w:val="00DF7FA6"/>
    <w:rsid w:val="00E00536"/>
    <w:rsid w:val="00E005B3"/>
    <w:rsid w:val="00E00AD1"/>
    <w:rsid w:val="00E00D0E"/>
    <w:rsid w:val="00E010CA"/>
    <w:rsid w:val="00E017DD"/>
    <w:rsid w:val="00E0193E"/>
    <w:rsid w:val="00E01FD3"/>
    <w:rsid w:val="00E02001"/>
    <w:rsid w:val="00E0229F"/>
    <w:rsid w:val="00E022B7"/>
    <w:rsid w:val="00E02416"/>
    <w:rsid w:val="00E02C6B"/>
    <w:rsid w:val="00E02DE9"/>
    <w:rsid w:val="00E031E3"/>
    <w:rsid w:val="00E032AC"/>
    <w:rsid w:val="00E034A0"/>
    <w:rsid w:val="00E03B48"/>
    <w:rsid w:val="00E03C78"/>
    <w:rsid w:val="00E03E4F"/>
    <w:rsid w:val="00E041CA"/>
    <w:rsid w:val="00E0477E"/>
    <w:rsid w:val="00E048D5"/>
    <w:rsid w:val="00E0493E"/>
    <w:rsid w:val="00E049CD"/>
    <w:rsid w:val="00E04C58"/>
    <w:rsid w:val="00E05358"/>
    <w:rsid w:val="00E055F9"/>
    <w:rsid w:val="00E05785"/>
    <w:rsid w:val="00E05A3E"/>
    <w:rsid w:val="00E05D79"/>
    <w:rsid w:val="00E06848"/>
    <w:rsid w:val="00E069CA"/>
    <w:rsid w:val="00E07558"/>
    <w:rsid w:val="00E07647"/>
    <w:rsid w:val="00E07C23"/>
    <w:rsid w:val="00E07EF2"/>
    <w:rsid w:val="00E10245"/>
    <w:rsid w:val="00E10663"/>
    <w:rsid w:val="00E11023"/>
    <w:rsid w:val="00E110AC"/>
    <w:rsid w:val="00E11448"/>
    <w:rsid w:val="00E118CF"/>
    <w:rsid w:val="00E11DC1"/>
    <w:rsid w:val="00E12257"/>
    <w:rsid w:val="00E1281E"/>
    <w:rsid w:val="00E12AD5"/>
    <w:rsid w:val="00E12B3A"/>
    <w:rsid w:val="00E13147"/>
    <w:rsid w:val="00E14113"/>
    <w:rsid w:val="00E14490"/>
    <w:rsid w:val="00E1453F"/>
    <w:rsid w:val="00E1458D"/>
    <w:rsid w:val="00E14A3F"/>
    <w:rsid w:val="00E14B85"/>
    <w:rsid w:val="00E14C8A"/>
    <w:rsid w:val="00E14F07"/>
    <w:rsid w:val="00E14F2D"/>
    <w:rsid w:val="00E153EC"/>
    <w:rsid w:val="00E1541D"/>
    <w:rsid w:val="00E15AEF"/>
    <w:rsid w:val="00E15B23"/>
    <w:rsid w:val="00E15F61"/>
    <w:rsid w:val="00E163E8"/>
    <w:rsid w:val="00E165A4"/>
    <w:rsid w:val="00E16794"/>
    <w:rsid w:val="00E1681E"/>
    <w:rsid w:val="00E16838"/>
    <w:rsid w:val="00E16A57"/>
    <w:rsid w:val="00E16B54"/>
    <w:rsid w:val="00E16CE7"/>
    <w:rsid w:val="00E16E33"/>
    <w:rsid w:val="00E16E56"/>
    <w:rsid w:val="00E16E75"/>
    <w:rsid w:val="00E17301"/>
    <w:rsid w:val="00E17488"/>
    <w:rsid w:val="00E17D08"/>
    <w:rsid w:val="00E17F75"/>
    <w:rsid w:val="00E20148"/>
    <w:rsid w:val="00E208D9"/>
    <w:rsid w:val="00E20BDD"/>
    <w:rsid w:val="00E2125D"/>
    <w:rsid w:val="00E214F3"/>
    <w:rsid w:val="00E221EE"/>
    <w:rsid w:val="00E22DD2"/>
    <w:rsid w:val="00E233A6"/>
    <w:rsid w:val="00E235D5"/>
    <w:rsid w:val="00E23683"/>
    <w:rsid w:val="00E238DD"/>
    <w:rsid w:val="00E23903"/>
    <w:rsid w:val="00E23ABB"/>
    <w:rsid w:val="00E23B86"/>
    <w:rsid w:val="00E24203"/>
    <w:rsid w:val="00E245A2"/>
    <w:rsid w:val="00E24867"/>
    <w:rsid w:val="00E25421"/>
    <w:rsid w:val="00E259AE"/>
    <w:rsid w:val="00E25FBE"/>
    <w:rsid w:val="00E26712"/>
    <w:rsid w:val="00E26AF0"/>
    <w:rsid w:val="00E26B45"/>
    <w:rsid w:val="00E26BAF"/>
    <w:rsid w:val="00E27554"/>
    <w:rsid w:val="00E279D3"/>
    <w:rsid w:val="00E27A67"/>
    <w:rsid w:val="00E27B28"/>
    <w:rsid w:val="00E300D3"/>
    <w:rsid w:val="00E302F8"/>
    <w:rsid w:val="00E3088A"/>
    <w:rsid w:val="00E30E26"/>
    <w:rsid w:val="00E30E7E"/>
    <w:rsid w:val="00E31565"/>
    <w:rsid w:val="00E31952"/>
    <w:rsid w:val="00E31B1E"/>
    <w:rsid w:val="00E31C8E"/>
    <w:rsid w:val="00E31DA0"/>
    <w:rsid w:val="00E323B9"/>
    <w:rsid w:val="00E326B7"/>
    <w:rsid w:val="00E32DD1"/>
    <w:rsid w:val="00E33295"/>
    <w:rsid w:val="00E33AC2"/>
    <w:rsid w:val="00E34287"/>
    <w:rsid w:val="00E34440"/>
    <w:rsid w:val="00E3472A"/>
    <w:rsid w:val="00E34A60"/>
    <w:rsid w:val="00E34E2E"/>
    <w:rsid w:val="00E34E37"/>
    <w:rsid w:val="00E34EE0"/>
    <w:rsid w:val="00E35747"/>
    <w:rsid w:val="00E3577F"/>
    <w:rsid w:val="00E35982"/>
    <w:rsid w:val="00E35D3B"/>
    <w:rsid w:val="00E35FB1"/>
    <w:rsid w:val="00E3655B"/>
    <w:rsid w:val="00E367D6"/>
    <w:rsid w:val="00E3697F"/>
    <w:rsid w:val="00E36AE8"/>
    <w:rsid w:val="00E36BB8"/>
    <w:rsid w:val="00E36C29"/>
    <w:rsid w:val="00E37191"/>
    <w:rsid w:val="00E37254"/>
    <w:rsid w:val="00E372BE"/>
    <w:rsid w:val="00E405B1"/>
    <w:rsid w:val="00E409C6"/>
    <w:rsid w:val="00E40AC5"/>
    <w:rsid w:val="00E40E5A"/>
    <w:rsid w:val="00E40EC0"/>
    <w:rsid w:val="00E40F5F"/>
    <w:rsid w:val="00E41193"/>
    <w:rsid w:val="00E41484"/>
    <w:rsid w:val="00E41641"/>
    <w:rsid w:val="00E41676"/>
    <w:rsid w:val="00E41A49"/>
    <w:rsid w:val="00E41CB3"/>
    <w:rsid w:val="00E41D49"/>
    <w:rsid w:val="00E41FF2"/>
    <w:rsid w:val="00E42CBB"/>
    <w:rsid w:val="00E43BB2"/>
    <w:rsid w:val="00E43E64"/>
    <w:rsid w:val="00E44483"/>
    <w:rsid w:val="00E44C69"/>
    <w:rsid w:val="00E44D55"/>
    <w:rsid w:val="00E450EE"/>
    <w:rsid w:val="00E4542D"/>
    <w:rsid w:val="00E455FC"/>
    <w:rsid w:val="00E45A6B"/>
    <w:rsid w:val="00E45F51"/>
    <w:rsid w:val="00E463F6"/>
    <w:rsid w:val="00E46E46"/>
    <w:rsid w:val="00E46F2A"/>
    <w:rsid w:val="00E47C80"/>
    <w:rsid w:val="00E47E9B"/>
    <w:rsid w:val="00E5096A"/>
    <w:rsid w:val="00E50D43"/>
    <w:rsid w:val="00E50DEA"/>
    <w:rsid w:val="00E50E7D"/>
    <w:rsid w:val="00E516C4"/>
    <w:rsid w:val="00E519E3"/>
    <w:rsid w:val="00E51AEF"/>
    <w:rsid w:val="00E5204A"/>
    <w:rsid w:val="00E520B0"/>
    <w:rsid w:val="00E52149"/>
    <w:rsid w:val="00E52AF5"/>
    <w:rsid w:val="00E52D10"/>
    <w:rsid w:val="00E52D7A"/>
    <w:rsid w:val="00E53356"/>
    <w:rsid w:val="00E53A66"/>
    <w:rsid w:val="00E53AA0"/>
    <w:rsid w:val="00E540F8"/>
    <w:rsid w:val="00E5430F"/>
    <w:rsid w:val="00E54993"/>
    <w:rsid w:val="00E54A7E"/>
    <w:rsid w:val="00E54DB0"/>
    <w:rsid w:val="00E55CBA"/>
    <w:rsid w:val="00E55CE9"/>
    <w:rsid w:val="00E55F6A"/>
    <w:rsid w:val="00E5631D"/>
    <w:rsid w:val="00E5678B"/>
    <w:rsid w:val="00E56AA6"/>
    <w:rsid w:val="00E56D3E"/>
    <w:rsid w:val="00E57638"/>
    <w:rsid w:val="00E57B62"/>
    <w:rsid w:val="00E57C01"/>
    <w:rsid w:val="00E57C25"/>
    <w:rsid w:val="00E600BA"/>
    <w:rsid w:val="00E60156"/>
    <w:rsid w:val="00E606D4"/>
    <w:rsid w:val="00E60BEF"/>
    <w:rsid w:val="00E60EA1"/>
    <w:rsid w:val="00E619B9"/>
    <w:rsid w:val="00E61C29"/>
    <w:rsid w:val="00E622A6"/>
    <w:rsid w:val="00E62300"/>
    <w:rsid w:val="00E62745"/>
    <w:rsid w:val="00E634E1"/>
    <w:rsid w:val="00E637AF"/>
    <w:rsid w:val="00E63EAC"/>
    <w:rsid w:val="00E640AA"/>
    <w:rsid w:val="00E6449A"/>
    <w:rsid w:val="00E64A6B"/>
    <w:rsid w:val="00E64D0B"/>
    <w:rsid w:val="00E64EDC"/>
    <w:rsid w:val="00E65143"/>
    <w:rsid w:val="00E654E0"/>
    <w:rsid w:val="00E65C40"/>
    <w:rsid w:val="00E65F62"/>
    <w:rsid w:val="00E66AC7"/>
    <w:rsid w:val="00E66C19"/>
    <w:rsid w:val="00E66C63"/>
    <w:rsid w:val="00E66E8C"/>
    <w:rsid w:val="00E67164"/>
    <w:rsid w:val="00E67922"/>
    <w:rsid w:val="00E67AEB"/>
    <w:rsid w:val="00E67C86"/>
    <w:rsid w:val="00E7024D"/>
    <w:rsid w:val="00E70413"/>
    <w:rsid w:val="00E70745"/>
    <w:rsid w:val="00E70A09"/>
    <w:rsid w:val="00E70A67"/>
    <w:rsid w:val="00E70CCC"/>
    <w:rsid w:val="00E70CD2"/>
    <w:rsid w:val="00E712CC"/>
    <w:rsid w:val="00E71881"/>
    <w:rsid w:val="00E724AB"/>
    <w:rsid w:val="00E7276B"/>
    <w:rsid w:val="00E72995"/>
    <w:rsid w:val="00E72AD8"/>
    <w:rsid w:val="00E72C02"/>
    <w:rsid w:val="00E72C19"/>
    <w:rsid w:val="00E732F5"/>
    <w:rsid w:val="00E734C3"/>
    <w:rsid w:val="00E73576"/>
    <w:rsid w:val="00E741B9"/>
    <w:rsid w:val="00E746C5"/>
    <w:rsid w:val="00E748D8"/>
    <w:rsid w:val="00E74D70"/>
    <w:rsid w:val="00E74D94"/>
    <w:rsid w:val="00E74E52"/>
    <w:rsid w:val="00E74E78"/>
    <w:rsid w:val="00E75015"/>
    <w:rsid w:val="00E750BD"/>
    <w:rsid w:val="00E7517B"/>
    <w:rsid w:val="00E75359"/>
    <w:rsid w:val="00E7563A"/>
    <w:rsid w:val="00E756E0"/>
    <w:rsid w:val="00E762AF"/>
    <w:rsid w:val="00E767FF"/>
    <w:rsid w:val="00E76A63"/>
    <w:rsid w:val="00E775C6"/>
    <w:rsid w:val="00E7772C"/>
    <w:rsid w:val="00E77911"/>
    <w:rsid w:val="00E77C86"/>
    <w:rsid w:val="00E77DB2"/>
    <w:rsid w:val="00E80198"/>
    <w:rsid w:val="00E80558"/>
    <w:rsid w:val="00E80647"/>
    <w:rsid w:val="00E80940"/>
    <w:rsid w:val="00E80AC2"/>
    <w:rsid w:val="00E80D0F"/>
    <w:rsid w:val="00E80DC4"/>
    <w:rsid w:val="00E815C9"/>
    <w:rsid w:val="00E816B4"/>
    <w:rsid w:val="00E81C33"/>
    <w:rsid w:val="00E81E4F"/>
    <w:rsid w:val="00E8238A"/>
    <w:rsid w:val="00E827E5"/>
    <w:rsid w:val="00E8292D"/>
    <w:rsid w:val="00E82AE2"/>
    <w:rsid w:val="00E82BBA"/>
    <w:rsid w:val="00E832C9"/>
    <w:rsid w:val="00E83307"/>
    <w:rsid w:val="00E834C0"/>
    <w:rsid w:val="00E83687"/>
    <w:rsid w:val="00E83A46"/>
    <w:rsid w:val="00E83B66"/>
    <w:rsid w:val="00E83BFD"/>
    <w:rsid w:val="00E83E04"/>
    <w:rsid w:val="00E83E37"/>
    <w:rsid w:val="00E842B0"/>
    <w:rsid w:val="00E843E5"/>
    <w:rsid w:val="00E846C8"/>
    <w:rsid w:val="00E84C93"/>
    <w:rsid w:val="00E84E47"/>
    <w:rsid w:val="00E84F2F"/>
    <w:rsid w:val="00E85649"/>
    <w:rsid w:val="00E85EA2"/>
    <w:rsid w:val="00E8616A"/>
    <w:rsid w:val="00E862C4"/>
    <w:rsid w:val="00E865B1"/>
    <w:rsid w:val="00E86E9A"/>
    <w:rsid w:val="00E87248"/>
    <w:rsid w:val="00E90119"/>
    <w:rsid w:val="00E90267"/>
    <w:rsid w:val="00E90760"/>
    <w:rsid w:val="00E9165D"/>
    <w:rsid w:val="00E9201B"/>
    <w:rsid w:val="00E9217F"/>
    <w:rsid w:val="00E927EF"/>
    <w:rsid w:val="00E92B10"/>
    <w:rsid w:val="00E92B6C"/>
    <w:rsid w:val="00E92DDD"/>
    <w:rsid w:val="00E92E53"/>
    <w:rsid w:val="00E93346"/>
    <w:rsid w:val="00E93354"/>
    <w:rsid w:val="00E93417"/>
    <w:rsid w:val="00E9349C"/>
    <w:rsid w:val="00E938C5"/>
    <w:rsid w:val="00E93B6E"/>
    <w:rsid w:val="00E9454B"/>
    <w:rsid w:val="00E95000"/>
    <w:rsid w:val="00E95065"/>
    <w:rsid w:val="00E9528F"/>
    <w:rsid w:val="00E95A49"/>
    <w:rsid w:val="00E968CB"/>
    <w:rsid w:val="00E968FC"/>
    <w:rsid w:val="00E96A98"/>
    <w:rsid w:val="00E96F00"/>
    <w:rsid w:val="00E97334"/>
    <w:rsid w:val="00E97719"/>
    <w:rsid w:val="00E97897"/>
    <w:rsid w:val="00E978B0"/>
    <w:rsid w:val="00EA05B6"/>
    <w:rsid w:val="00EA05B8"/>
    <w:rsid w:val="00EA0911"/>
    <w:rsid w:val="00EA0A1A"/>
    <w:rsid w:val="00EA0EE1"/>
    <w:rsid w:val="00EA1B11"/>
    <w:rsid w:val="00EA1F43"/>
    <w:rsid w:val="00EA213A"/>
    <w:rsid w:val="00EA25AB"/>
    <w:rsid w:val="00EA26E7"/>
    <w:rsid w:val="00EA2776"/>
    <w:rsid w:val="00EA2E75"/>
    <w:rsid w:val="00EA2F6B"/>
    <w:rsid w:val="00EA306A"/>
    <w:rsid w:val="00EA35E3"/>
    <w:rsid w:val="00EA368B"/>
    <w:rsid w:val="00EA3781"/>
    <w:rsid w:val="00EA3B4F"/>
    <w:rsid w:val="00EA3BF2"/>
    <w:rsid w:val="00EA3C6E"/>
    <w:rsid w:val="00EA3F79"/>
    <w:rsid w:val="00EA413F"/>
    <w:rsid w:val="00EA42BE"/>
    <w:rsid w:val="00EA42D4"/>
    <w:rsid w:val="00EA42F2"/>
    <w:rsid w:val="00EA4744"/>
    <w:rsid w:val="00EA49FB"/>
    <w:rsid w:val="00EA504B"/>
    <w:rsid w:val="00EA69D2"/>
    <w:rsid w:val="00EA6E4C"/>
    <w:rsid w:val="00EA6E8F"/>
    <w:rsid w:val="00EA7102"/>
    <w:rsid w:val="00EA7E30"/>
    <w:rsid w:val="00EB0C0F"/>
    <w:rsid w:val="00EB14EC"/>
    <w:rsid w:val="00EB15ED"/>
    <w:rsid w:val="00EB1923"/>
    <w:rsid w:val="00EB19A2"/>
    <w:rsid w:val="00EB24B1"/>
    <w:rsid w:val="00EB28CD"/>
    <w:rsid w:val="00EB3206"/>
    <w:rsid w:val="00EB32B7"/>
    <w:rsid w:val="00EB39FA"/>
    <w:rsid w:val="00EB3AFC"/>
    <w:rsid w:val="00EB3BF5"/>
    <w:rsid w:val="00EB42B7"/>
    <w:rsid w:val="00EB4C7C"/>
    <w:rsid w:val="00EB4EC8"/>
    <w:rsid w:val="00EB4F88"/>
    <w:rsid w:val="00EB523A"/>
    <w:rsid w:val="00EB539D"/>
    <w:rsid w:val="00EB5450"/>
    <w:rsid w:val="00EB585E"/>
    <w:rsid w:val="00EB5D4A"/>
    <w:rsid w:val="00EB5EBA"/>
    <w:rsid w:val="00EB5F6C"/>
    <w:rsid w:val="00EB6439"/>
    <w:rsid w:val="00EB6615"/>
    <w:rsid w:val="00EB670B"/>
    <w:rsid w:val="00EB67FC"/>
    <w:rsid w:val="00EB68B5"/>
    <w:rsid w:val="00EB6DF2"/>
    <w:rsid w:val="00EB7670"/>
    <w:rsid w:val="00EB7D37"/>
    <w:rsid w:val="00EC021E"/>
    <w:rsid w:val="00EC0262"/>
    <w:rsid w:val="00EC049B"/>
    <w:rsid w:val="00EC0F3B"/>
    <w:rsid w:val="00EC1D8E"/>
    <w:rsid w:val="00EC1ECC"/>
    <w:rsid w:val="00EC1F96"/>
    <w:rsid w:val="00EC20FB"/>
    <w:rsid w:val="00EC24AD"/>
    <w:rsid w:val="00EC256A"/>
    <w:rsid w:val="00EC25D0"/>
    <w:rsid w:val="00EC264F"/>
    <w:rsid w:val="00EC27DC"/>
    <w:rsid w:val="00EC28E8"/>
    <w:rsid w:val="00EC2A80"/>
    <w:rsid w:val="00EC2F69"/>
    <w:rsid w:val="00EC4223"/>
    <w:rsid w:val="00EC4873"/>
    <w:rsid w:val="00EC496D"/>
    <w:rsid w:val="00EC4A1D"/>
    <w:rsid w:val="00EC4E04"/>
    <w:rsid w:val="00EC5859"/>
    <w:rsid w:val="00EC5AC4"/>
    <w:rsid w:val="00EC6068"/>
    <w:rsid w:val="00EC659F"/>
    <w:rsid w:val="00EC6F82"/>
    <w:rsid w:val="00EC722A"/>
    <w:rsid w:val="00EC7358"/>
    <w:rsid w:val="00EC7AFA"/>
    <w:rsid w:val="00EC7D2B"/>
    <w:rsid w:val="00ED0179"/>
    <w:rsid w:val="00ED01AF"/>
    <w:rsid w:val="00ED098D"/>
    <w:rsid w:val="00ED0C0B"/>
    <w:rsid w:val="00ED0FD9"/>
    <w:rsid w:val="00ED1205"/>
    <w:rsid w:val="00ED1776"/>
    <w:rsid w:val="00ED198B"/>
    <w:rsid w:val="00ED1A08"/>
    <w:rsid w:val="00ED1EF5"/>
    <w:rsid w:val="00ED230B"/>
    <w:rsid w:val="00ED2378"/>
    <w:rsid w:val="00ED25FE"/>
    <w:rsid w:val="00ED28EE"/>
    <w:rsid w:val="00ED306F"/>
    <w:rsid w:val="00ED31F4"/>
    <w:rsid w:val="00ED345F"/>
    <w:rsid w:val="00ED3621"/>
    <w:rsid w:val="00ED3A3E"/>
    <w:rsid w:val="00ED3C6E"/>
    <w:rsid w:val="00ED3E1F"/>
    <w:rsid w:val="00ED423D"/>
    <w:rsid w:val="00ED4891"/>
    <w:rsid w:val="00ED4D08"/>
    <w:rsid w:val="00ED4E8E"/>
    <w:rsid w:val="00ED5E2E"/>
    <w:rsid w:val="00ED6BAC"/>
    <w:rsid w:val="00ED6F41"/>
    <w:rsid w:val="00ED70F3"/>
    <w:rsid w:val="00ED713F"/>
    <w:rsid w:val="00ED750B"/>
    <w:rsid w:val="00ED79E3"/>
    <w:rsid w:val="00ED7AB0"/>
    <w:rsid w:val="00EE0009"/>
    <w:rsid w:val="00EE01EF"/>
    <w:rsid w:val="00EE033C"/>
    <w:rsid w:val="00EE08B3"/>
    <w:rsid w:val="00EE0A89"/>
    <w:rsid w:val="00EE10F8"/>
    <w:rsid w:val="00EE1BA7"/>
    <w:rsid w:val="00EE1F83"/>
    <w:rsid w:val="00EE248F"/>
    <w:rsid w:val="00EE2AE6"/>
    <w:rsid w:val="00EE2D7F"/>
    <w:rsid w:val="00EE3B3A"/>
    <w:rsid w:val="00EE3BDF"/>
    <w:rsid w:val="00EE3C52"/>
    <w:rsid w:val="00EE3F49"/>
    <w:rsid w:val="00EE43FF"/>
    <w:rsid w:val="00EE4535"/>
    <w:rsid w:val="00EE4813"/>
    <w:rsid w:val="00EE4AA1"/>
    <w:rsid w:val="00EE4D6C"/>
    <w:rsid w:val="00EE5433"/>
    <w:rsid w:val="00EE5885"/>
    <w:rsid w:val="00EE596D"/>
    <w:rsid w:val="00EE5A33"/>
    <w:rsid w:val="00EE5A34"/>
    <w:rsid w:val="00EE6037"/>
    <w:rsid w:val="00EE604A"/>
    <w:rsid w:val="00EE6701"/>
    <w:rsid w:val="00EE674E"/>
    <w:rsid w:val="00EE6897"/>
    <w:rsid w:val="00EE6976"/>
    <w:rsid w:val="00EE699A"/>
    <w:rsid w:val="00EE6E30"/>
    <w:rsid w:val="00EE745F"/>
    <w:rsid w:val="00EE7742"/>
    <w:rsid w:val="00EE7B3A"/>
    <w:rsid w:val="00EF04F2"/>
    <w:rsid w:val="00EF074D"/>
    <w:rsid w:val="00EF0A3F"/>
    <w:rsid w:val="00EF0B57"/>
    <w:rsid w:val="00EF14D9"/>
    <w:rsid w:val="00EF16CC"/>
    <w:rsid w:val="00EF16E1"/>
    <w:rsid w:val="00EF1770"/>
    <w:rsid w:val="00EF18BE"/>
    <w:rsid w:val="00EF18CC"/>
    <w:rsid w:val="00EF1F7A"/>
    <w:rsid w:val="00EF281B"/>
    <w:rsid w:val="00EF2AF4"/>
    <w:rsid w:val="00EF2C12"/>
    <w:rsid w:val="00EF2C66"/>
    <w:rsid w:val="00EF3128"/>
    <w:rsid w:val="00EF3478"/>
    <w:rsid w:val="00EF3A8B"/>
    <w:rsid w:val="00EF3B82"/>
    <w:rsid w:val="00EF3F93"/>
    <w:rsid w:val="00EF459E"/>
    <w:rsid w:val="00EF4A55"/>
    <w:rsid w:val="00EF4AC4"/>
    <w:rsid w:val="00EF4B7F"/>
    <w:rsid w:val="00EF4F95"/>
    <w:rsid w:val="00EF55B8"/>
    <w:rsid w:val="00EF56D2"/>
    <w:rsid w:val="00EF58F1"/>
    <w:rsid w:val="00EF5B95"/>
    <w:rsid w:val="00EF5D05"/>
    <w:rsid w:val="00EF5E20"/>
    <w:rsid w:val="00EF6373"/>
    <w:rsid w:val="00EF6935"/>
    <w:rsid w:val="00EF6BD4"/>
    <w:rsid w:val="00EF6E14"/>
    <w:rsid w:val="00EF7150"/>
    <w:rsid w:val="00EF74BD"/>
    <w:rsid w:val="00EF79C6"/>
    <w:rsid w:val="00EF7BA5"/>
    <w:rsid w:val="00EF7BAA"/>
    <w:rsid w:val="00EF7EBF"/>
    <w:rsid w:val="00F0042B"/>
    <w:rsid w:val="00F00C76"/>
    <w:rsid w:val="00F01036"/>
    <w:rsid w:val="00F010D2"/>
    <w:rsid w:val="00F011AF"/>
    <w:rsid w:val="00F013C7"/>
    <w:rsid w:val="00F0162C"/>
    <w:rsid w:val="00F016A3"/>
    <w:rsid w:val="00F01857"/>
    <w:rsid w:val="00F01CF8"/>
    <w:rsid w:val="00F021BF"/>
    <w:rsid w:val="00F022F7"/>
    <w:rsid w:val="00F02999"/>
    <w:rsid w:val="00F02E07"/>
    <w:rsid w:val="00F02EB5"/>
    <w:rsid w:val="00F02ECC"/>
    <w:rsid w:val="00F0309B"/>
    <w:rsid w:val="00F030D2"/>
    <w:rsid w:val="00F03153"/>
    <w:rsid w:val="00F032CA"/>
    <w:rsid w:val="00F03593"/>
    <w:rsid w:val="00F03766"/>
    <w:rsid w:val="00F037BC"/>
    <w:rsid w:val="00F04244"/>
    <w:rsid w:val="00F04553"/>
    <w:rsid w:val="00F05A14"/>
    <w:rsid w:val="00F05F7E"/>
    <w:rsid w:val="00F0604D"/>
    <w:rsid w:val="00F0614F"/>
    <w:rsid w:val="00F0672E"/>
    <w:rsid w:val="00F06BD2"/>
    <w:rsid w:val="00F06D74"/>
    <w:rsid w:val="00F06F4B"/>
    <w:rsid w:val="00F074C4"/>
    <w:rsid w:val="00F0771E"/>
    <w:rsid w:val="00F1046D"/>
    <w:rsid w:val="00F1058D"/>
    <w:rsid w:val="00F106A0"/>
    <w:rsid w:val="00F10DFC"/>
    <w:rsid w:val="00F116FC"/>
    <w:rsid w:val="00F11BB1"/>
    <w:rsid w:val="00F11CBA"/>
    <w:rsid w:val="00F12334"/>
    <w:rsid w:val="00F124BE"/>
    <w:rsid w:val="00F1258F"/>
    <w:rsid w:val="00F1282F"/>
    <w:rsid w:val="00F12947"/>
    <w:rsid w:val="00F129CB"/>
    <w:rsid w:val="00F12B27"/>
    <w:rsid w:val="00F12F90"/>
    <w:rsid w:val="00F13025"/>
    <w:rsid w:val="00F13106"/>
    <w:rsid w:val="00F138F0"/>
    <w:rsid w:val="00F13B68"/>
    <w:rsid w:val="00F142B9"/>
    <w:rsid w:val="00F14422"/>
    <w:rsid w:val="00F146AA"/>
    <w:rsid w:val="00F14A82"/>
    <w:rsid w:val="00F14C1B"/>
    <w:rsid w:val="00F14E7D"/>
    <w:rsid w:val="00F15142"/>
    <w:rsid w:val="00F157BC"/>
    <w:rsid w:val="00F15A08"/>
    <w:rsid w:val="00F15A77"/>
    <w:rsid w:val="00F15C19"/>
    <w:rsid w:val="00F1620B"/>
    <w:rsid w:val="00F166CD"/>
    <w:rsid w:val="00F167A5"/>
    <w:rsid w:val="00F169C5"/>
    <w:rsid w:val="00F16C27"/>
    <w:rsid w:val="00F16F0A"/>
    <w:rsid w:val="00F16F2A"/>
    <w:rsid w:val="00F17183"/>
    <w:rsid w:val="00F173BA"/>
    <w:rsid w:val="00F17C86"/>
    <w:rsid w:val="00F20665"/>
    <w:rsid w:val="00F20D94"/>
    <w:rsid w:val="00F2100B"/>
    <w:rsid w:val="00F211EB"/>
    <w:rsid w:val="00F21233"/>
    <w:rsid w:val="00F21885"/>
    <w:rsid w:val="00F21C0C"/>
    <w:rsid w:val="00F21F2A"/>
    <w:rsid w:val="00F2269E"/>
    <w:rsid w:val="00F22818"/>
    <w:rsid w:val="00F233D2"/>
    <w:rsid w:val="00F23972"/>
    <w:rsid w:val="00F23BC2"/>
    <w:rsid w:val="00F23DC8"/>
    <w:rsid w:val="00F23EE4"/>
    <w:rsid w:val="00F241E7"/>
    <w:rsid w:val="00F2440D"/>
    <w:rsid w:val="00F2457F"/>
    <w:rsid w:val="00F248BC"/>
    <w:rsid w:val="00F24CCE"/>
    <w:rsid w:val="00F24EFA"/>
    <w:rsid w:val="00F250AF"/>
    <w:rsid w:val="00F25219"/>
    <w:rsid w:val="00F254A3"/>
    <w:rsid w:val="00F259B6"/>
    <w:rsid w:val="00F25A87"/>
    <w:rsid w:val="00F262D9"/>
    <w:rsid w:val="00F26906"/>
    <w:rsid w:val="00F27161"/>
    <w:rsid w:val="00F27185"/>
    <w:rsid w:val="00F2738A"/>
    <w:rsid w:val="00F277C9"/>
    <w:rsid w:val="00F27957"/>
    <w:rsid w:val="00F27C35"/>
    <w:rsid w:val="00F30726"/>
    <w:rsid w:val="00F30D3F"/>
    <w:rsid w:val="00F31095"/>
    <w:rsid w:val="00F31362"/>
    <w:rsid w:val="00F31BCC"/>
    <w:rsid w:val="00F31BF5"/>
    <w:rsid w:val="00F31D2B"/>
    <w:rsid w:val="00F31F13"/>
    <w:rsid w:val="00F32640"/>
    <w:rsid w:val="00F32757"/>
    <w:rsid w:val="00F32A5A"/>
    <w:rsid w:val="00F32EB7"/>
    <w:rsid w:val="00F32EEE"/>
    <w:rsid w:val="00F334D7"/>
    <w:rsid w:val="00F33560"/>
    <w:rsid w:val="00F339C4"/>
    <w:rsid w:val="00F33F19"/>
    <w:rsid w:val="00F340FD"/>
    <w:rsid w:val="00F342E2"/>
    <w:rsid w:val="00F34BD8"/>
    <w:rsid w:val="00F34D3E"/>
    <w:rsid w:val="00F34DBA"/>
    <w:rsid w:val="00F34E3A"/>
    <w:rsid w:val="00F34F18"/>
    <w:rsid w:val="00F354BC"/>
    <w:rsid w:val="00F3573E"/>
    <w:rsid w:val="00F35AEE"/>
    <w:rsid w:val="00F360F4"/>
    <w:rsid w:val="00F36230"/>
    <w:rsid w:val="00F36236"/>
    <w:rsid w:val="00F36307"/>
    <w:rsid w:val="00F36499"/>
    <w:rsid w:val="00F365F5"/>
    <w:rsid w:val="00F36696"/>
    <w:rsid w:val="00F36ACA"/>
    <w:rsid w:val="00F36B1E"/>
    <w:rsid w:val="00F36ED9"/>
    <w:rsid w:val="00F3731C"/>
    <w:rsid w:val="00F37432"/>
    <w:rsid w:val="00F379A3"/>
    <w:rsid w:val="00F37AB5"/>
    <w:rsid w:val="00F37C03"/>
    <w:rsid w:val="00F37C9A"/>
    <w:rsid w:val="00F4028C"/>
    <w:rsid w:val="00F40655"/>
    <w:rsid w:val="00F40719"/>
    <w:rsid w:val="00F40BF9"/>
    <w:rsid w:val="00F40C91"/>
    <w:rsid w:val="00F41A1F"/>
    <w:rsid w:val="00F41A77"/>
    <w:rsid w:val="00F41ABC"/>
    <w:rsid w:val="00F41AD2"/>
    <w:rsid w:val="00F41EFA"/>
    <w:rsid w:val="00F41F9A"/>
    <w:rsid w:val="00F420B4"/>
    <w:rsid w:val="00F4292A"/>
    <w:rsid w:val="00F430E2"/>
    <w:rsid w:val="00F430F5"/>
    <w:rsid w:val="00F434B8"/>
    <w:rsid w:val="00F43575"/>
    <w:rsid w:val="00F43A99"/>
    <w:rsid w:val="00F442B2"/>
    <w:rsid w:val="00F446E6"/>
    <w:rsid w:val="00F44886"/>
    <w:rsid w:val="00F448AD"/>
    <w:rsid w:val="00F44DE5"/>
    <w:rsid w:val="00F44FFB"/>
    <w:rsid w:val="00F45229"/>
    <w:rsid w:val="00F452E1"/>
    <w:rsid w:val="00F45795"/>
    <w:rsid w:val="00F4605C"/>
    <w:rsid w:val="00F46365"/>
    <w:rsid w:val="00F46380"/>
    <w:rsid w:val="00F467BB"/>
    <w:rsid w:val="00F46D28"/>
    <w:rsid w:val="00F471F2"/>
    <w:rsid w:val="00F47201"/>
    <w:rsid w:val="00F47303"/>
    <w:rsid w:val="00F47C18"/>
    <w:rsid w:val="00F47EAF"/>
    <w:rsid w:val="00F500DC"/>
    <w:rsid w:val="00F50230"/>
    <w:rsid w:val="00F50546"/>
    <w:rsid w:val="00F50560"/>
    <w:rsid w:val="00F5073E"/>
    <w:rsid w:val="00F50993"/>
    <w:rsid w:val="00F509AD"/>
    <w:rsid w:val="00F509D5"/>
    <w:rsid w:val="00F50E71"/>
    <w:rsid w:val="00F50EFE"/>
    <w:rsid w:val="00F51110"/>
    <w:rsid w:val="00F51399"/>
    <w:rsid w:val="00F51AED"/>
    <w:rsid w:val="00F51B6F"/>
    <w:rsid w:val="00F51BE0"/>
    <w:rsid w:val="00F51F43"/>
    <w:rsid w:val="00F52076"/>
    <w:rsid w:val="00F52186"/>
    <w:rsid w:val="00F524B2"/>
    <w:rsid w:val="00F527A8"/>
    <w:rsid w:val="00F527F5"/>
    <w:rsid w:val="00F52881"/>
    <w:rsid w:val="00F528B2"/>
    <w:rsid w:val="00F52AAA"/>
    <w:rsid w:val="00F53185"/>
    <w:rsid w:val="00F532A1"/>
    <w:rsid w:val="00F53582"/>
    <w:rsid w:val="00F5381B"/>
    <w:rsid w:val="00F53906"/>
    <w:rsid w:val="00F53946"/>
    <w:rsid w:val="00F53B93"/>
    <w:rsid w:val="00F541A8"/>
    <w:rsid w:val="00F544A9"/>
    <w:rsid w:val="00F54C0B"/>
    <w:rsid w:val="00F54FAE"/>
    <w:rsid w:val="00F554C3"/>
    <w:rsid w:val="00F556BA"/>
    <w:rsid w:val="00F557DD"/>
    <w:rsid w:val="00F5584D"/>
    <w:rsid w:val="00F55EE4"/>
    <w:rsid w:val="00F562D7"/>
    <w:rsid w:val="00F568B1"/>
    <w:rsid w:val="00F56CA7"/>
    <w:rsid w:val="00F56F80"/>
    <w:rsid w:val="00F5735B"/>
    <w:rsid w:val="00F601FD"/>
    <w:rsid w:val="00F60294"/>
    <w:rsid w:val="00F607A9"/>
    <w:rsid w:val="00F608BB"/>
    <w:rsid w:val="00F608E2"/>
    <w:rsid w:val="00F614A1"/>
    <w:rsid w:val="00F6192A"/>
    <w:rsid w:val="00F6199B"/>
    <w:rsid w:val="00F624A6"/>
    <w:rsid w:val="00F62747"/>
    <w:rsid w:val="00F628F9"/>
    <w:rsid w:val="00F6295A"/>
    <w:rsid w:val="00F62D15"/>
    <w:rsid w:val="00F6366E"/>
    <w:rsid w:val="00F63F86"/>
    <w:rsid w:val="00F64041"/>
    <w:rsid w:val="00F646EC"/>
    <w:rsid w:val="00F64C6D"/>
    <w:rsid w:val="00F658F9"/>
    <w:rsid w:val="00F65BAE"/>
    <w:rsid w:val="00F65BFE"/>
    <w:rsid w:val="00F65D6F"/>
    <w:rsid w:val="00F65D90"/>
    <w:rsid w:val="00F67187"/>
    <w:rsid w:val="00F673D3"/>
    <w:rsid w:val="00F674D6"/>
    <w:rsid w:val="00F676C0"/>
    <w:rsid w:val="00F67970"/>
    <w:rsid w:val="00F67F4E"/>
    <w:rsid w:val="00F70063"/>
    <w:rsid w:val="00F701E1"/>
    <w:rsid w:val="00F70728"/>
    <w:rsid w:val="00F70D6D"/>
    <w:rsid w:val="00F70F4C"/>
    <w:rsid w:val="00F71148"/>
    <w:rsid w:val="00F7145D"/>
    <w:rsid w:val="00F71993"/>
    <w:rsid w:val="00F728C6"/>
    <w:rsid w:val="00F72A85"/>
    <w:rsid w:val="00F72B5B"/>
    <w:rsid w:val="00F72B6A"/>
    <w:rsid w:val="00F73248"/>
    <w:rsid w:val="00F73772"/>
    <w:rsid w:val="00F7393A"/>
    <w:rsid w:val="00F73AFF"/>
    <w:rsid w:val="00F73FED"/>
    <w:rsid w:val="00F74395"/>
    <w:rsid w:val="00F74676"/>
    <w:rsid w:val="00F74FA4"/>
    <w:rsid w:val="00F7531C"/>
    <w:rsid w:val="00F753E8"/>
    <w:rsid w:val="00F75730"/>
    <w:rsid w:val="00F758AD"/>
    <w:rsid w:val="00F75A39"/>
    <w:rsid w:val="00F75A6D"/>
    <w:rsid w:val="00F75AC2"/>
    <w:rsid w:val="00F75B30"/>
    <w:rsid w:val="00F764A9"/>
    <w:rsid w:val="00F7669E"/>
    <w:rsid w:val="00F766ED"/>
    <w:rsid w:val="00F76A27"/>
    <w:rsid w:val="00F774A0"/>
    <w:rsid w:val="00F777FE"/>
    <w:rsid w:val="00F7787E"/>
    <w:rsid w:val="00F77B0D"/>
    <w:rsid w:val="00F8049A"/>
    <w:rsid w:val="00F805C4"/>
    <w:rsid w:val="00F8093E"/>
    <w:rsid w:val="00F80ACB"/>
    <w:rsid w:val="00F8131F"/>
    <w:rsid w:val="00F81327"/>
    <w:rsid w:val="00F817BC"/>
    <w:rsid w:val="00F81ACE"/>
    <w:rsid w:val="00F81C29"/>
    <w:rsid w:val="00F81CDF"/>
    <w:rsid w:val="00F81DCD"/>
    <w:rsid w:val="00F81E24"/>
    <w:rsid w:val="00F82130"/>
    <w:rsid w:val="00F82288"/>
    <w:rsid w:val="00F822E2"/>
    <w:rsid w:val="00F82554"/>
    <w:rsid w:val="00F8278F"/>
    <w:rsid w:val="00F82AFE"/>
    <w:rsid w:val="00F82B67"/>
    <w:rsid w:val="00F82ED3"/>
    <w:rsid w:val="00F838AF"/>
    <w:rsid w:val="00F843EF"/>
    <w:rsid w:val="00F84E94"/>
    <w:rsid w:val="00F84F63"/>
    <w:rsid w:val="00F84F9C"/>
    <w:rsid w:val="00F851D3"/>
    <w:rsid w:val="00F855F7"/>
    <w:rsid w:val="00F8598C"/>
    <w:rsid w:val="00F859C8"/>
    <w:rsid w:val="00F85B99"/>
    <w:rsid w:val="00F85F2F"/>
    <w:rsid w:val="00F86105"/>
    <w:rsid w:val="00F869E9"/>
    <w:rsid w:val="00F86D44"/>
    <w:rsid w:val="00F8707F"/>
    <w:rsid w:val="00F87195"/>
    <w:rsid w:val="00F87539"/>
    <w:rsid w:val="00F87666"/>
    <w:rsid w:val="00F87C86"/>
    <w:rsid w:val="00F90292"/>
    <w:rsid w:val="00F906CB"/>
    <w:rsid w:val="00F90805"/>
    <w:rsid w:val="00F914FF"/>
    <w:rsid w:val="00F91849"/>
    <w:rsid w:val="00F91F89"/>
    <w:rsid w:val="00F92A22"/>
    <w:rsid w:val="00F939DC"/>
    <w:rsid w:val="00F93CD1"/>
    <w:rsid w:val="00F93D87"/>
    <w:rsid w:val="00F93DA3"/>
    <w:rsid w:val="00F93E42"/>
    <w:rsid w:val="00F9459C"/>
    <w:rsid w:val="00F945DC"/>
    <w:rsid w:val="00F946ED"/>
    <w:rsid w:val="00F9487E"/>
    <w:rsid w:val="00F949E1"/>
    <w:rsid w:val="00F9547D"/>
    <w:rsid w:val="00F95494"/>
    <w:rsid w:val="00F956B7"/>
    <w:rsid w:val="00F95A87"/>
    <w:rsid w:val="00F95D1D"/>
    <w:rsid w:val="00F95F17"/>
    <w:rsid w:val="00F960B2"/>
    <w:rsid w:val="00F96166"/>
    <w:rsid w:val="00F9619C"/>
    <w:rsid w:val="00F96961"/>
    <w:rsid w:val="00F96D00"/>
    <w:rsid w:val="00F96D06"/>
    <w:rsid w:val="00F9710A"/>
    <w:rsid w:val="00F97239"/>
    <w:rsid w:val="00F9757C"/>
    <w:rsid w:val="00F976A0"/>
    <w:rsid w:val="00F97B03"/>
    <w:rsid w:val="00F97DEB"/>
    <w:rsid w:val="00F97EF2"/>
    <w:rsid w:val="00F97EF5"/>
    <w:rsid w:val="00FA08E1"/>
    <w:rsid w:val="00FA098E"/>
    <w:rsid w:val="00FA0E93"/>
    <w:rsid w:val="00FA1240"/>
    <w:rsid w:val="00FA1373"/>
    <w:rsid w:val="00FA13E8"/>
    <w:rsid w:val="00FA19CC"/>
    <w:rsid w:val="00FA1B66"/>
    <w:rsid w:val="00FA1DE9"/>
    <w:rsid w:val="00FA1EEC"/>
    <w:rsid w:val="00FA236A"/>
    <w:rsid w:val="00FA2BC3"/>
    <w:rsid w:val="00FA313E"/>
    <w:rsid w:val="00FA3A2B"/>
    <w:rsid w:val="00FA3C05"/>
    <w:rsid w:val="00FA3D6A"/>
    <w:rsid w:val="00FA3E79"/>
    <w:rsid w:val="00FA4045"/>
    <w:rsid w:val="00FA482F"/>
    <w:rsid w:val="00FA4C4D"/>
    <w:rsid w:val="00FA4E9C"/>
    <w:rsid w:val="00FA59B5"/>
    <w:rsid w:val="00FA5AB4"/>
    <w:rsid w:val="00FA5C39"/>
    <w:rsid w:val="00FA60AF"/>
    <w:rsid w:val="00FA679E"/>
    <w:rsid w:val="00FA7412"/>
    <w:rsid w:val="00FA790D"/>
    <w:rsid w:val="00FA7CCA"/>
    <w:rsid w:val="00FA7DF4"/>
    <w:rsid w:val="00FA7EF2"/>
    <w:rsid w:val="00FA7FDF"/>
    <w:rsid w:val="00FB01E1"/>
    <w:rsid w:val="00FB0472"/>
    <w:rsid w:val="00FB047E"/>
    <w:rsid w:val="00FB06F2"/>
    <w:rsid w:val="00FB0E73"/>
    <w:rsid w:val="00FB1084"/>
    <w:rsid w:val="00FB12FE"/>
    <w:rsid w:val="00FB1356"/>
    <w:rsid w:val="00FB1579"/>
    <w:rsid w:val="00FB17B8"/>
    <w:rsid w:val="00FB1A1D"/>
    <w:rsid w:val="00FB1B9D"/>
    <w:rsid w:val="00FB1CA0"/>
    <w:rsid w:val="00FB2414"/>
    <w:rsid w:val="00FB29F2"/>
    <w:rsid w:val="00FB2D1C"/>
    <w:rsid w:val="00FB39FA"/>
    <w:rsid w:val="00FB4181"/>
    <w:rsid w:val="00FB4263"/>
    <w:rsid w:val="00FB44B7"/>
    <w:rsid w:val="00FB4798"/>
    <w:rsid w:val="00FB4F3C"/>
    <w:rsid w:val="00FB5068"/>
    <w:rsid w:val="00FB51A8"/>
    <w:rsid w:val="00FB59DA"/>
    <w:rsid w:val="00FB5ED0"/>
    <w:rsid w:val="00FB66CA"/>
    <w:rsid w:val="00FB6811"/>
    <w:rsid w:val="00FB7481"/>
    <w:rsid w:val="00FB7667"/>
    <w:rsid w:val="00FC00E6"/>
    <w:rsid w:val="00FC0267"/>
    <w:rsid w:val="00FC0948"/>
    <w:rsid w:val="00FC0A4C"/>
    <w:rsid w:val="00FC0F33"/>
    <w:rsid w:val="00FC124D"/>
    <w:rsid w:val="00FC1533"/>
    <w:rsid w:val="00FC1D45"/>
    <w:rsid w:val="00FC1E73"/>
    <w:rsid w:val="00FC1EE8"/>
    <w:rsid w:val="00FC238E"/>
    <w:rsid w:val="00FC2666"/>
    <w:rsid w:val="00FC2B6D"/>
    <w:rsid w:val="00FC2C33"/>
    <w:rsid w:val="00FC2E41"/>
    <w:rsid w:val="00FC3229"/>
    <w:rsid w:val="00FC35B9"/>
    <w:rsid w:val="00FC393E"/>
    <w:rsid w:val="00FC42CE"/>
    <w:rsid w:val="00FC4B84"/>
    <w:rsid w:val="00FC56BF"/>
    <w:rsid w:val="00FC5998"/>
    <w:rsid w:val="00FC59BB"/>
    <w:rsid w:val="00FC5B14"/>
    <w:rsid w:val="00FC6580"/>
    <w:rsid w:val="00FC6EFE"/>
    <w:rsid w:val="00FC7277"/>
    <w:rsid w:val="00FC734D"/>
    <w:rsid w:val="00FC7431"/>
    <w:rsid w:val="00FC7B58"/>
    <w:rsid w:val="00FC7BBB"/>
    <w:rsid w:val="00FC7EA2"/>
    <w:rsid w:val="00FD07DA"/>
    <w:rsid w:val="00FD0AA7"/>
    <w:rsid w:val="00FD0C22"/>
    <w:rsid w:val="00FD14ED"/>
    <w:rsid w:val="00FD1530"/>
    <w:rsid w:val="00FD17D8"/>
    <w:rsid w:val="00FD1974"/>
    <w:rsid w:val="00FD1C38"/>
    <w:rsid w:val="00FD21A7"/>
    <w:rsid w:val="00FD27FF"/>
    <w:rsid w:val="00FD2990"/>
    <w:rsid w:val="00FD29A5"/>
    <w:rsid w:val="00FD368D"/>
    <w:rsid w:val="00FD3817"/>
    <w:rsid w:val="00FD3BE2"/>
    <w:rsid w:val="00FD3CAD"/>
    <w:rsid w:val="00FD44A7"/>
    <w:rsid w:val="00FD45D6"/>
    <w:rsid w:val="00FD4C93"/>
    <w:rsid w:val="00FD4E96"/>
    <w:rsid w:val="00FD5595"/>
    <w:rsid w:val="00FD56B0"/>
    <w:rsid w:val="00FD5834"/>
    <w:rsid w:val="00FD595F"/>
    <w:rsid w:val="00FD5AB3"/>
    <w:rsid w:val="00FD5C19"/>
    <w:rsid w:val="00FD5C4A"/>
    <w:rsid w:val="00FD5F88"/>
    <w:rsid w:val="00FD6371"/>
    <w:rsid w:val="00FD63F6"/>
    <w:rsid w:val="00FD649C"/>
    <w:rsid w:val="00FD66D6"/>
    <w:rsid w:val="00FD6A56"/>
    <w:rsid w:val="00FD6DB8"/>
    <w:rsid w:val="00FD6E1E"/>
    <w:rsid w:val="00FD71CE"/>
    <w:rsid w:val="00FD7298"/>
    <w:rsid w:val="00FD7424"/>
    <w:rsid w:val="00FD75D4"/>
    <w:rsid w:val="00FD7BAE"/>
    <w:rsid w:val="00FD7BD9"/>
    <w:rsid w:val="00FD7E62"/>
    <w:rsid w:val="00FE0006"/>
    <w:rsid w:val="00FE018B"/>
    <w:rsid w:val="00FE0E84"/>
    <w:rsid w:val="00FE1121"/>
    <w:rsid w:val="00FE1433"/>
    <w:rsid w:val="00FE1473"/>
    <w:rsid w:val="00FE152D"/>
    <w:rsid w:val="00FE19B3"/>
    <w:rsid w:val="00FE1B1A"/>
    <w:rsid w:val="00FE1F4A"/>
    <w:rsid w:val="00FE20A9"/>
    <w:rsid w:val="00FE2278"/>
    <w:rsid w:val="00FE2D80"/>
    <w:rsid w:val="00FE36B4"/>
    <w:rsid w:val="00FE3CC0"/>
    <w:rsid w:val="00FE40F4"/>
    <w:rsid w:val="00FE42A2"/>
    <w:rsid w:val="00FE467F"/>
    <w:rsid w:val="00FE484B"/>
    <w:rsid w:val="00FE489B"/>
    <w:rsid w:val="00FE49E3"/>
    <w:rsid w:val="00FE54FA"/>
    <w:rsid w:val="00FE5665"/>
    <w:rsid w:val="00FE56BD"/>
    <w:rsid w:val="00FE5880"/>
    <w:rsid w:val="00FE5A4C"/>
    <w:rsid w:val="00FE5BF5"/>
    <w:rsid w:val="00FE5E8B"/>
    <w:rsid w:val="00FE61AA"/>
    <w:rsid w:val="00FE6934"/>
    <w:rsid w:val="00FE7023"/>
    <w:rsid w:val="00FE73A4"/>
    <w:rsid w:val="00FE77B8"/>
    <w:rsid w:val="00FE77EF"/>
    <w:rsid w:val="00FE7CAA"/>
    <w:rsid w:val="00FE7ED7"/>
    <w:rsid w:val="00FF01BB"/>
    <w:rsid w:val="00FF01E0"/>
    <w:rsid w:val="00FF0391"/>
    <w:rsid w:val="00FF04D7"/>
    <w:rsid w:val="00FF0EA3"/>
    <w:rsid w:val="00FF1E64"/>
    <w:rsid w:val="00FF27CF"/>
    <w:rsid w:val="00FF2B4E"/>
    <w:rsid w:val="00FF3087"/>
    <w:rsid w:val="00FF33D9"/>
    <w:rsid w:val="00FF3A3D"/>
    <w:rsid w:val="00FF3E03"/>
    <w:rsid w:val="00FF4598"/>
    <w:rsid w:val="00FF45B1"/>
    <w:rsid w:val="00FF4622"/>
    <w:rsid w:val="00FF492E"/>
    <w:rsid w:val="00FF4D75"/>
    <w:rsid w:val="00FF5431"/>
    <w:rsid w:val="00FF5747"/>
    <w:rsid w:val="00FF5BCA"/>
    <w:rsid w:val="00FF5C41"/>
    <w:rsid w:val="00FF6535"/>
    <w:rsid w:val="00FF67A2"/>
    <w:rsid w:val="00FF6A01"/>
    <w:rsid w:val="00FF6B07"/>
    <w:rsid w:val="00FF6CED"/>
    <w:rsid w:val="00FF6D05"/>
    <w:rsid w:val="00FF7252"/>
    <w:rsid w:val="00FF7686"/>
    <w:rsid w:val="00FF7689"/>
    <w:rsid w:val="00FF7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5AEB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semiHidden="0" w:uiPriority="9"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semiHidden="0" w:unhideWhenUsed="0"/>
    <w:lsdException w:name="footer" w:semiHidden="0" w:unhideWhenUsed="0"/>
    <w:lsdException w:name="caption" w:semiHidden="0" w:uiPriority="1" w:unhideWhenUsed="0" w:qFormat="1"/>
    <w:lsdException w:name="List Bullet" w:uiPriority="1" w:qFormat="1"/>
    <w:lsdException w:name="List Number" w:uiPriority="1" w:qFormat="1"/>
    <w:lsdException w:name="Title" w:semiHidden="0" w:uiPriority="1" w:unhideWhenUsed="0" w:qFormat="1"/>
    <w:lsdException w:name="Default Paragraph Font" w:uiPriority="1"/>
    <w:lsdException w:name="Subtitle" w:semiHidden="0" w:uiPriority="1" w:unhideWhenUsed="0" w:qFormat="1"/>
    <w:lsdException w:name="Body Text 2" w:uiPriority="0"/>
    <w:lsdException w:name="Strong" w:uiPriority="22"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1"/>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720" w:after="120"/>
      <w:jc w:val="center"/>
      <w:outlineLvl w:val="0"/>
    </w:pPr>
    <w:rPr>
      <w:rFonts w:asciiTheme="majorHAnsi" w:eastAsiaTheme="majorEastAsia" w:hAnsiTheme="majorHAnsi" w:cstheme="majorBidi"/>
      <w:bCs/>
      <w:color w:val="983620" w:themeColor="accent2"/>
      <w:sz w:val="48"/>
      <w:szCs w:val="28"/>
    </w:rPr>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jc w:val="center"/>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9"/>
    <w:qFormat/>
    <w:pPr>
      <w:keepNext/>
      <w:keepLines/>
      <w:spacing w:before="280" w:after="0"/>
      <w:outlineLvl w:val="2"/>
    </w:pPr>
    <w:rPr>
      <w:rFonts w:asciiTheme="majorHAnsi" w:eastAsiaTheme="majorEastAsia" w:hAnsiTheme="majorHAnsi" w:cstheme="majorBidi"/>
      <w:bCs/>
      <w:color w:val="983620" w:themeColor="accent2"/>
    </w:rPr>
  </w:style>
  <w:style w:type="paragraph" w:styleId="Heading4">
    <w:name w:val="heading 4"/>
    <w:basedOn w:val="Normal"/>
    <w:next w:val="Normal"/>
    <w:link w:val="Heading4Char"/>
    <w:uiPriority w:val="1"/>
    <w:unhideWhenUsed/>
    <w:qFormat/>
    <w:pPr>
      <w:keepNext/>
      <w:keepLines/>
      <w:spacing w:before="200" w:after="0"/>
      <w:outlineLvl w:val="3"/>
    </w:pPr>
    <w:rPr>
      <w:rFonts w:asciiTheme="majorHAnsi" w:eastAsiaTheme="majorEastAsia" w:hAnsiTheme="majorHAnsi" w:cstheme="majorBidi"/>
      <w:bCs/>
      <w:iCs/>
      <w:color w:val="4B5A60" w:themeColor="accent1"/>
    </w:rPr>
  </w:style>
  <w:style w:type="paragraph" w:styleId="Heading6">
    <w:name w:val="heading 6"/>
    <w:basedOn w:val="Normal"/>
    <w:next w:val="Normal"/>
    <w:link w:val="Heading6Char"/>
    <w:uiPriority w:val="1"/>
    <w:semiHidden/>
    <w:unhideWhenUsed/>
    <w:qFormat/>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Heading7">
    <w:name w:val="heading 7"/>
    <w:basedOn w:val="Normal"/>
    <w:next w:val="Normal"/>
    <w:link w:val="Heading7Char"/>
    <w:uiPriority w:val="1"/>
    <w:semiHidden/>
    <w:unhideWhenUsed/>
    <w:qFormat/>
    <w:pPr>
      <w:keepNext/>
      <w:keepLines/>
      <w:spacing w:before="200" w:after="0"/>
      <w:outlineLvl w:val="6"/>
    </w:pPr>
    <w:rPr>
      <w:rFonts w:asciiTheme="majorHAnsi" w:eastAsiaTheme="majorEastAsia" w:hAnsiTheme="majorHAnsi" w:cstheme="majorBidi"/>
      <w:iCs/>
      <w:color w:val="595959" w:themeColor="text1" w:themeTint="A6"/>
    </w:rPr>
  </w:style>
  <w:style w:type="paragraph" w:styleId="Heading8">
    <w:name w:val="heading 8"/>
    <w:basedOn w:val="Normal"/>
    <w:next w:val="Normal"/>
    <w:link w:val="Heading8Char"/>
    <w:uiPriority w:val="1"/>
    <w:semiHidden/>
    <w:unhideWhenUsed/>
    <w:qFormat/>
    <w:pPr>
      <w:keepNext/>
      <w:keepLines/>
      <w:spacing w:before="200" w:after="0"/>
      <w:outlineLvl w:val="7"/>
    </w:pPr>
    <w:rPr>
      <w:rFonts w:asciiTheme="majorHAnsi" w:eastAsiaTheme="majorEastAsia" w:hAnsiTheme="majorHAnsi" w:cstheme="majorBidi"/>
      <w:color w:val="983620" w:themeColor="accent2"/>
      <w:sz w:val="20"/>
      <w:szCs w:val="20"/>
    </w:rPr>
  </w:style>
  <w:style w:type="paragraph" w:styleId="Heading9">
    <w:name w:val="heading 9"/>
    <w:basedOn w:val="Normal"/>
    <w:next w:val="Normal"/>
    <w:link w:val="Heading9Char"/>
    <w:uiPriority w:val="1"/>
    <w:semiHidden/>
    <w:unhideWhenUsed/>
    <w:qFormat/>
    <w:pPr>
      <w:keepNext/>
      <w:keepLines/>
      <w:spacing w:before="200" w:after="0"/>
      <w:outlineLvl w:val="8"/>
    </w:pPr>
    <w:rPr>
      <w:rFonts w:asciiTheme="majorHAnsi" w:eastAsiaTheme="majorEastAsia" w:hAnsiTheme="majorHAnsi" w:cstheme="majorBidi"/>
      <w:iC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sz w:val="1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next w:val="Normal"/>
    <w:link w:val="TitleChar"/>
    <w:uiPriority w:val="1"/>
    <w:qFormat/>
    <w:pPr>
      <w:spacing w:before="480" w:after="60" w:line="240" w:lineRule="auto"/>
      <w:contextualSpacing/>
    </w:pPr>
    <w:rPr>
      <w:rFonts w:asciiTheme="majorHAnsi" w:eastAsiaTheme="majorEastAsia" w:hAnsiTheme="majorHAnsi" w:cstheme="majorBidi"/>
      <w:color w:val="983620" w:themeColor="accent2"/>
      <w:kern w:val="28"/>
      <w:sz w:val="72"/>
      <w:szCs w:val="52"/>
    </w:rPr>
  </w:style>
  <w:style w:type="character" w:customStyle="1" w:styleId="TitleChar">
    <w:name w:val="Title Char"/>
    <w:basedOn w:val="DefaultParagraphFont"/>
    <w:link w:val="Title"/>
    <w:uiPriority w:val="1"/>
    <w:rPr>
      <w:rFonts w:asciiTheme="majorHAnsi" w:eastAsiaTheme="majorEastAsia" w:hAnsiTheme="majorHAnsi" w:cstheme="majorBidi"/>
      <w:color w:val="983620" w:themeColor="accent2"/>
      <w:kern w:val="28"/>
      <w:sz w:val="72"/>
      <w:szCs w:val="52"/>
    </w:rPr>
  </w:style>
  <w:style w:type="character" w:styleId="PlaceholderText">
    <w:name w:val="Placeholder Text"/>
    <w:basedOn w:val="DefaultParagraphFont"/>
    <w:uiPriority w:val="99"/>
    <w:semiHidden/>
    <w:rPr>
      <w:color w:val="808080"/>
    </w:rPr>
  </w:style>
  <w:style w:type="paragraph" w:styleId="Subtitle">
    <w:name w:val="Subtitle"/>
    <w:basedOn w:val="Normal"/>
    <w:next w:val="Normal"/>
    <w:link w:val="SubtitleChar"/>
    <w:uiPriority w:val="1"/>
    <w:qFormat/>
    <w:pPr>
      <w:numPr>
        <w:ilvl w:val="1"/>
      </w:numPr>
    </w:pPr>
    <w:rPr>
      <w:rFonts w:asciiTheme="majorHAnsi" w:eastAsiaTheme="majorEastAsia" w:hAnsiTheme="majorHAnsi" w:cstheme="majorBidi"/>
      <w:iCs/>
      <w:color w:val="000000" w:themeColor="text1"/>
      <w:sz w:val="28"/>
    </w:rPr>
  </w:style>
  <w:style w:type="character" w:customStyle="1" w:styleId="SubtitleChar">
    <w:name w:val="Subtitle Char"/>
    <w:basedOn w:val="DefaultParagraphFont"/>
    <w:link w:val="Subtitle"/>
    <w:uiPriority w:val="1"/>
    <w:rPr>
      <w:rFonts w:asciiTheme="majorHAnsi" w:eastAsiaTheme="majorEastAsia" w:hAnsiTheme="majorHAnsi" w:cstheme="majorBidi"/>
      <w:iCs/>
      <w:color w:val="000000" w:themeColor="text1"/>
      <w:sz w:val="28"/>
    </w:rPr>
  </w:style>
  <w:style w:type="paragraph" w:customStyle="1" w:styleId="Appendix">
    <w:name w:val="Appendix"/>
    <w:basedOn w:val="Normal"/>
    <w:uiPriority w:val="1"/>
    <w:qFormat/>
    <w:pPr>
      <w:pageBreakBefore/>
      <w:pBdr>
        <w:bottom w:val="single" w:sz="2" w:space="12" w:color="BFBFBF" w:themeColor="background1" w:themeShade="BF"/>
      </w:pBdr>
      <w:spacing w:before="480"/>
      <w:jc w:val="center"/>
    </w:pPr>
    <w:rPr>
      <w:rFonts w:asciiTheme="majorHAnsi" w:hAnsiTheme="majorHAnsi"/>
      <w:color w:val="983620" w:themeColor="accent2"/>
      <w:sz w:val="48"/>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before="240" w:after="0" w:line="264" w:lineRule="auto"/>
    </w:pPr>
    <w:rPr>
      <w:color w:val="595959" w:themeColor="text1" w:themeTint="A6"/>
      <w:sz w:val="20"/>
    </w:rPr>
  </w:style>
  <w:style w:type="character" w:customStyle="1" w:styleId="FooterChar">
    <w:name w:val="Footer Char"/>
    <w:basedOn w:val="DefaultParagraphFont"/>
    <w:link w:val="Footer"/>
    <w:uiPriority w:val="99"/>
    <w:rPr>
      <w:color w:val="595959" w:themeColor="text1" w:themeTint="A6"/>
      <w:sz w:val="20"/>
    </w:rPr>
  </w:style>
  <w:style w:type="paragraph" w:customStyle="1" w:styleId="Header-FooterRight">
    <w:name w:val="Header-Footer Right"/>
    <w:basedOn w:val="Normal"/>
    <w:uiPriority w:val="99"/>
    <w:pPr>
      <w:spacing w:before="240" w:after="0" w:line="264" w:lineRule="auto"/>
      <w:jc w:val="right"/>
    </w:pPr>
    <w:rPr>
      <w:color w:val="595959" w:themeColor="text1" w:themeTint="A6"/>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983620" w:themeColor="accent2"/>
      <w:sz w:val="48"/>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Cs/>
      <w:color w:val="983620" w:themeColor="accent2"/>
    </w:rPr>
  </w:style>
  <w:style w:type="paragraph" w:styleId="Caption">
    <w:name w:val="caption"/>
    <w:basedOn w:val="Normal"/>
    <w:next w:val="Normal"/>
    <w:uiPriority w:val="1"/>
    <w:qFormat/>
    <w:pPr>
      <w:spacing w:after="200" w:line="240" w:lineRule="auto"/>
      <w:jc w:val="center"/>
    </w:pPr>
    <w:rPr>
      <w:bCs/>
      <w:i/>
      <w:color w:val="404040" w:themeColor="text1" w:themeTint="BF"/>
      <w:sz w:val="18"/>
      <w:szCs w:val="18"/>
    </w:rPr>
  </w:style>
  <w:style w:type="paragraph" w:styleId="Bibliography">
    <w:name w:val="Bibliography"/>
    <w:basedOn w:val="Normal"/>
    <w:next w:val="Normal"/>
    <w:uiPriority w:val="1"/>
    <w:unhideWhenUsed/>
  </w:style>
  <w:style w:type="paragraph" w:styleId="TOCHeading">
    <w:name w:val="TOC Heading"/>
    <w:basedOn w:val="Appendix"/>
    <w:next w:val="Normal"/>
    <w:uiPriority w:val="39"/>
    <w:qFormat/>
  </w:style>
  <w:style w:type="paragraph" w:styleId="TOC1">
    <w:name w:val="toc 1"/>
    <w:basedOn w:val="Normal"/>
    <w:next w:val="Normal"/>
    <w:autoRedefine/>
    <w:uiPriority w:val="39"/>
    <w:unhideWhenUsed/>
    <w:pPr>
      <w:spacing w:after="100"/>
    </w:pPr>
    <w:rPr>
      <w:color w:val="983620" w:themeColor="accent2"/>
    </w:r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rPr>
      <w:sz w:val="20"/>
    </w:rPr>
  </w:style>
  <w:style w:type="character" w:styleId="Hyperlink">
    <w:name w:val="Hyperlink"/>
    <w:basedOn w:val="DefaultParagraphFont"/>
    <w:uiPriority w:val="99"/>
    <w:unhideWhenUsed/>
    <w:rPr>
      <w:color w:val="524A82" w:themeColor="hyperlink"/>
      <w:u w:val="single"/>
    </w:rPr>
  </w:style>
  <w:style w:type="paragraph" w:styleId="ListBullet">
    <w:name w:val="List Bullet"/>
    <w:basedOn w:val="Normal"/>
    <w:uiPriority w:val="1"/>
    <w:qFormat/>
    <w:pPr>
      <w:numPr>
        <w:numId w:val="1"/>
      </w:numPr>
    </w:pPr>
  </w:style>
  <w:style w:type="paragraph" w:styleId="ListNumber">
    <w:name w:val="List Number"/>
    <w:basedOn w:val="Normal"/>
    <w:uiPriority w:val="1"/>
    <w:qFormat/>
    <w:pPr>
      <w:numPr>
        <w:numId w:val="2"/>
      </w:numPr>
    </w:pPr>
  </w:style>
  <w:style w:type="character" w:customStyle="1" w:styleId="Heading4Char">
    <w:name w:val="Heading 4 Char"/>
    <w:basedOn w:val="DefaultParagraphFont"/>
    <w:link w:val="Heading4"/>
    <w:uiPriority w:val="1"/>
    <w:rPr>
      <w:rFonts w:asciiTheme="majorHAnsi" w:eastAsiaTheme="majorEastAsia" w:hAnsiTheme="majorHAnsi" w:cstheme="majorBidi"/>
      <w:bCs/>
      <w:iCs/>
      <w:color w:val="4B5A60" w:themeColor="accent1"/>
    </w:rPr>
  </w:style>
  <w:style w:type="character" w:customStyle="1" w:styleId="Heading6Char">
    <w:name w:val="Heading 6 Char"/>
    <w:basedOn w:val="DefaultParagraphFont"/>
    <w:link w:val="Heading6"/>
    <w:uiPriority w:val="1"/>
    <w:semiHidden/>
    <w:rPr>
      <w:rFonts w:asciiTheme="majorHAnsi" w:eastAsiaTheme="majorEastAsia" w:hAnsiTheme="majorHAnsi" w:cstheme="majorBidi"/>
      <w:i/>
      <w:iCs/>
      <w:color w:val="252C2F" w:themeColor="accent1" w:themeShade="7F"/>
    </w:rPr>
  </w:style>
  <w:style w:type="character" w:customStyle="1" w:styleId="Heading7Char">
    <w:name w:val="Heading 7 Char"/>
    <w:basedOn w:val="DefaultParagraphFont"/>
    <w:link w:val="Heading7"/>
    <w:uiPriority w:val="1"/>
    <w:semiHidden/>
    <w:rPr>
      <w:rFonts w:asciiTheme="majorHAnsi" w:eastAsiaTheme="majorEastAsia" w:hAnsiTheme="majorHAnsi" w:cstheme="majorBidi"/>
      <w:iCs/>
      <w:color w:val="595959" w:themeColor="text1" w:themeTint="A6"/>
    </w:rPr>
  </w:style>
  <w:style w:type="character" w:customStyle="1" w:styleId="Heading8Char">
    <w:name w:val="Heading 8 Char"/>
    <w:basedOn w:val="DefaultParagraphFont"/>
    <w:link w:val="Heading8"/>
    <w:uiPriority w:val="1"/>
    <w:semiHidden/>
    <w:rPr>
      <w:rFonts w:asciiTheme="majorHAnsi" w:eastAsiaTheme="majorEastAsia" w:hAnsiTheme="majorHAnsi" w:cstheme="majorBidi"/>
      <w:color w:val="983620" w:themeColor="accent2"/>
      <w:sz w:val="20"/>
      <w:szCs w:val="20"/>
    </w:rPr>
  </w:style>
  <w:style w:type="character" w:customStyle="1" w:styleId="Heading9Char">
    <w:name w:val="Heading 9 Char"/>
    <w:basedOn w:val="DefaultParagraphFont"/>
    <w:link w:val="Heading9"/>
    <w:uiPriority w:val="1"/>
    <w:semiHidden/>
    <w:rPr>
      <w:rFonts w:asciiTheme="majorHAnsi" w:eastAsiaTheme="majorEastAsia" w:hAnsiTheme="majorHAnsi" w:cstheme="majorBidi"/>
      <w:iCs/>
      <w:color w:val="595959" w:themeColor="text1" w:themeTint="A6"/>
      <w:sz w:val="20"/>
      <w:szCs w:val="20"/>
    </w:rPr>
  </w:style>
  <w:style w:type="paragraph" w:styleId="Quote">
    <w:name w:val="Quote"/>
    <w:basedOn w:val="Normal"/>
    <w:next w:val="Normal"/>
    <w:link w:val="QuoteChar"/>
    <w:uiPriority w:val="9"/>
    <w:unhideWhenUsed/>
    <w:qFormat/>
    <w:pPr>
      <w:ind w:left="720" w:right="720"/>
    </w:pPr>
    <w:rPr>
      <w:i/>
      <w:iCs/>
      <w:color w:val="595959" w:themeColor="text1" w:themeTint="A6"/>
    </w:rPr>
  </w:style>
  <w:style w:type="character" w:customStyle="1" w:styleId="QuoteChar">
    <w:name w:val="Quote Char"/>
    <w:basedOn w:val="DefaultParagraphFont"/>
    <w:link w:val="Quote"/>
    <w:uiPriority w:val="9"/>
    <w:rPr>
      <w:i/>
      <w:iCs/>
      <w:color w:val="595959" w:themeColor="text1" w:themeTint="A6"/>
    </w:rPr>
  </w:style>
  <w:style w:type="paragraph" w:styleId="NormalWeb">
    <w:name w:val="Normal (Web)"/>
    <w:basedOn w:val="Normal"/>
    <w:uiPriority w:val="99"/>
    <w:unhideWhenUsed/>
    <w:rsid w:val="001864A4"/>
    <w:pPr>
      <w:spacing w:before="100" w:beforeAutospacing="1" w:after="100" w:afterAutospacing="1" w:line="240" w:lineRule="auto"/>
    </w:pPr>
    <w:rPr>
      <w:rFonts w:ascii="Times" w:hAnsi="Times" w:cs="Times New Roman"/>
      <w:sz w:val="20"/>
      <w:szCs w:val="20"/>
    </w:rPr>
  </w:style>
  <w:style w:type="character" w:customStyle="1" w:styleId="A5">
    <w:name w:val="A5"/>
    <w:uiPriority w:val="99"/>
    <w:rsid w:val="0034573F"/>
    <w:rPr>
      <w:rFonts w:cs="Utopia Std"/>
      <w:color w:val="000000"/>
      <w:sz w:val="20"/>
      <w:szCs w:val="20"/>
    </w:rPr>
  </w:style>
  <w:style w:type="character" w:customStyle="1" w:styleId="A14">
    <w:name w:val="A14"/>
    <w:uiPriority w:val="99"/>
    <w:rsid w:val="00F35AEE"/>
    <w:rPr>
      <w:rFonts w:cs="Utopia Std"/>
      <w:color w:val="000000"/>
      <w:sz w:val="19"/>
      <w:szCs w:val="19"/>
    </w:rPr>
  </w:style>
  <w:style w:type="paragraph" w:customStyle="1" w:styleId="Default">
    <w:name w:val="Default"/>
    <w:rsid w:val="00F35AEE"/>
    <w:pPr>
      <w:widowControl w:val="0"/>
      <w:autoSpaceDE w:val="0"/>
      <w:autoSpaceDN w:val="0"/>
      <w:adjustRightInd w:val="0"/>
      <w:spacing w:after="0" w:line="240" w:lineRule="auto"/>
    </w:pPr>
    <w:rPr>
      <w:rFonts w:ascii="Utopia Std" w:hAnsi="Utopia Std" w:cs="Utopia Std"/>
      <w:color w:val="000000"/>
    </w:rPr>
  </w:style>
  <w:style w:type="paragraph" w:customStyle="1" w:styleId="Pa2">
    <w:name w:val="Pa2"/>
    <w:basedOn w:val="Default"/>
    <w:next w:val="Default"/>
    <w:uiPriority w:val="99"/>
    <w:rsid w:val="00F35AEE"/>
    <w:pPr>
      <w:spacing w:line="241" w:lineRule="atLeast"/>
    </w:pPr>
    <w:rPr>
      <w:rFonts w:cs="Times New Roman"/>
      <w:color w:val="auto"/>
    </w:rPr>
  </w:style>
  <w:style w:type="character" w:customStyle="1" w:styleId="A8">
    <w:name w:val="A8"/>
    <w:uiPriority w:val="99"/>
    <w:rsid w:val="00F35AEE"/>
    <w:rPr>
      <w:rFonts w:cs="Utopia Std"/>
      <w:color w:val="000000"/>
      <w:sz w:val="11"/>
      <w:szCs w:val="11"/>
    </w:rPr>
  </w:style>
  <w:style w:type="paragraph" w:customStyle="1" w:styleId="Pa0">
    <w:name w:val="Pa0"/>
    <w:basedOn w:val="Default"/>
    <w:next w:val="Default"/>
    <w:uiPriority w:val="99"/>
    <w:rsid w:val="00F35AEE"/>
    <w:pPr>
      <w:spacing w:line="241" w:lineRule="atLeast"/>
    </w:pPr>
    <w:rPr>
      <w:rFonts w:cs="Times New Roman"/>
      <w:color w:val="auto"/>
    </w:rPr>
  </w:style>
  <w:style w:type="character" w:customStyle="1" w:styleId="A4">
    <w:name w:val="A4"/>
    <w:uiPriority w:val="99"/>
    <w:rsid w:val="00F35AEE"/>
    <w:rPr>
      <w:rFonts w:ascii="Helvetica 65 Medium" w:hAnsi="Helvetica 65 Medium" w:cs="Helvetica 65 Medium"/>
      <w:b/>
      <w:bCs/>
      <w:color w:val="000000"/>
      <w:sz w:val="26"/>
      <w:szCs w:val="26"/>
    </w:rPr>
  </w:style>
  <w:style w:type="paragraph" w:styleId="FootnoteText">
    <w:name w:val="footnote text"/>
    <w:aliases w:val="Fußnote,Footnote Text Char Char,Footnote Text Char,single space,footnote text,FOOTNOTES,fn,Footnote, Char1 Char,Footnote Char1,stile 1,Footnote1,Footnote2,Footnote3,Footnote4,Footnote5,Footnote6,Footnote7,Footnote8,Footnote9"/>
    <w:basedOn w:val="Normal"/>
    <w:link w:val="FootnoteTextChar1"/>
    <w:unhideWhenUsed/>
    <w:rsid w:val="003F244D"/>
    <w:pPr>
      <w:spacing w:after="0" w:line="240" w:lineRule="auto"/>
    </w:pPr>
  </w:style>
  <w:style w:type="character" w:customStyle="1" w:styleId="FootnoteTextChar1">
    <w:name w:val="Footnote Text Char1"/>
    <w:aliases w:val="Fußnote Char,Footnote Text Char Char Char,Footnote Text Char Char1,single space Char,footnote text Char,FOOTNOTES Char,fn Char,Footnote Char, Char1 Char Char,Footnote Char1 Char,stile 1 Char,Footnote1 Char,Footnote2 Char"/>
    <w:basedOn w:val="DefaultParagraphFont"/>
    <w:link w:val="FootnoteText"/>
    <w:rsid w:val="003F244D"/>
  </w:style>
  <w:style w:type="character" w:styleId="FootnoteReference">
    <w:name w:val="footnote reference"/>
    <w:aliases w:val="Footnote symbol,Footnote number,Footnote Reference Number,Footnote reference number,Times 10 Point,Exposant 3 Point,Footnote Reference Superscript,EN Footnote Reference,note TESI,Voetnootverwijzing,fr,o,FR,FR1"/>
    <w:basedOn w:val="DefaultParagraphFont"/>
    <w:uiPriority w:val="99"/>
    <w:unhideWhenUsed/>
    <w:rsid w:val="003F244D"/>
    <w:rPr>
      <w:vertAlign w:val="superscript"/>
    </w:rPr>
  </w:style>
  <w:style w:type="paragraph" w:styleId="EndnoteText">
    <w:name w:val="endnote text"/>
    <w:basedOn w:val="Normal"/>
    <w:link w:val="EndnoteTextChar"/>
    <w:uiPriority w:val="99"/>
    <w:unhideWhenUsed/>
    <w:rsid w:val="00BD46C7"/>
    <w:pPr>
      <w:spacing w:after="0" w:line="240" w:lineRule="auto"/>
    </w:pPr>
  </w:style>
  <w:style w:type="character" w:customStyle="1" w:styleId="EndnoteTextChar">
    <w:name w:val="Endnote Text Char"/>
    <w:basedOn w:val="DefaultParagraphFont"/>
    <w:link w:val="EndnoteText"/>
    <w:uiPriority w:val="99"/>
    <w:rsid w:val="00BD46C7"/>
  </w:style>
  <w:style w:type="character" w:styleId="EndnoteReference">
    <w:name w:val="endnote reference"/>
    <w:basedOn w:val="DefaultParagraphFont"/>
    <w:uiPriority w:val="99"/>
    <w:unhideWhenUsed/>
    <w:rsid w:val="00BD46C7"/>
    <w:rPr>
      <w:vertAlign w:val="superscript"/>
    </w:rPr>
  </w:style>
  <w:style w:type="character" w:customStyle="1" w:styleId="a">
    <w:name w:val="a"/>
    <w:basedOn w:val="DefaultParagraphFont"/>
    <w:rsid w:val="00FC7431"/>
  </w:style>
  <w:style w:type="character" w:styleId="CommentReference">
    <w:name w:val="annotation reference"/>
    <w:basedOn w:val="DefaultParagraphFont"/>
    <w:uiPriority w:val="99"/>
    <w:semiHidden/>
    <w:unhideWhenUsed/>
    <w:rsid w:val="007F3034"/>
    <w:rPr>
      <w:sz w:val="18"/>
      <w:szCs w:val="18"/>
    </w:rPr>
  </w:style>
  <w:style w:type="paragraph" w:styleId="CommentText">
    <w:name w:val="annotation text"/>
    <w:basedOn w:val="Normal"/>
    <w:link w:val="CommentTextChar"/>
    <w:uiPriority w:val="99"/>
    <w:unhideWhenUsed/>
    <w:rsid w:val="007F3034"/>
    <w:pPr>
      <w:spacing w:line="240" w:lineRule="auto"/>
    </w:pPr>
  </w:style>
  <w:style w:type="character" w:customStyle="1" w:styleId="CommentTextChar">
    <w:name w:val="Comment Text Char"/>
    <w:basedOn w:val="DefaultParagraphFont"/>
    <w:link w:val="CommentText"/>
    <w:uiPriority w:val="99"/>
    <w:rsid w:val="007F3034"/>
  </w:style>
  <w:style w:type="paragraph" w:styleId="CommentSubject">
    <w:name w:val="annotation subject"/>
    <w:basedOn w:val="CommentText"/>
    <w:next w:val="CommentText"/>
    <w:link w:val="CommentSubjectChar"/>
    <w:uiPriority w:val="99"/>
    <w:semiHidden/>
    <w:unhideWhenUsed/>
    <w:rsid w:val="007F3034"/>
    <w:rPr>
      <w:b/>
      <w:bCs/>
      <w:sz w:val="20"/>
      <w:szCs w:val="20"/>
    </w:rPr>
  </w:style>
  <w:style w:type="character" w:customStyle="1" w:styleId="CommentSubjectChar">
    <w:name w:val="Comment Subject Char"/>
    <w:basedOn w:val="CommentTextChar"/>
    <w:link w:val="CommentSubject"/>
    <w:uiPriority w:val="99"/>
    <w:semiHidden/>
    <w:rsid w:val="007F3034"/>
    <w:rPr>
      <w:b/>
      <w:bCs/>
      <w:sz w:val="20"/>
      <w:szCs w:val="20"/>
    </w:rPr>
  </w:style>
  <w:style w:type="character" w:styleId="Strong">
    <w:name w:val="Strong"/>
    <w:basedOn w:val="DefaultParagraphFont"/>
    <w:uiPriority w:val="22"/>
    <w:qFormat/>
    <w:rsid w:val="00B57215"/>
    <w:rPr>
      <w:b/>
      <w:bCs/>
    </w:rPr>
  </w:style>
  <w:style w:type="paragraph" w:styleId="ListParagraph">
    <w:name w:val="List Paragraph"/>
    <w:basedOn w:val="Normal"/>
    <w:link w:val="ListParagraphChar"/>
    <w:uiPriority w:val="34"/>
    <w:unhideWhenUsed/>
    <w:qFormat/>
    <w:rsid w:val="008B507A"/>
    <w:pPr>
      <w:ind w:left="720"/>
      <w:contextualSpacing/>
    </w:pPr>
  </w:style>
  <w:style w:type="character" w:customStyle="1" w:styleId="field-content">
    <w:name w:val="field-content"/>
    <w:basedOn w:val="DefaultParagraphFont"/>
    <w:rsid w:val="00A50560"/>
  </w:style>
  <w:style w:type="table" w:styleId="LightGrid-Accent1">
    <w:name w:val="Light Grid Accent 1"/>
    <w:basedOn w:val="TableNormal"/>
    <w:uiPriority w:val="62"/>
    <w:rsid w:val="006823C5"/>
    <w:pPr>
      <w:spacing w:after="0" w:line="240" w:lineRule="auto"/>
    </w:pPr>
    <w:tblPr>
      <w:tblStyleRowBandSize w:val="1"/>
      <w:tblStyleColBandSize w:val="1"/>
      <w:tblBorders>
        <w:top w:val="single" w:sz="8" w:space="0" w:color="4B5A60" w:themeColor="accent1"/>
        <w:left w:val="single" w:sz="8" w:space="0" w:color="4B5A60" w:themeColor="accent1"/>
        <w:bottom w:val="single" w:sz="8" w:space="0" w:color="4B5A60" w:themeColor="accent1"/>
        <w:right w:val="single" w:sz="8" w:space="0" w:color="4B5A60" w:themeColor="accent1"/>
        <w:insideH w:val="single" w:sz="8" w:space="0" w:color="4B5A60" w:themeColor="accent1"/>
        <w:insideV w:val="single" w:sz="8" w:space="0" w:color="4B5A6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5A60" w:themeColor="accent1"/>
          <w:left w:val="single" w:sz="8" w:space="0" w:color="4B5A60" w:themeColor="accent1"/>
          <w:bottom w:val="single" w:sz="18" w:space="0" w:color="4B5A60" w:themeColor="accent1"/>
          <w:right w:val="single" w:sz="8" w:space="0" w:color="4B5A60" w:themeColor="accent1"/>
          <w:insideH w:val="nil"/>
          <w:insideV w:val="single" w:sz="8" w:space="0" w:color="4B5A6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5A60" w:themeColor="accent1"/>
          <w:left w:val="single" w:sz="8" w:space="0" w:color="4B5A60" w:themeColor="accent1"/>
          <w:bottom w:val="single" w:sz="8" w:space="0" w:color="4B5A60" w:themeColor="accent1"/>
          <w:right w:val="single" w:sz="8" w:space="0" w:color="4B5A60" w:themeColor="accent1"/>
          <w:insideH w:val="nil"/>
          <w:insideV w:val="single" w:sz="8" w:space="0" w:color="4B5A6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5A60" w:themeColor="accent1"/>
          <w:left w:val="single" w:sz="8" w:space="0" w:color="4B5A60" w:themeColor="accent1"/>
          <w:bottom w:val="single" w:sz="8" w:space="0" w:color="4B5A60" w:themeColor="accent1"/>
          <w:right w:val="single" w:sz="8" w:space="0" w:color="4B5A60" w:themeColor="accent1"/>
        </w:tcBorders>
      </w:tcPr>
    </w:tblStylePr>
    <w:tblStylePr w:type="band1Vert">
      <w:tblPr/>
      <w:tcPr>
        <w:tcBorders>
          <w:top w:val="single" w:sz="8" w:space="0" w:color="4B5A60" w:themeColor="accent1"/>
          <w:left w:val="single" w:sz="8" w:space="0" w:color="4B5A60" w:themeColor="accent1"/>
          <w:bottom w:val="single" w:sz="8" w:space="0" w:color="4B5A60" w:themeColor="accent1"/>
          <w:right w:val="single" w:sz="8" w:space="0" w:color="4B5A60" w:themeColor="accent1"/>
        </w:tcBorders>
        <w:shd w:val="clear" w:color="auto" w:fill="CFD7DA" w:themeFill="accent1" w:themeFillTint="3F"/>
      </w:tcPr>
    </w:tblStylePr>
    <w:tblStylePr w:type="band1Horz">
      <w:tblPr/>
      <w:tcPr>
        <w:tcBorders>
          <w:top w:val="single" w:sz="8" w:space="0" w:color="4B5A60" w:themeColor="accent1"/>
          <w:left w:val="single" w:sz="8" w:space="0" w:color="4B5A60" w:themeColor="accent1"/>
          <w:bottom w:val="single" w:sz="8" w:space="0" w:color="4B5A60" w:themeColor="accent1"/>
          <w:right w:val="single" w:sz="8" w:space="0" w:color="4B5A60" w:themeColor="accent1"/>
          <w:insideV w:val="single" w:sz="8" w:space="0" w:color="4B5A60" w:themeColor="accent1"/>
        </w:tcBorders>
        <w:shd w:val="clear" w:color="auto" w:fill="CFD7DA" w:themeFill="accent1" w:themeFillTint="3F"/>
      </w:tcPr>
    </w:tblStylePr>
    <w:tblStylePr w:type="band2Horz">
      <w:tblPr/>
      <w:tcPr>
        <w:tcBorders>
          <w:top w:val="single" w:sz="8" w:space="0" w:color="4B5A60" w:themeColor="accent1"/>
          <w:left w:val="single" w:sz="8" w:space="0" w:color="4B5A60" w:themeColor="accent1"/>
          <w:bottom w:val="single" w:sz="8" w:space="0" w:color="4B5A60" w:themeColor="accent1"/>
          <w:right w:val="single" w:sz="8" w:space="0" w:color="4B5A60" w:themeColor="accent1"/>
          <w:insideV w:val="single" w:sz="8" w:space="0" w:color="4B5A60" w:themeColor="accent1"/>
        </w:tcBorders>
      </w:tcPr>
    </w:tblStylePr>
  </w:style>
  <w:style w:type="table" w:styleId="LightGrid-Accent2">
    <w:name w:val="Light Grid Accent 2"/>
    <w:basedOn w:val="TableNormal"/>
    <w:uiPriority w:val="62"/>
    <w:rsid w:val="00BC768C"/>
    <w:pPr>
      <w:spacing w:after="0" w:line="240" w:lineRule="auto"/>
    </w:pPr>
    <w:tblPr>
      <w:tblStyleRowBandSize w:val="1"/>
      <w:tblStyleColBandSize w:val="1"/>
      <w:tblBorders>
        <w:top w:val="single" w:sz="8" w:space="0" w:color="983620" w:themeColor="accent2"/>
        <w:left w:val="single" w:sz="8" w:space="0" w:color="983620" w:themeColor="accent2"/>
        <w:bottom w:val="single" w:sz="8" w:space="0" w:color="983620" w:themeColor="accent2"/>
        <w:right w:val="single" w:sz="8" w:space="0" w:color="983620" w:themeColor="accent2"/>
        <w:insideH w:val="single" w:sz="8" w:space="0" w:color="983620" w:themeColor="accent2"/>
        <w:insideV w:val="single" w:sz="8" w:space="0" w:color="9836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3620" w:themeColor="accent2"/>
          <w:left w:val="single" w:sz="8" w:space="0" w:color="983620" w:themeColor="accent2"/>
          <w:bottom w:val="single" w:sz="18" w:space="0" w:color="983620" w:themeColor="accent2"/>
          <w:right w:val="single" w:sz="8" w:space="0" w:color="983620" w:themeColor="accent2"/>
          <w:insideH w:val="nil"/>
          <w:insideV w:val="single" w:sz="8" w:space="0" w:color="9836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3620" w:themeColor="accent2"/>
          <w:left w:val="single" w:sz="8" w:space="0" w:color="983620" w:themeColor="accent2"/>
          <w:bottom w:val="single" w:sz="8" w:space="0" w:color="983620" w:themeColor="accent2"/>
          <w:right w:val="single" w:sz="8" w:space="0" w:color="983620" w:themeColor="accent2"/>
          <w:insideH w:val="nil"/>
          <w:insideV w:val="single" w:sz="8" w:space="0" w:color="9836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3620" w:themeColor="accent2"/>
          <w:left w:val="single" w:sz="8" w:space="0" w:color="983620" w:themeColor="accent2"/>
          <w:bottom w:val="single" w:sz="8" w:space="0" w:color="983620" w:themeColor="accent2"/>
          <w:right w:val="single" w:sz="8" w:space="0" w:color="983620" w:themeColor="accent2"/>
        </w:tcBorders>
      </w:tcPr>
    </w:tblStylePr>
    <w:tblStylePr w:type="band1Vert">
      <w:tblPr/>
      <w:tcPr>
        <w:tcBorders>
          <w:top w:val="single" w:sz="8" w:space="0" w:color="983620" w:themeColor="accent2"/>
          <w:left w:val="single" w:sz="8" w:space="0" w:color="983620" w:themeColor="accent2"/>
          <w:bottom w:val="single" w:sz="8" w:space="0" w:color="983620" w:themeColor="accent2"/>
          <w:right w:val="single" w:sz="8" w:space="0" w:color="983620" w:themeColor="accent2"/>
        </w:tcBorders>
        <w:shd w:val="clear" w:color="auto" w:fill="F1C5BC" w:themeFill="accent2" w:themeFillTint="3F"/>
      </w:tcPr>
    </w:tblStylePr>
    <w:tblStylePr w:type="band1Horz">
      <w:tblPr/>
      <w:tcPr>
        <w:tcBorders>
          <w:top w:val="single" w:sz="8" w:space="0" w:color="983620" w:themeColor="accent2"/>
          <w:left w:val="single" w:sz="8" w:space="0" w:color="983620" w:themeColor="accent2"/>
          <w:bottom w:val="single" w:sz="8" w:space="0" w:color="983620" w:themeColor="accent2"/>
          <w:right w:val="single" w:sz="8" w:space="0" w:color="983620" w:themeColor="accent2"/>
          <w:insideV w:val="single" w:sz="8" w:space="0" w:color="983620" w:themeColor="accent2"/>
        </w:tcBorders>
        <w:shd w:val="clear" w:color="auto" w:fill="F1C5BC" w:themeFill="accent2" w:themeFillTint="3F"/>
      </w:tcPr>
    </w:tblStylePr>
    <w:tblStylePr w:type="band2Horz">
      <w:tblPr/>
      <w:tcPr>
        <w:tcBorders>
          <w:top w:val="single" w:sz="8" w:space="0" w:color="983620" w:themeColor="accent2"/>
          <w:left w:val="single" w:sz="8" w:space="0" w:color="983620" w:themeColor="accent2"/>
          <w:bottom w:val="single" w:sz="8" w:space="0" w:color="983620" w:themeColor="accent2"/>
          <w:right w:val="single" w:sz="8" w:space="0" w:color="983620" w:themeColor="accent2"/>
          <w:insideV w:val="single" w:sz="8" w:space="0" w:color="983620" w:themeColor="accent2"/>
        </w:tcBorders>
      </w:tcPr>
    </w:tblStylePr>
  </w:style>
  <w:style w:type="table" w:styleId="LightGrid-Accent3">
    <w:name w:val="Light Grid Accent 3"/>
    <w:basedOn w:val="TableNormal"/>
    <w:uiPriority w:val="62"/>
    <w:rsid w:val="00BC768C"/>
    <w:pPr>
      <w:spacing w:after="0" w:line="240" w:lineRule="auto"/>
    </w:p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insideH w:val="single" w:sz="8" w:space="0" w:color="504539" w:themeColor="accent3"/>
        <w:insideV w:val="single" w:sz="8" w:space="0" w:color="5045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4539" w:themeColor="accent3"/>
          <w:left w:val="single" w:sz="8" w:space="0" w:color="504539" w:themeColor="accent3"/>
          <w:bottom w:val="single" w:sz="18" w:space="0" w:color="504539" w:themeColor="accent3"/>
          <w:right w:val="single" w:sz="8" w:space="0" w:color="504539" w:themeColor="accent3"/>
          <w:insideH w:val="nil"/>
          <w:insideV w:val="single" w:sz="8" w:space="0" w:color="5045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4539" w:themeColor="accent3"/>
          <w:left w:val="single" w:sz="8" w:space="0" w:color="504539" w:themeColor="accent3"/>
          <w:bottom w:val="single" w:sz="8" w:space="0" w:color="504539" w:themeColor="accent3"/>
          <w:right w:val="single" w:sz="8" w:space="0" w:color="504539" w:themeColor="accent3"/>
          <w:insideH w:val="nil"/>
          <w:insideV w:val="single" w:sz="8" w:space="0" w:color="5045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4539" w:themeColor="accent3"/>
          <w:left w:val="single" w:sz="8" w:space="0" w:color="504539" w:themeColor="accent3"/>
          <w:bottom w:val="single" w:sz="8" w:space="0" w:color="504539" w:themeColor="accent3"/>
          <w:right w:val="single" w:sz="8" w:space="0" w:color="504539" w:themeColor="accent3"/>
        </w:tcBorders>
      </w:tcPr>
    </w:tblStylePr>
    <w:tblStylePr w:type="band1Vert">
      <w:tblPr/>
      <w:tcPr>
        <w:tcBorders>
          <w:top w:val="single" w:sz="8" w:space="0" w:color="504539" w:themeColor="accent3"/>
          <w:left w:val="single" w:sz="8" w:space="0" w:color="504539" w:themeColor="accent3"/>
          <w:bottom w:val="single" w:sz="8" w:space="0" w:color="504539" w:themeColor="accent3"/>
          <w:right w:val="single" w:sz="8" w:space="0" w:color="504539" w:themeColor="accent3"/>
        </w:tcBorders>
        <w:shd w:val="clear" w:color="auto" w:fill="D8D1C9" w:themeFill="accent3" w:themeFillTint="3F"/>
      </w:tcPr>
    </w:tblStylePr>
    <w:tblStylePr w:type="band1Horz">
      <w:tblPr/>
      <w:tcPr>
        <w:tcBorders>
          <w:top w:val="single" w:sz="8" w:space="0" w:color="504539" w:themeColor="accent3"/>
          <w:left w:val="single" w:sz="8" w:space="0" w:color="504539" w:themeColor="accent3"/>
          <w:bottom w:val="single" w:sz="8" w:space="0" w:color="504539" w:themeColor="accent3"/>
          <w:right w:val="single" w:sz="8" w:space="0" w:color="504539" w:themeColor="accent3"/>
          <w:insideV w:val="single" w:sz="8" w:space="0" w:color="504539" w:themeColor="accent3"/>
        </w:tcBorders>
        <w:shd w:val="clear" w:color="auto" w:fill="D8D1C9" w:themeFill="accent3" w:themeFillTint="3F"/>
      </w:tcPr>
    </w:tblStylePr>
    <w:tblStylePr w:type="band2Horz">
      <w:tblPr/>
      <w:tcPr>
        <w:tcBorders>
          <w:top w:val="single" w:sz="8" w:space="0" w:color="504539" w:themeColor="accent3"/>
          <w:left w:val="single" w:sz="8" w:space="0" w:color="504539" w:themeColor="accent3"/>
          <w:bottom w:val="single" w:sz="8" w:space="0" w:color="504539" w:themeColor="accent3"/>
          <w:right w:val="single" w:sz="8" w:space="0" w:color="504539" w:themeColor="accent3"/>
          <w:insideV w:val="single" w:sz="8" w:space="0" w:color="504539" w:themeColor="accent3"/>
        </w:tcBorders>
      </w:tcPr>
    </w:tblStylePr>
  </w:style>
  <w:style w:type="table" w:styleId="LightGrid-Accent4">
    <w:name w:val="Light Grid Accent 4"/>
    <w:basedOn w:val="TableNormal"/>
    <w:uiPriority w:val="62"/>
    <w:rsid w:val="00BC768C"/>
    <w:pPr>
      <w:spacing w:after="0" w:line="240" w:lineRule="auto"/>
    </w:p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insideH w:val="single" w:sz="8" w:space="0" w:color="C1AD79" w:themeColor="accent4"/>
        <w:insideV w:val="single" w:sz="8" w:space="0" w:color="C1AD7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AD79" w:themeColor="accent4"/>
          <w:left w:val="single" w:sz="8" w:space="0" w:color="C1AD79" w:themeColor="accent4"/>
          <w:bottom w:val="single" w:sz="18" w:space="0" w:color="C1AD79" w:themeColor="accent4"/>
          <w:right w:val="single" w:sz="8" w:space="0" w:color="C1AD79" w:themeColor="accent4"/>
          <w:insideH w:val="nil"/>
          <w:insideV w:val="single" w:sz="8" w:space="0" w:color="C1AD7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AD79" w:themeColor="accent4"/>
          <w:left w:val="single" w:sz="8" w:space="0" w:color="C1AD79" w:themeColor="accent4"/>
          <w:bottom w:val="single" w:sz="8" w:space="0" w:color="C1AD79" w:themeColor="accent4"/>
          <w:right w:val="single" w:sz="8" w:space="0" w:color="C1AD79" w:themeColor="accent4"/>
          <w:insideH w:val="nil"/>
          <w:insideV w:val="single" w:sz="8" w:space="0" w:color="C1AD7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tblStylePr w:type="band1Vert">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shd w:val="clear" w:color="auto" w:fill="EFEADD" w:themeFill="accent4" w:themeFillTint="3F"/>
      </w:tcPr>
    </w:tblStylePr>
    <w:tblStylePr w:type="band1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insideV w:val="single" w:sz="8" w:space="0" w:color="C1AD79" w:themeColor="accent4"/>
        </w:tcBorders>
        <w:shd w:val="clear" w:color="auto" w:fill="EFEADD" w:themeFill="accent4" w:themeFillTint="3F"/>
      </w:tcPr>
    </w:tblStylePr>
    <w:tblStylePr w:type="band2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insideV w:val="single" w:sz="8" w:space="0" w:color="C1AD79" w:themeColor="accent4"/>
        </w:tcBorders>
      </w:tcPr>
    </w:tblStylePr>
  </w:style>
  <w:style w:type="paragraph" w:styleId="Revision">
    <w:name w:val="Revision"/>
    <w:hidden/>
    <w:uiPriority w:val="99"/>
    <w:semiHidden/>
    <w:rsid w:val="007A6B83"/>
    <w:pPr>
      <w:spacing w:after="0" w:line="240" w:lineRule="auto"/>
    </w:pPr>
  </w:style>
  <w:style w:type="table" w:styleId="LightShading-Accent4">
    <w:name w:val="Light Shading Accent 4"/>
    <w:basedOn w:val="TableNormal"/>
    <w:uiPriority w:val="60"/>
    <w:rsid w:val="00977B35"/>
    <w:pPr>
      <w:spacing w:after="0" w:line="240" w:lineRule="auto"/>
    </w:pPr>
    <w:rPr>
      <w:color w:val="A0884A" w:themeColor="accent4" w:themeShade="BF"/>
    </w:rPr>
    <w:tblPr>
      <w:tblStyleRowBandSize w:val="1"/>
      <w:tblStyleColBandSize w:val="1"/>
      <w:tblBorders>
        <w:top w:val="single" w:sz="8" w:space="0" w:color="C1AD79" w:themeColor="accent4"/>
        <w:bottom w:val="single" w:sz="8" w:space="0" w:color="C1AD79" w:themeColor="accent4"/>
      </w:tblBorders>
    </w:tblPr>
    <w:tblStylePr w:type="firstRow">
      <w:pPr>
        <w:spacing w:before="0" w:after="0" w:line="240" w:lineRule="auto"/>
      </w:pPr>
      <w:rPr>
        <w:b/>
        <w:bCs/>
      </w:rPr>
      <w:tblPr/>
      <w:tcPr>
        <w:tcBorders>
          <w:top w:val="single" w:sz="8" w:space="0" w:color="C1AD79" w:themeColor="accent4"/>
          <w:left w:val="nil"/>
          <w:bottom w:val="single" w:sz="8" w:space="0" w:color="C1AD79" w:themeColor="accent4"/>
          <w:right w:val="nil"/>
          <w:insideH w:val="nil"/>
          <w:insideV w:val="nil"/>
        </w:tcBorders>
      </w:tcPr>
    </w:tblStylePr>
    <w:tblStylePr w:type="lastRow">
      <w:pPr>
        <w:spacing w:before="0" w:after="0" w:line="240" w:lineRule="auto"/>
      </w:pPr>
      <w:rPr>
        <w:b/>
        <w:bCs/>
      </w:rPr>
      <w:tblPr/>
      <w:tcPr>
        <w:tcBorders>
          <w:top w:val="single" w:sz="8" w:space="0" w:color="C1AD79" w:themeColor="accent4"/>
          <w:left w:val="nil"/>
          <w:bottom w:val="single" w:sz="8" w:space="0" w:color="C1AD7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ADD" w:themeFill="accent4" w:themeFillTint="3F"/>
      </w:tcPr>
    </w:tblStylePr>
    <w:tblStylePr w:type="band1Horz">
      <w:tblPr/>
      <w:tcPr>
        <w:tcBorders>
          <w:left w:val="nil"/>
          <w:right w:val="nil"/>
          <w:insideH w:val="nil"/>
          <w:insideV w:val="nil"/>
        </w:tcBorders>
        <w:shd w:val="clear" w:color="auto" w:fill="EFEADD" w:themeFill="accent4" w:themeFillTint="3F"/>
      </w:tcPr>
    </w:tblStylePr>
  </w:style>
  <w:style w:type="table" w:styleId="LightList-Accent4">
    <w:name w:val="Light List Accent 4"/>
    <w:basedOn w:val="TableNormal"/>
    <w:uiPriority w:val="61"/>
    <w:rsid w:val="00977B35"/>
    <w:pPr>
      <w:spacing w:after="0" w:line="240" w:lineRule="auto"/>
    </w:p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tblBorders>
    </w:tblPr>
    <w:tblStylePr w:type="firstRow">
      <w:pPr>
        <w:spacing w:before="0" w:after="0" w:line="240" w:lineRule="auto"/>
      </w:pPr>
      <w:rPr>
        <w:b/>
        <w:bCs/>
        <w:color w:val="FFFFFF" w:themeColor="background1"/>
      </w:rPr>
      <w:tblPr/>
      <w:tcPr>
        <w:shd w:val="clear" w:color="auto" w:fill="C1AD79" w:themeFill="accent4"/>
      </w:tcPr>
    </w:tblStylePr>
    <w:tblStylePr w:type="lastRow">
      <w:pPr>
        <w:spacing w:before="0" w:after="0" w:line="240" w:lineRule="auto"/>
      </w:pPr>
      <w:rPr>
        <w:b/>
        <w:bCs/>
      </w:rPr>
      <w:tblPr/>
      <w:tcPr>
        <w:tcBorders>
          <w:top w:val="double" w:sz="6" w:space="0" w:color="C1AD79" w:themeColor="accent4"/>
          <w:left w:val="single" w:sz="8" w:space="0" w:color="C1AD79" w:themeColor="accent4"/>
          <w:bottom w:val="single" w:sz="8" w:space="0" w:color="C1AD79" w:themeColor="accent4"/>
          <w:right w:val="single" w:sz="8" w:space="0" w:color="C1AD79" w:themeColor="accent4"/>
        </w:tcBorders>
      </w:tcPr>
    </w:tblStylePr>
    <w:tblStylePr w:type="firstCol">
      <w:rPr>
        <w:b/>
        <w:bCs/>
      </w:rPr>
    </w:tblStylePr>
    <w:tblStylePr w:type="lastCol">
      <w:rPr>
        <w:b/>
        <w:bCs/>
      </w:rPr>
    </w:tblStylePr>
    <w:tblStylePr w:type="band1Vert">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tblStylePr w:type="band1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style>
  <w:style w:type="table" w:styleId="MediumShading1-Accent4">
    <w:name w:val="Medium Shading 1 Accent 4"/>
    <w:basedOn w:val="TableNormal"/>
    <w:uiPriority w:val="63"/>
    <w:rsid w:val="00977B35"/>
    <w:pPr>
      <w:spacing w:after="0" w:line="240" w:lineRule="auto"/>
    </w:pPr>
    <w:tblPr>
      <w:tblStyleRowBandSize w:val="1"/>
      <w:tblStyleColBandSize w:val="1"/>
      <w:tbl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single" w:sz="8" w:space="0" w:color="D0C19A" w:themeColor="accent4" w:themeTint="BF"/>
      </w:tblBorders>
    </w:tblPr>
    <w:tblStylePr w:type="firstRow">
      <w:pPr>
        <w:spacing w:before="0" w:after="0" w:line="240" w:lineRule="auto"/>
      </w:pPr>
      <w:rPr>
        <w:b/>
        <w:bCs/>
        <w:color w:val="FFFFFF" w:themeColor="background1"/>
      </w:rPr>
      <w:tblPr/>
      <w:tcPr>
        <w:tc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nil"/>
          <w:insideV w:val="nil"/>
        </w:tcBorders>
        <w:shd w:val="clear" w:color="auto" w:fill="C1AD79" w:themeFill="accent4"/>
      </w:tcPr>
    </w:tblStylePr>
    <w:tblStylePr w:type="lastRow">
      <w:pPr>
        <w:spacing w:before="0" w:after="0" w:line="240" w:lineRule="auto"/>
      </w:pPr>
      <w:rPr>
        <w:b/>
        <w:bCs/>
      </w:rPr>
      <w:tblPr/>
      <w:tcPr>
        <w:tcBorders>
          <w:top w:val="double" w:sz="6"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ADD" w:themeFill="accent4" w:themeFillTint="3F"/>
      </w:tcPr>
    </w:tblStylePr>
    <w:tblStylePr w:type="band1Horz">
      <w:tblPr/>
      <w:tcPr>
        <w:tcBorders>
          <w:insideH w:val="nil"/>
          <w:insideV w:val="nil"/>
        </w:tcBorders>
        <w:shd w:val="clear" w:color="auto" w:fill="EFEADD"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977B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AD7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AD79" w:themeFill="accent4"/>
      </w:tcPr>
    </w:tblStylePr>
    <w:tblStylePr w:type="lastCol">
      <w:rPr>
        <w:b/>
        <w:bCs/>
        <w:color w:val="FFFFFF" w:themeColor="background1"/>
      </w:rPr>
      <w:tblPr/>
      <w:tcPr>
        <w:tcBorders>
          <w:left w:val="nil"/>
          <w:right w:val="nil"/>
          <w:insideH w:val="nil"/>
          <w:insideV w:val="nil"/>
        </w:tcBorders>
        <w:shd w:val="clear" w:color="auto" w:fill="C1AD7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977B35"/>
    <w:pPr>
      <w:spacing w:after="0" w:line="240" w:lineRule="auto"/>
    </w:pPr>
    <w:rPr>
      <w:color w:val="000000" w:themeColor="text1"/>
    </w:rPr>
    <w:tblPr>
      <w:tblStyleRowBandSize w:val="1"/>
      <w:tblStyleColBandSize w:val="1"/>
      <w:tblBorders>
        <w:top w:val="single" w:sz="8" w:space="0" w:color="C1AD79" w:themeColor="accent4"/>
        <w:bottom w:val="single" w:sz="8" w:space="0" w:color="C1AD79" w:themeColor="accent4"/>
      </w:tblBorders>
    </w:tblPr>
    <w:tblStylePr w:type="firstRow">
      <w:rPr>
        <w:rFonts w:asciiTheme="majorHAnsi" w:eastAsiaTheme="majorEastAsia" w:hAnsiTheme="majorHAnsi" w:cstheme="majorBidi"/>
      </w:rPr>
      <w:tblPr/>
      <w:tcPr>
        <w:tcBorders>
          <w:top w:val="nil"/>
          <w:bottom w:val="single" w:sz="8" w:space="0" w:color="C1AD79" w:themeColor="accent4"/>
        </w:tcBorders>
      </w:tcPr>
    </w:tblStylePr>
    <w:tblStylePr w:type="lastRow">
      <w:rPr>
        <w:b/>
        <w:bCs/>
        <w:color w:val="6F6D5D" w:themeColor="text2"/>
      </w:rPr>
      <w:tblPr/>
      <w:tcPr>
        <w:tcBorders>
          <w:top w:val="single" w:sz="8" w:space="0" w:color="C1AD79" w:themeColor="accent4"/>
          <w:bottom w:val="single" w:sz="8" w:space="0" w:color="C1AD79" w:themeColor="accent4"/>
        </w:tcBorders>
      </w:tcPr>
    </w:tblStylePr>
    <w:tblStylePr w:type="firstCol">
      <w:rPr>
        <w:b/>
        <w:bCs/>
      </w:rPr>
    </w:tblStylePr>
    <w:tblStylePr w:type="lastCol">
      <w:rPr>
        <w:b/>
        <w:bCs/>
      </w:rPr>
      <w:tblPr/>
      <w:tcPr>
        <w:tcBorders>
          <w:top w:val="single" w:sz="8" w:space="0" w:color="C1AD79" w:themeColor="accent4"/>
          <w:bottom w:val="single" w:sz="8" w:space="0" w:color="C1AD79" w:themeColor="accent4"/>
        </w:tcBorders>
      </w:tcPr>
    </w:tblStylePr>
    <w:tblStylePr w:type="band1Vert">
      <w:tblPr/>
      <w:tcPr>
        <w:shd w:val="clear" w:color="auto" w:fill="EFEADD" w:themeFill="accent4" w:themeFillTint="3F"/>
      </w:tcPr>
    </w:tblStylePr>
    <w:tblStylePr w:type="band1Horz">
      <w:tblPr/>
      <w:tcPr>
        <w:shd w:val="clear" w:color="auto" w:fill="EFEADD" w:themeFill="accent4" w:themeFillTint="3F"/>
      </w:tcPr>
    </w:tblStylePr>
  </w:style>
  <w:style w:type="table" w:styleId="MediumList2-Accent4">
    <w:name w:val="Medium List 2 Accent 4"/>
    <w:basedOn w:val="TableNormal"/>
    <w:uiPriority w:val="66"/>
    <w:rsid w:val="00977B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tblBorders>
    </w:tblPr>
    <w:tblStylePr w:type="firstRow">
      <w:rPr>
        <w:sz w:val="24"/>
        <w:szCs w:val="24"/>
      </w:rPr>
      <w:tblPr/>
      <w:tcPr>
        <w:tcBorders>
          <w:top w:val="nil"/>
          <w:left w:val="nil"/>
          <w:bottom w:val="single" w:sz="24" w:space="0" w:color="C1AD79" w:themeColor="accent4"/>
          <w:right w:val="nil"/>
          <w:insideH w:val="nil"/>
          <w:insideV w:val="nil"/>
        </w:tcBorders>
        <w:shd w:val="clear" w:color="auto" w:fill="FFFFFF" w:themeFill="background1"/>
      </w:tcPr>
    </w:tblStylePr>
    <w:tblStylePr w:type="lastRow">
      <w:tblPr/>
      <w:tcPr>
        <w:tcBorders>
          <w:top w:val="single" w:sz="8" w:space="0" w:color="C1AD7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AD79" w:themeColor="accent4"/>
          <w:insideH w:val="nil"/>
          <w:insideV w:val="nil"/>
        </w:tcBorders>
        <w:shd w:val="clear" w:color="auto" w:fill="FFFFFF" w:themeFill="background1"/>
      </w:tcPr>
    </w:tblStylePr>
    <w:tblStylePr w:type="lastCol">
      <w:tblPr/>
      <w:tcPr>
        <w:tcBorders>
          <w:top w:val="nil"/>
          <w:left w:val="single" w:sz="8" w:space="0" w:color="C1AD7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ADD" w:themeFill="accent4" w:themeFillTint="3F"/>
      </w:tcPr>
    </w:tblStylePr>
    <w:tblStylePr w:type="band1Horz">
      <w:tblPr/>
      <w:tcPr>
        <w:tcBorders>
          <w:top w:val="nil"/>
          <w:bottom w:val="nil"/>
          <w:insideH w:val="nil"/>
          <w:insideV w:val="nil"/>
        </w:tcBorders>
        <w:shd w:val="clear" w:color="auto" w:fill="EFEA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977B35"/>
    <w:pPr>
      <w:spacing w:after="0" w:line="240" w:lineRule="auto"/>
    </w:pPr>
    <w:tblPr>
      <w:tblStyleRowBandSize w:val="1"/>
      <w:tblStyleColBandSize w:val="1"/>
      <w:tbl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single" w:sz="8" w:space="0" w:color="D0C19A" w:themeColor="accent4" w:themeTint="BF"/>
        <w:insideV w:val="single" w:sz="8" w:space="0" w:color="D0C19A" w:themeColor="accent4" w:themeTint="BF"/>
      </w:tblBorders>
    </w:tblPr>
    <w:tcPr>
      <w:shd w:val="clear" w:color="auto" w:fill="EFEADD" w:themeFill="accent4" w:themeFillTint="3F"/>
    </w:tcPr>
    <w:tblStylePr w:type="firstRow">
      <w:rPr>
        <w:b/>
        <w:bCs/>
      </w:rPr>
    </w:tblStylePr>
    <w:tblStylePr w:type="lastRow">
      <w:rPr>
        <w:b/>
        <w:bCs/>
      </w:rPr>
      <w:tblPr/>
      <w:tcPr>
        <w:tcBorders>
          <w:top w:val="single" w:sz="18" w:space="0" w:color="D0C19A" w:themeColor="accent4" w:themeTint="BF"/>
        </w:tcBorders>
      </w:tcPr>
    </w:tblStylePr>
    <w:tblStylePr w:type="firstCol">
      <w:rPr>
        <w:b/>
        <w:bCs/>
      </w:rPr>
    </w:tblStylePr>
    <w:tblStylePr w:type="lastCol">
      <w:rPr>
        <w:b/>
        <w:bCs/>
      </w:rPr>
    </w:tblStylePr>
    <w:tblStylePr w:type="band1Vert">
      <w:tblPr/>
      <w:tcPr>
        <w:shd w:val="clear" w:color="auto" w:fill="E0D6BC" w:themeFill="accent4" w:themeFillTint="7F"/>
      </w:tcPr>
    </w:tblStylePr>
    <w:tblStylePr w:type="band1Horz">
      <w:tblPr/>
      <w:tcPr>
        <w:shd w:val="clear" w:color="auto" w:fill="E0D6BC" w:themeFill="accent4" w:themeFillTint="7F"/>
      </w:tcPr>
    </w:tblStylePr>
  </w:style>
  <w:style w:type="table" w:styleId="MediumGrid2-Accent4">
    <w:name w:val="Medium Grid 2 Accent 4"/>
    <w:basedOn w:val="TableNormal"/>
    <w:uiPriority w:val="68"/>
    <w:rsid w:val="00977B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insideH w:val="single" w:sz="8" w:space="0" w:color="C1AD79" w:themeColor="accent4"/>
        <w:insideV w:val="single" w:sz="8" w:space="0" w:color="C1AD79" w:themeColor="accent4"/>
      </w:tblBorders>
    </w:tblPr>
    <w:tcPr>
      <w:shd w:val="clear" w:color="auto" w:fill="EFEADD" w:themeFill="accent4" w:themeFillTint="3F"/>
    </w:tcPr>
    <w:tblStylePr w:type="firstRow">
      <w:rPr>
        <w:b/>
        <w:bCs/>
        <w:color w:val="000000" w:themeColor="text1"/>
      </w:rPr>
      <w:tblPr/>
      <w:tcPr>
        <w:shd w:val="clear" w:color="auto" w:fill="F9F6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EE4" w:themeFill="accent4" w:themeFillTint="33"/>
      </w:tcPr>
    </w:tblStylePr>
    <w:tblStylePr w:type="band1Vert">
      <w:tblPr/>
      <w:tcPr>
        <w:shd w:val="clear" w:color="auto" w:fill="E0D6BC" w:themeFill="accent4" w:themeFillTint="7F"/>
      </w:tcPr>
    </w:tblStylePr>
    <w:tblStylePr w:type="band1Horz">
      <w:tblPr/>
      <w:tcPr>
        <w:tcBorders>
          <w:insideH w:val="single" w:sz="6" w:space="0" w:color="C1AD79" w:themeColor="accent4"/>
          <w:insideV w:val="single" w:sz="6" w:space="0" w:color="C1AD79" w:themeColor="accent4"/>
        </w:tcBorders>
        <w:shd w:val="clear" w:color="auto" w:fill="E0D6BC"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A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AD7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AD7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AD7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AD7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6B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6BC" w:themeFill="accent4" w:themeFillTint="7F"/>
      </w:tcPr>
    </w:tblStylePr>
  </w:style>
  <w:style w:type="table" w:styleId="MediumGrid3-Accent6">
    <w:name w:val="Medium Grid 3 Accent 6"/>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D6A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D6A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D6A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D6A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A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AD6" w:themeFill="accent6" w:themeFillTint="7F"/>
      </w:tcPr>
    </w:tblStylePr>
  </w:style>
  <w:style w:type="table" w:styleId="MediumGrid3-Accent2">
    <w:name w:val="Medium Grid 3 Accent 2"/>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5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36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36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36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36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8B7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8B78" w:themeFill="accent2" w:themeFillTint="7F"/>
      </w:tcPr>
    </w:tblStylePr>
  </w:style>
  <w:style w:type="table" w:styleId="ColorfulShading-Accent4">
    <w:name w:val="Colorful Shading Accent 4"/>
    <w:basedOn w:val="TableNormal"/>
    <w:uiPriority w:val="71"/>
    <w:rsid w:val="00977B35"/>
    <w:pPr>
      <w:spacing w:after="0" w:line="240" w:lineRule="auto"/>
    </w:pPr>
    <w:rPr>
      <w:color w:val="000000" w:themeColor="text1"/>
    </w:rPr>
    <w:tblPr>
      <w:tblStyleRowBandSize w:val="1"/>
      <w:tblStyleColBandSize w:val="1"/>
      <w:tblBorders>
        <w:top w:val="single" w:sz="24" w:space="0" w:color="504539" w:themeColor="accent3"/>
        <w:left w:val="single" w:sz="4" w:space="0" w:color="C1AD79" w:themeColor="accent4"/>
        <w:bottom w:val="single" w:sz="4" w:space="0" w:color="C1AD79" w:themeColor="accent4"/>
        <w:right w:val="single" w:sz="4" w:space="0" w:color="C1AD79" w:themeColor="accent4"/>
        <w:insideH w:val="single" w:sz="4" w:space="0" w:color="FFFFFF" w:themeColor="background1"/>
        <w:insideV w:val="single" w:sz="4" w:space="0" w:color="FFFFFF" w:themeColor="background1"/>
      </w:tblBorders>
    </w:tblPr>
    <w:tcPr>
      <w:shd w:val="clear" w:color="auto" w:fill="F9F6F1" w:themeFill="accent4" w:themeFillTint="19"/>
    </w:tcPr>
    <w:tblStylePr w:type="firstRow">
      <w:rPr>
        <w:b/>
        <w:bCs/>
      </w:rPr>
      <w:tblPr/>
      <w:tcPr>
        <w:tcBorders>
          <w:top w:val="nil"/>
          <w:left w:val="nil"/>
          <w:bottom w:val="single" w:sz="24" w:space="0" w:color="5045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6D3B" w:themeFill="accent4" w:themeFillShade="99"/>
      </w:tcPr>
    </w:tblStylePr>
    <w:tblStylePr w:type="firstCol">
      <w:rPr>
        <w:color w:val="FFFFFF" w:themeColor="background1"/>
      </w:rPr>
      <w:tblPr/>
      <w:tcPr>
        <w:tcBorders>
          <w:top w:val="nil"/>
          <w:left w:val="nil"/>
          <w:bottom w:val="nil"/>
          <w:right w:val="nil"/>
          <w:insideH w:val="single" w:sz="4" w:space="0" w:color="806D3B" w:themeColor="accent4" w:themeShade="99"/>
          <w:insideV w:val="nil"/>
        </w:tcBorders>
        <w:shd w:val="clear" w:color="auto" w:fill="806D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06D3B" w:themeFill="accent4" w:themeFillShade="99"/>
      </w:tcPr>
    </w:tblStylePr>
    <w:tblStylePr w:type="band1Vert">
      <w:tblPr/>
      <w:tcPr>
        <w:shd w:val="clear" w:color="auto" w:fill="E6DEC9" w:themeFill="accent4" w:themeFillTint="66"/>
      </w:tcPr>
    </w:tblStylePr>
    <w:tblStylePr w:type="band1Horz">
      <w:tblPr/>
      <w:tcPr>
        <w:shd w:val="clear" w:color="auto" w:fill="E0D6BC" w:themeFill="accent4" w:themeFillTint="7F"/>
      </w:tcPr>
    </w:tblStylePr>
    <w:tblStylePr w:type="neCell">
      <w:rPr>
        <w:color w:val="000000" w:themeColor="text1"/>
      </w:rPr>
    </w:tblStylePr>
    <w:tblStylePr w:type="nwCell">
      <w:rPr>
        <w:color w:val="000000" w:themeColor="text1"/>
      </w:rPr>
    </w:tblStylePr>
  </w:style>
  <w:style w:type="table" w:styleId="ColorfulList-Accent3">
    <w:name w:val="Colorful List Accent 3"/>
    <w:basedOn w:val="TableNormal"/>
    <w:uiPriority w:val="72"/>
    <w:rsid w:val="00977B35"/>
    <w:pPr>
      <w:spacing w:after="0" w:line="240" w:lineRule="auto"/>
    </w:pPr>
    <w:rPr>
      <w:color w:val="000000" w:themeColor="text1"/>
    </w:rPr>
    <w:tblPr>
      <w:tblStyleRowBandSize w:val="1"/>
      <w:tblStyleColBandSize w:val="1"/>
    </w:tblPr>
    <w:tcPr>
      <w:shd w:val="clear" w:color="auto" w:fill="EFECE9" w:themeFill="accent3" w:themeFillTint="19"/>
    </w:tcPr>
    <w:tblStylePr w:type="firstRow">
      <w:rPr>
        <w:b/>
        <w:bCs/>
        <w:color w:val="FFFFFF" w:themeColor="background1"/>
      </w:rPr>
      <w:tblPr/>
      <w:tcPr>
        <w:tcBorders>
          <w:bottom w:val="single" w:sz="12" w:space="0" w:color="FFFFFF" w:themeColor="background1"/>
        </w:tcBorders>
        <w:shd w:val="clear" w:color="auto" w:fill="AB914F" w:themeFill="accent4" w:themeFillShade="CC"/>
      </w:tcPr>
    </w:tblStylePr>
    <w:tblStylePr w:type="lastRow">
      <w:rPr>
        <w:b/>
        <w:bCs/>
        <w:color w:val="AB914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C9" w:themeFill="accent3" w:themeFillTint="3F"/>
      </w:tcPr>
    </w:tblStylePr>
    <w:tblStylePr w:type="band1Horz">
      <w:tblPr/>
      <w:tcPr>
        <w:shd w:val="clear" w:color="auto" w:fill="E0D9D3" w:themeFill="accent3" w:themeFillTint="33"/>
      </w:tcPr>
    </w:tblStylePr>
  </w:style>
  <w:style w:type="table" w:styleId="ColorfulGrid-Accent4">
    <w:name w:val="Colorful Grid Accent 4"/>
    <w:basedOn w:val="TableNormal"/>
    <w:uiPriority w:val="73"/>
    <w:rsid w:val="00977B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EEE4" w:themeFill="accent4" w:themeFillTint="33"/>
    </w:tcPr>
    <w:tblStylePr w:type="firstRow">
      <w:rPr>
        <w:b/>
        <w:bCs/>
      </w:rPr>
      <w:tblPr/>
      <w:tcPr>
        <w:shd w:val="clear" w:color="auto" w:fill="E6DEC9" w:themeFill="accent4" w:themeFillTint="66"/>
      </w:tcPr>
    </w:tblStylePr>
    <w:tblStylePr w:type="lastRow">
      <w:rPr>
        <w:b/>
        <w:bCs/>
        <w:color w:val="000000" w:themeColor="text1"/>
      </w:rPr>
      <w:tblPr/>
      <w:tcPr>
        <w:shd w:val="clear" w:color="auto" w:fill="E6DEC9" w:themeFill="accent4" w:themeFillTint="66"/>
      </w:tcPr>
    </w:tblStylePr>
    <w:tblStylePr w:type="firstCol">
      <w:rPr>
        <w:color w:val="FFFFFF" w:themeColor="background1"/>
      </w:rPr>
      <w:tblPr/>
      <w:tcPr>
        <w:shd w:val="clear" w:color="auto" w:fill="A0884A" w:themeFill="accent4" w:themeFillShade="BF"/>
      </w:tcPr>
    </w:tblStylePr>
    <w:tblStylePr w:type="lastCol">
      <w:rPr>
        <w:color w:val="FFFFFF" w:themeColor="background1"/>
      </w:rPr>
      <w:tblPr/>
      <w:tcPr>
        <w:shd w:val="clear" w:color="auto" w:fill="A0884A" w:themeFill="accent4" w:themeFillShade="BF"/>
      </w:tcPr>
    </w:tblStylePr>
    <w:tblStylePr w:type="band1Vert">
      <w:tblPr/>
      <w:tcPr>
        <w:shd w:val="clear" w:color="auto" w:fill="E0D6BC" w:themeFill="accent4" w:themeFillTint="7F"/>
      </w:tcPr>
    </w:tblStylePr>
    <w:tblStylePr w:type="band1Horz">
      <w:tblPr/>
      <w:tcPr>
        <w:shd w:val="clear" w:color="auto" w:fill="E0D6BC" w:themeFill="accent4" w:themeFillTint="7F"/>
      </w:tcPr>
    </w:tblStylePr>
  </w:style>
  <w:style w:type="table" w:styleId="MediumGrid3-Accent5">
    <w:name w:val="Medium Grid 3 Accent 5"/>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755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755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755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755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DA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DA8" w:themeFill="accent5" w:themeFillTint="7F"/>
      </w:tcPr>
    </w:tblStylePr>
  </w:style>
  <w:style w:type="table" w:styleId="MediumGrid3-Accent3">
    <w:name w:val="Medium Grid 3 Accent 3"/>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45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45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45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45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29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292" w:themeFill="accent3" w:themeFillTint="7F"/>
      </w:tcPr>
    </w:tblStylePr>
  </w:style>
  <w:style w:type="table" w:styleId="MediumGrid3-Accent1">
    <w:name w:val="Medium Grid 3 Accent 1"/>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7D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5A6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5A6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5A6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5A6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AEB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AEB4" w:themeFill="accent1" w:themeFillTint="7F"/>
      </w:tcPr>
    </w:tblStylePr>
  </w:style>
  <w:style w:type="table" w:styleId="MediumGrid2-Accent3">
    <w:name w:val="Medium Grid 2 Accent 3"/>
    <w:basedOn w:val="TableNormal"/>
    <w:uiPriority w:val="68"/>
    <w:rsid w:val="008A75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insideH w:val="single" w:sz="8" w:space="0" w:color="504539" w:themeColor="accent3"/>
        <w:insideV w:val="single" w:sz="8" w:space="0" w:color="504539" w:themeColor="accent3"/>
      </w:tblBorders>
    </w:tblPr>
    <w:tcPr>
      <w:shd w:val="clear" w:color="auto" w:fill="D8D1C9" w:themeFill="accent3" w:themeFillTint="3F"/>
    </w:tcPr>
    <w:tblStylePr w:type="firstRow">
      <w:rPr>
        <w:b/>
        <w:bCs/>
        <w:color w:val="000000" w:themeColor="text1"/>
      </w:rPr>
      <w:tblPr/>
      <w:tcPr>
        <w:shd w:val="clear" w:color="auto" w:fill="EFEC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D9D3" w:themeFill="accent3" w:themeFillTint="33"/>
      </w:tcPr>
    </w:tblStylePr>
    <w:tblStylePr w:type="band1Vert">
      <w:tblPr/>
      <w:tcPr>
        <w:shd w:val="clear" w:color="auto" w:fill="B1A292" w:themeFill="accent3" w:themeFillTint="7F"/>
      </w:tcPr>
    </w:tblStylePr>
    <w:tblStylePr w:type="band1Horz">
      <w:tblPr/>
      <w:tcPr>
        <w:tcBorders>
          <w:insideH w:val="single" w:sz="6" w:space="0" w:color="504539" w:themeColor="accent3"/>
          <w:insideV w:val="single" w:sz="6" w:space="0" w:color="504539" w:themeColor="accent3"/>
        </w:tcBorders>
        <w:shd w:val="clear" w:color="auto" w:fill="B1A292" w:themeFill="accent3"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8A75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7559" w:themeColor="accent5"/>
        <w:left w:val="single" w:sz="8" w:space="0" w:color="667559" w:themeColor="accent5"/>
        <w:bottom w:val="single" w:sz="8" w:space="0" w:color="667559" w:themeColor="accent5"/>
        <w:right w:val="single" w:sz="8" w:space="0" w:color="667559" w:themeColor="accent5"/>
      </w:tblBorders>
    </w:tblPr>
    <w:tblStylePr w:type="firstRow">
      <w:rPr>
        <w:sz w:val="24"/>
        <w:szCs w:val="24"/>
      </w:rPr>
      <w:tblPr/>
      <w:tcPr>
        <w:tcBorders>
          <w:top w:val="nil"/>
          <w:left w:val="nil"/>
          <w:bottom w:val="single" w:sz="24" w:space="0" w:color="667559" w:themeColor="accent5"/>
          <w:right w:val="nil"/>
          <w:insideH w:val="nil"/>
          <w:insideV w:val="nil"/>
        </w:tcBorders>
        <w:shd w:val="clear" w:color="auto" w:fill="FFFFFF" w:themeFill="background1"/>
      </w:tcPr>
    </w:tblStylePr>
    <w:tblStylePr w:type="lastRow">
      <w:tblPr/>
      <w:tcPr>
        <w:tcBorders>
          <w:top w:val="single" w:sz="8" w:space="0" w:color="66755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7559" w:themeColor="accent5"/>
          <w:insideH w:val="nil"/>
          <w:insideV w:val="nil"/>
        </w:tcBorders>
        <w:shd w:val="clear" w:color="auto" w:fill="FFFFFF" w:themeFill="background1"/>
      </w:tcPr>
    </w:tblStylePr>
    <w:tblStylePr w:type="lastCol">
      <w:tblPr/>
      <w:tcPr>
        <w:tcBorders>
          <w:top w:val="nil"/>
          <w:left w:val="single" w:sz="8" w:space="0" w:color="66755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4" w:themeFill="accent5" w:themeFillTint="3F"/>
      </w:tcPr>
    </w:tblStylePr>
    <w:tblStylePr w:type="band1Horz">
      <w:tblPr/>
      <w:tcPr>
        <w:tcBorders>
          <w:top w:val="nil"/>
          <w:bottom w:val="nil"/>
          <w:insideH w:val="nil"/>
          <w:insideV w:val="nil"/>
        </w:tcBorders>
        <w:shd w:val="clear" w:color="auto" w:fill="D8DE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8A75E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F6D5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2">
    <w:name w:val="Medium List 1 Accent 2"/>
    <w:basedOn w:val="TableNormal"/>
    <w:uiPriority w:val="65"/>
    <w:rsid w:val="008A75EF"/>
    <w:pPr>
      <w:spacing w:after="0" w:line="240" w:lineRule="auto"/>
    </w:pPr>
    <w:rPr>
      <w:color w:val="000000" w:themeColor="text1"/>
    </w:rPr>
    <w:tblPr>
      <w:tblStyleRowBandSize w:val="1"/>
      <w:tblStyleColBandSize w:val="1"/>
      <w:tblBorders>
        <w:top w:val="single" w:sz="8" w:space="0" w:color="983620" w:themeColor="accent2"/>
        <w:bottom w:val="single" w:sz="8" w:space="0" w:color="983620" w:themeColor="accent2"/>
      </w:tblBorders>
    </w:tblPr>
    <w:tblStylePr w:type="firstRow">
      <w:rPr>
        <w:rFonts w:asciiTheme="majorHAnsi" w:eastAsiaTheme="majorEastAsia" w:hAnsiTheme="majorHAnsi" w:cstheme="majorBidi"/>
      </w:rPr>
      <w:tblPr/>
      <w:tcPr>
        <w:tcBorders>
          <w:top w:val="nil"/>
          <w:bottom w:val="single" w:sz="8" w:space="0" w:color="983620" w:themeColor="accent2"/>
        </w:tcBorders>
      </w:tcPr>
    </w:tblStylePr>
    <w:tblStylePr w:type="lastRow">
      <w:rPr>
        <w:b/>
        <w:bCs/>
        <w:color w:val="6F6D5D" w:themeColor="text2"/>
      </w:rPr>
      <w:tblPr/>
      <w:tcPr>
        <w:tcBorders>
          <w:top w:val="single" w:sz="8" w:space="0" w:color="983620" w:themeColor="accent2"/>
          <w:bottom w:val="single" w:sz="8" w:space="0" w:color="983620" w:themeColor="accent2"/>
        </w:tcBorders>
      </w:tcPr>
    </w:tblStylePr>
    <w:tblStylePr w:type="firstCol">
      <w:rPr>
        <w:b/>
        <w:bCs/>
      </w:rPr>
    </w:tblStylePr>
    <w:tblStylePr w:type="lastCol">
      <w:rPr>
        <w:b/>
        <w:bCs/>
      </w:rPr>
      <w:tblPr/>
      <w:tcPr>
        <w:tcBorders>
          <w:top w:val="single" w:sz="8" w:space="0" w:color="983620" w:themeColor="accent2"/>
          <w:bottom w:val="single" w:sz="8" w:space="0" w:color="983620" w:themeColor="accent2"/>
        </w:tcBorders>
      </w:tcPr>
    </w:tblStylePr>
    <w:tblStylePr w:type="band1Vert">
      <w:tblPr/>
      <w:tcPr>
        <w:shd w:val="clear" w:color="auto" w:fill="F1C5BC" w:themeFill="accent2" w:themeFillTint="3F"/>
      </w:tcPr>
    </w:tblStylePr>
    <w:tblStylePr w:type="band1Horz">
      <w:tblPr/>
      <w:tcPr>
        <w:shd w:val="clear" w:color="auto" w:fill="F1C5BC" w:themeFill="accent2" w:themeFillTint="3F"/>
      </w:tcPr>
    </w:tblStylePr>
  </w:style>
  <w:style w:type="table" w:styleId="MediumList1-Accent1">
    <w:name w:val="Medium List 1 Accent 1"/>
    <w:basedOn w:val="TableNormal"/>
    <w:uiPriority w:val="65"/>
    <w:rsid w:val="008A75EF"/>
    <w:pPr>
      <w:spacing w:after="0" w:line="240" w:lineRule="auto"/>
    </w:pPr>
    <w:rPr>
      <w:color w:val="000000" w:themeColor="text1"/>
    </w:rPr>
    <w:tblPr>
      <w:tblStyleRowBandSize w:val="1"/>
      <w:tblStyleColBandSize w:val="1"/>
      <w:tblBorders>
        <w:top w:val="single" w:sz="8" w:space="0" w:color="4B5A60" w:themeColor="accent1"/>
        <w:bottom w:val="single" w:sz="8" w:space="0" w:color="4B5A60" w:themeColor="accent1"/>
      </w:tblBorders>
    </w:tblPr>
    <w:tblStylePr w:type="firstRow">
      <w:rPr>
        <w:rFonts w:asciiTheme="majorHAnsi" w:eastAsiaTheme="majorEastAsia" w:hAnsiTheme="majorHAnsi" w:cstheme="majorBidi"/>
      </w:rPr>
      <w:tblPr/>
      <w:tcPr>
        <w:tcBorders>
          <w:top w:val="nil"/>
          <w:bottom w:val="single" w:sz="8" w:space="0" w:color="4B5A60" w:themeColor="accent1"/>
        </w:tcBorders>
      </w:tcPr>
    </w:tblStylePr>
    <w:tblStylePr w:type="lastRow">
      <w:rPr>
        <w:b/>
        <w:bCs/>
        <w:color w:val="6F6D5D" w:themeColor="text2"/>
      </w:rPr>
      <w:tblPr/>
      <w:tcPr>
        <w:tcBorders>
          <w:top w:val="single" w:sz="8" w:space="0" w:color="4B5A60" w:themeColor="accent1"/>
          <w:bottom w:val="single" w:sz="8" w:space="0" w:color="4B5A60" w:themeColor="accent1"/>
        </w:tcBorders>
      </w:tcPr>
    </w:tblStylePr>
    <w:tblStylePr w:type="firstCol">
      <w:rPr>
        <w:b/>
        <w:bCs/>
      </w:rPr>
    </w:tblStylePr>
    <w:tblStylePr w:type="lastCol">
      <w:rPr>
        <w:b/>
        <w:bCs/>
      </w:rPr>
      <w:tblPr/>
      <w:tcPr>
        <w:tcBorders>
          <w:top w:val="single" w:sz="8" w:space="0" w:color="4B5A60" w:themeColor="accent1"/>
          <w:bottom w:val="single" w:sz="8" w:space="0" w:color="4B5A60" w:themeColor="accent1"/>
        </w:tcBorders>
      </w:tcPr>
    </w:tblStylePr>
    <w:tblStylePr w:type="band1Vert">
      <w:tblPr/>
      <w:tcPr>
        <w:shd w:val="clear" w:color="auto" w:fill="CFD7DA" w:themeFill="accent1" w:themeFillTint="3F"/>
      </w:tcPr>
    </w:tblStylePr>
    <w:tblStylePr w:type="band1Horz">
      <w:tblPr/>
      <w:tcPr>
        <w:shd w:val="clear" w:color="auto" w:fill="CFD7DA" w:themeFill="accent1" w:themeFillTint="3F"/>
      </w:tcPr>
    </w:tblStylePr>
  </w:style>
  <w:style w:type="paragraph" w:customStyle="1" w:styleId="paragraphtextindented">
    <w:name w:val="paragraphtextindented"/>
    <w:basedOn w:val="Normal"/>
    <w:rsid w:val="00FC1533"/>
    <w:pPr>
      <w:spacing w:before="100" w:beforeAutospacing="1" w:after="100" w:afterAutospacing="1" w:line="240" w:lineRule="auto"/>
    </w:pPr>
    <w:rPr>
      <w:rFonts w:ascii="Times" w:hAnsi="Times"/>
      <w:sz w:val="20"/>
      <w:szCs w:val="20"/>
    </w:rPr>
  </w:style>
  <w:style w:type="character" w:customStyle="1" w:styleId="Stile12pt">
    <w:name w:val="Stile 12 pt"/>
    <w:basedOn w:val="DefaultParagraphFont"/>
    <w:rsid w:val="00D806FC"/>
    <w:rPr>
      <w:rFonts w:ascii="Times New Roman" w:hAnsi="Times New Roman"/>
      <w:sz w:val="24"/>
    </w:rPr>
  </w:style>
  <w:style w:type="paragraph" w:customStyle="1" w:styleId="Normaleprogram">
    <w:name w:val="Normale program"/>
    <w:basedOn w:val="Normal"/>
    <w:rsid w:val="00D806FC"/>
    <w:pPr>
      <w:spacing w:after="0" w:line="240" w:lineRule="auto"/>
    </w:pPr>
    <w:rPr>
      <w:rFonts w:ascii="Times New Roman" w:eastAsia="Times New Roman" w:hAnsi="Times New Roman" w:cs="Times New Roman"/>
      <w:szCs w:val="20"/>
      <w:lang w:val="en-GB" w:eastAsia="en-US"/>
    </w:rPr>
  </w:style>
  <w:style w:type="character" w:styleId="FollowedHyperlink">
    <w:name w:val="FollowedHyperlink"/>
    <w:basedOn w:val="DefaultParagraphFont"/>
    <w:uiPriority w:val="99"/>
    <w:semiHidden/>
    <w:unhideWhenUsed/>
    <w:rsid w:val="00B16EF2"/>
    <w:rPr>
      <w:color w:val="8F9954" w:themeColor="followedHyperlink"/>
      <w:u w:val="single"/>
    </w:rPr>
  </w:style>
  <w:style w:type="paragraph" w:styleId="BodyText2">
    <w:name w:val="Body Text 2"/>
    <w:basedOn w:val="Normal"/>
    <w:link w:val="BodyText2Char"/>
    <w:rsid w:val="00F16F0A"/>
    <w:pPr>
      <w:spacing w:after="0" w:line="240" w:lineRule="auto"/>
      <w:jc w:val="both"/>
    </w:pPr>
    <w:rPr>
      <w:rFonts w:ascii="Times New Roman" w:eastAsia="Times New Roman" w:hAnsi="Times New Roman" w:cs="Times New Roman"/>
      <w:szCs w:val="20"/>
      <w:lang w:val="en-GB" w:eastAsia="en-US"/>
    </w:rPr>
  </w:style>
  <w:style w:type="character" w:customStyle="1" w:styleId="BodyText2Char">
    <w:name w:val="Body Text 2 Char"/>
    <w:basedOn w:val="DefaultParagraphFont"/>
    <w:link w:val="BodyText2"/>
    <w:rsid w:val="00F16F0A"/>
    <w:rPr>
      <w:rFonts w:ascii="Times New Roman" w:eastAsia="Times New Roman" w:hAnsi="Times New Roman" w:cs="Times New Roman"/>
      <w:szCs w:val="20"/>
      <w:lang w:val="en-GB" w:eastAsia="en-US"/>
    </w:rPr>
  </w:style>
  <w:style w:type="paragraph" w:customStyle="1" w:styleId="ManualNumPar1">
    <w:name w:val="Manual NumPar 1"/>
    <w:basedOn w:val="Normal"/>
    <w:next w:val="Normal"/>
    <w:rsid w:val="00F16F0A"/>
    <w:pPr>
      <w:numPr>
        <w:numId w:val="19"/>
      </w:numPr>
      <w:tabs>
        <w:tab w:val="clear" w:pos="709"/>
      </w:tabs>
      <w:spacing w:before="120" w:after="120" w:line="360" w:lineRule="auto"/>
      <w:ind w:left="850" w:hanging="130"/>
      <w:jc w:val="both"/>
    </w:pPr>
    <w:rPr>
      <w:rFonts w:ascii="Times New Roman" w:eastAsia="Times New Roman" w:hAnsi="Times New Roman" w:cs="Times New Roman"/>
      <w:szCs w:val="20"/>
      <w:lang w:val="en-GB" w:eastAsia="zh-CN"/>
    </w:rPr>
  </w:style>
  <w:style w:type="paragraph" w:customStyle="1" w:styleId="Applicationdirecte">
    <w:name w:val="Application directe"/>
    <w:basedOn w:val="Normal"/>
    <w:next w:val="Fait"/>
    <w:rsid w:val="00F16F0A"/>
    <w:pPr>
      <w:numPr>
        <w:ilvl w:val="1"/>
        <w:numId w:val="19"/>
      </w:numPr>
      <w:tabs>
        <w:tab w:val="clear" w:pos="1417"/>
      </w:tabs>
      <w:spacing w:before="480" w:after="120" w:line="360" w:lineRule="auto"/>
      <w:ind w:left="0" w:firstLine="0"/>
      <w:jc w:val="both"/>
    </w:pPr>
    <w:rPr>
      <w:rFonts w:ascii="Times New Roman" w:eastAsia="Times New Roman" w:hAnsi="Times New Roman" w:cs="Times New Roman"/>
      <w:szCs w:val="20"/>
      <w:lang w:val="en-GB" w:eastAsia="zh-CN"/>
    </w:rPr>
  </w:style>
  <w:style w:type="paragraph" w:customStyle="1" w:styleId="Fait">
    <w:name w:val="Fait à"/>
    <w:basedOn w:val="Normal"/>
    <w:next w:val="Institutionquisigne"/>
    <w:rsid w:val="00F16F0A"/>
    <w:pPr>
      <w:keepNext/>
      <w:numPr>
        <w:ilvl w:val="2"/>
        <w:numId w:val="19"/>
      </w:numPr>
      <w:tabs>
        <w:tab w:val="clear" w:pos="2126"/>
      </w:tabs>
      <w:spacing w:before="120" w:after="120" w:line="360" w:lineRule="auto"/>
      <w:ind w:left="0" w:firstLine="0"/>
      <w:jc w:val="both"/>
    </w:pPr>
    <w:rPr>
      <w:rFonts w:ascii="Times New Roman" w:eastAsia="Times New Roman" w:hAnsi="Times New Roman" w:cs="Times New Roman"/>
      <w:szCs w:val="20"/>
      <w:lang w:val="en-GB" w:eastAsia="zh-CN"/>
    </w:rPr>
  </w:style>
  <w:style w:type="paragraph" w:customStyle="1" w:styleId="Institutionquisigne">
    <w:name w:val="Institution qui signe"/>
    <w:basedOn w:val="Normal"/>
    <w:next w:val="Normal"/>
    <w:rsid w:val="00F16F0A"/>
    <w:pPr>
      <w:keepNext/>
      <w:numPr>
        <w:ilvl w:val="3"/>
        <w:numId w:val="19"/>
      </w:numPr>
      <w:tabs>
        <w:tab w:val="clear" w:pos="2835"/>
        <w:tab w:val="left" w:pos="4252"/>
      </w:tabs>
      <w:spacing w:before="720" w:after="120" w:line="360" w:lineRule="auto"/>
      <w:ind w:left="0" w:firstLine="0"/>
      <w:jc w:val="both"/>
    </w:pPr>
    <w:rPr>
      <w:rFonts w:ascii="Times New Roman" w:eastAsia="Times New Roman" w:hAnsi="Times New Roman" w:cs="Times New Roman"/>
      <w:i/>
      <w:szCs w:val="20"/>
      <w:lang w:val="en-GB" w:eastAsia="zh-CN"/>
    </w:rPr>
  </w:style>
  <w:style w:type="paragraph" w:customStyle="1" w:styleId="NumPar1">
    <w:name w:val="NumPar 1"/>
    <w:basedOn w:val="Normal"/>
    <w:next w:val="Normal"/>
    <w:rsid w:val="00F16F0A"/>
    <w:pPr>
      <w:numPr>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2">
    <w:name w:val="NumPar 2"/>
    <w:basedOn w:val="Normal"/>
    <w:next w:val="Normal"/>
    <w:rsid w:val="00F16F0A"/>
    <w:pPr>
      <w:numPr>
        <w:ilvl w:val="1"/>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3">
    <w:name w:val="NumPar 3"/>
    <w:basedOn w:val="Normal"/>
    <w:next w:val="Normal"/>
    <w:rsid w:val="00F16F0A"/>
    <w:pPr>
      <w:numPr>
        <w:ilvl w:val="2"/>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4">
    <w:name w:val="NumPar 4"/>
    <w:basedOn w:val="Normal"/>
    <w:next w:val="Normal"/>
    <w:rsid w:val="00F16F0A"/>
    <w:pPr>
      <w:numPr>
        <w:ilvl w:val="3"/>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Point0number">
    <w:name w:val="Point 0 (number)"/>
    <w:basedOn w:val="Normal"/>
    <w:rsid w:val="00F16F0A"/>
    <w:pPr>
      <w:numPr>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1number">
    <w:name w:val="Point 1 (number)"/>
    <w:basedOn w:val="Normal"/>
    <w:rsid w:val="00F16F0A"/>
    <w:pPr>
      <w:numPr>
        <w:ilvl w:val="2"/>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2number">
    <w:name w:val="Point 2 (number)"/>
    <w:basedOn w:val="Normal"/>
    <w:rsid w:val="00F16F0A"/>
    <w:pPr>
      <w:numPr>
        <w:ilvl w:val="4"/>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3number">
    <w:name w:val="Point 3 (number)"/>
    <w:basedOn w:val="Normal"/>
    <w:rsid w:val="00F16F0A"/>
    <w:pPr>
      <w:numPr>
        <w:ilvl w:val="6"/>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0letter">
    <w:name w:val="Point 0 (letter)"/>
    <w:basedOn w:val="Normal"/>
    <w:rsid w:val="00F16F0A"/>
    <w:pPr>
      <w:numPr>
        <w:ilvl w:val="1"/>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1letter">
    <w:name w:val="Point 1 (letter)"/>
    <w:basedOn w:val="Normal"/>
    <w:rsid w:val="00F16F0A"/>
    <w:pPr>
      <w:numPr>
        <w:ilvl w:val="3"/>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2letter">
    <w:name w:val="Point 2 (letter)"/>
    <w:basedOn w:val="Normal"/>
    <w:rsid w:val="00F16F0A"/>
    <w:pPr>
      <w:numPr>
        <w:ilvl w:val="5"/>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3letter">
    <w:name w:val="Point 3 (letter)"/>
    <w:basedOn w:val="Normal"/>
    <w:rsid w:val="00F16F0A"/>
    <w:pPr>
      <w:numPr>
        <w:ilvl w:val="7"/>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4letter">
    <w:name w:val="Point 4 (letter)"/>
    <w:basedOn w:val="Normal"/>
    <w:rsid w:val="00F16F0A"/>
    <w:pPr>
      <w:numPr>
        <w:ilvl w:val="8"/>
        <w:numId w:val="21"/>
      </w:numPr>
      <w:spacing w:before="120" w:after="120" w:line="240" w:lineRule="auto"/>
      <w:jc w:val="both"/>
    </w:pPr>
    <w:rPr>
      <w:rFonts w:ascii="Times New Roman" w:eastAsia="Calibri" w:hAnsi="Times New Roman" w:cs="Times New Roman"/>
      <w:szCs w:val="22"/>
      <w:lang w:val="en-GB" w:eastAsia="en-GB"/>
    </w:rPr>
  </w:style>
  <w:style w:type="character" w:customStyle="1" w:styleId="ListParagraphChar">
    <w:name w:val="List Paragraph Char"/>
    <w:link w:val="ListParagraph"/>
    <w:uiPriority w:val="34"/>
    <w:rsid w:val="00F16F0A"/>
  </w:style>
  <w:style w:type="character" w:customStyle="1" w:styleId="st">
    <w:name w:val="st"/>
    <w:basedOn w:val="DefaultParagraphFont"/>
    <w:rsid w:val="00F16F0A"/>
  </w:style>
  <w:style w:type="character" w:styleId="Emphasis">
    <w:name w:val="Emphasis"/>
    <w:basedOn w:val="DefaultParagraphFont"/>
    <w:uiPriority w:val="99"/>
    <w:qFormat/>
    <w:rsid w:val="00F16F0A"/>
    <w:rPr>
      <w:i/>
      <w:iCs/>
    </w:rPr>
  </w:style>
  <w:style w:type="character" w:styleId="PageNumber">
    <w:name w:val="page number"/>
    <w:basedOn w:val="DefaultParagraphFont"/>
    <w:uiPriority w:val="99"/>
    <w:semiHidden/>
    <w:unhideWhenUsed/>
    <w:rsid w:val="00D12E00"/>
  </w:style>
  <w:style w:type="character" w:customStyle="1" w:styleId="T1CharChar">
    <w:name w:val="T1 Char Char"/>
    <w:link w:val="T1"/>
    <w:rsid w:val="00DC2F6C"/>
    <w:rPr>
      <w:rFonts w:ascii="Arial" w:hAnsi="Arial" w:cs="Arial"/>
      <w:sz w:val="22"/>
      <w:szCs w:val="22"/>
      <w:lang w:val="en-GB" w:eastAsia="hu-HU"/>
    </w:rPr>
  </w:style>
  <w:style w:type="paragraph" w:customStyle="1" w:styleId="T1">
    <w:name w:val="T1"/>
    <w:link w:val="T1CharChar"/>
    <w:rsid w:val="00DC2F6C"/>
    <w:pPr>
      <w:spacing w:line="240" w:lineRule="auto"/>
      <w:jc w:val="both"/>
    </w:pPr>
    <w:rPr>
      <w:rFonts w:ascii="Arial" w:hAnsi="Arial" w:cs="Arial"/>
      <w:sz w:val="22"/>
      <w:szCs w:val="22"/>
      <w:lang w:val="en-GB" w:eastAsia="hu-HU"/>
    </w:rPr>
  </w:style>
  <w:style w:type="table" w:styleId="LightShading-Accent2">
    <w:name w:val="Light Shading Accent 2"/>
    <w:basedOn w:val="TableNormal"/>
    <w:uiPriority w:val="60"/>
    <w:rsid w:val="0001321D"/>
    <w:pPr>
      <w:spacing w:after="0" w:line="240" w:lineRule="auto"/>
    </w:pPr>
    <w:rPr>
      <w:color w:val="712818" w:themeColor="accent2" w:themeShade="BF"/>
    </w:rPr>
    <w:tblPr>
      <w:tblStyleRowBandSize w:val="1"/>
      <w:tblStyleColBandSize w:val="1"/>
      <w:tblBorders>
        <w:top w:val="single" w:sz="8" w:space="0" w:color="983620" w:themeColor="accent2"/>
        <w:bottom w:val="single" w:sz="8" w:space="0" w:color="983620" w:themeColor="accent2"/>
      </w:tblBorders>
    </w:tblPr>
    <w:tblStylePr w:type="firstRow">
      <w:pPr>
        <w:spacing w:before="0" w:after="0" w:line="240" w:lineRule="auto"/>
      </w:pPr>
      <w:rPr>
        <w:b/>
        <w:bCs/>
      </w:rPr>
      <w:tblPr/>
      <w:tcPr>
        <w:tcBorders>
          <w:top w:val="single" w:sz="8" w:space="0" w:color="983620" w:themeColor="accent2"/>
          <w:left w:val="nil"/>
          <w:bottom w:val="single" w:sz="8" w:space="0" w:color="983620" w:themeColor="accent2"/>
          <w:right w:val="nil"/>
          <w:insideH w:val="nil"/>
          <w:insideV w:val="nil"/>
        </w:tcBorders>
      </w:tcPr>
    </w:tblStylePr>
    <w:tblStylePr w:type="lastRow">
      <w:pPr>
        <w:spacing w:before="0" w:after="0" w:line="240" w:lineRule="auto"/>
      </w:pPr>
      <w:rPr>
        <w:b/>
        <w:bCs/>
      </w:rPr>
      <w:tblPr/>
      <w:tcPr>
        <w:tcBorders>
          <w:top w:val="single" w:sz="8" w:space="0" w:color="983620" w:themeColor="accent2"/>
          <w:left w:val="nil"/>
          <w:bottom w:val="single" w:sz="8" w:space="0" w:color="9836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5BC" w:themeFill="accent2" w:themeFillTint="3F"/>
      </w:tcPr>
    </w:tblStylePr>
    <w:tblStylePr w:type="band1Horz">
      <w:tblPr/>
      <w:tcPr>
        <w:tcBorders>
          <w:left w:val="nil"/>
          <w:right w:val="nil"/>
          <w:insideH w:val="nil"/>
          <w:insideV w:val="nil"/>
        </w:tcBorders>
        <w:shd w:val="clear" w:color="auto" w:fill="F1C5BC" w:themeFill="accent2" w:themeFillTint="3F"/>
      </w:tcPr>
    </w:tblStylePr>
  </w:style>
  <w:style w:type="table" w:styleId="LightShading-Accent5">
    <w:name w:val="Light Shading Accent 5"/>
    <w:basedOn w:val="TableNormal"/>
    <w:uiPriority w:val="60"/>
    <w:rsid w:val="0001321D"/>
    <w:pPr>
      <w:spacing w:after="0" w:line="240" w:lineRule="auto"/>
    </w:pPr>
    <w:rPr>
      <w:color w:val="4C5742" w:themeColor="accent5" w:themeShade="BF"/>
    </w:rPr>
    <w:tblPr>
      <w:tblStyleRowBandSize w:val="1"/>
      <w:tblStyleColBandSize w:val="1"/>
      <w:tblBorders>
        <w:top w:val="single" w:sz="8" w:space="0" w:color="667559" w:themeColor="accent5"/>
        <w:bottom w:val="single" w:sz="8" w:space="0" w:color="667559" w:themeColor="accent5"/>
      </w:tblBorders>
    </w:tblPr>
    <w:tblStylePr w:type="firstRow">
      <w:pPr>
        <w:spacing w:before="0" w:after="0" w:line="240" w:lineRule="auto"/>
      </w:pPr>
      <w:rPr>
        <w:b/>
        <w:bCs/>
      </w:rPr>
      <w:tblPr/>
      <w:tcPr>
        <w:tcBorders>
          <w:top w:val="single" w:sz="8" w:space="0" w:color="667559" w:themeColor="accent5"/>
          <w:left w:val="nil"/>
          <w:bottom w:val="single" w:sz="8" w:space="0" w:color="667559" w:themeColor="accent5"/>
          <w:right w:val="nil"/>
          <w:insideH w:val="nil"/>
          <w:insideV w:val="nil"/>
        </w:tcBorders>
      </w:tcPr>
    </w:tblStylePr>
    <w:tblStylePr w:type="lastRow">
      <w:pPr>
        <w:spacing w:before="0" w:after="0" w:line="240" w:lineRule="auto"/>
      </w:pPr>
      <w:rPr>
        <w:b/>
        <w:bCs/>
      </w:rPr>
      <w:tblPr/>
      <w:tcPr>
        <w:tcBorders>
          <w:top w:val="single" w:sz="8" w:space="0" w:color="667559" w:themeColor="accent5"/>
          <w:left w:val="nil"/>
          <w:bottom w:val="single" w:sz="8" w:space="0" w:color="66755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4" w:themeFill="accent5" w:themeFillTint="3F"/>
      </w:tcPr>
    </w:tblStylePr>
    <w:tblStylePr w:type="band1Horz">
      <w:tblPr/>
      <w:tcPr>
        <w:tcBorders>
          <w:left w:val="nil"/>
          <w:right w:val="nil"/>
          <w:insideH w:val="nil"/>
          <w:insideV w:val="nil"/>
        </w:tcBorders>
        <w:shd w:val="clear" w:color="auto" w:fill="D8DED4" w:themeFill="accent5" w:themeFillTint="3F"/>
      </w:tcPr>
    </w:tblStylePr>
  </w:style>
  <w:style w:type="table" w:styleId="LightGrid-Accent5">
    <w:name w:val="Light Grid Accent 5"/>
    <w:basedOn w:val="TableNormal"/>
    <w:uiPriority w:val="62"/>
    <w:rsid w:val="0001321D"/>
    <w:pPr>
      <w:spacing w:after="0" w:line="240" w:lineRule="auto"/>
    </w:pPr>
    <w:tblPr>
      <w:tblStyleRowBandSize w:val="1"/>
      <w:tblStyleColBandSize w:val="1"/>
      <w:tblBorders>
        <w:top w:val="single" w:sz="8" w:space="0" w:color="667559" w:themeColor="accent5"/>
        <w:left w:val="single" w:sz="8" w:space="0" w:color="667559" w:themeColor="accent5"/>
        <w:bottom w:val="single" w:sz="8" w:space="0" w:color="667559" w:themeColor="accent5"/>
        <w:right w:val="single" w:sz="8" w:space="0" w:color="667559" w:themeColor="accent5"/>
        <w:insideH w:val="single" w:sz="8" w:space="0" w:color="667559" w:themeColor="accent5"/>
        <w:insideV w:val="single" w:sz="8" w:space="0" w:color="66755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7559" w:themeColor="accent5"/>
          <w:left w:val="single" w:sz="8" w:space="0" w:color="667559" w:themeColor="accent5"/>
          <w:bottom w:val="single" w:sz="18" w:space="0" w:color="667559" w:themeColor="accent5"/>
          <w:right w:val="single" w:sz="8" w:space="0" w:color="667559" w:themeColor="accent5"/>
          <w:insideH w:val="nil"/>
          <w:insideV w:val="single" w:sz="8" w:space="0" w:color="66755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7559" w:themeColor="accent5"/>
          <w:left w:val="single" w:sz="8" w:space="0" w:color="667559" w:themeColor="accent5"/>
          <w:bottom w:val="single" w:sz="8" w:space="0" w:color="667559" w:themeColor="accent5"/>
          <w:right w:val="single" w:sz="8" w:space="0" w:color="667559" w:themeColor="accent5"/>
          <w:insideH w:val="nil"/>
          <w:insideV w:val="single" w:sz="8" w:space="0" w:color="66755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7559" w:themeColor="accent5"/>
          <w:left w:val="single" w:sz="8" w:space="0" w:color="667559" w:themeColor="accent5"/>
          <w:bottom w:val="single" w:sz="8" w:space="0" w:color="667559" w:themeColor="accent5"/>
          <w:right w:val="single" w:sz="8" w:space="0" w:color="667559" w:themeColor="accent5"/>
        </w:tcBorders>
      </w:tcPr>
    </w:tblStylePr>
    <w:tblStylePr w:type="band1Vert">
      <w:tblPr/>
      <w:tcPr>
        <w:tcBorders>
          <w:top w:val="single" w:sz="8" w:space="0" w:color="667559" w:themeColor="accent5"/>
          <w:left w:val="single" w:sz="8" w:space="0" w:color="667559" w:themeColor="accent5"/>
          <w:bottom w:val="single" w:sz="8" w:space="0" w:color="667559" w:themeColor="accent5"/>
          <w:right w:val="single" w:sz="8" w:space="0" w:color="667559" w:themeColor="accent5"/>
        </w:tcBorders>
        <w:shd w:val="clear" w:color="auto" w:fill="D8DED4" w:themeFill="accent5" w:themeFillTint="3F"/>
      </w:tcPr>
    </w:tblStylePr>
    <w:tblStylePr w:type="band1Horz">
      <w:tblPr/>
      <w:tcPr>
        <w:tcBorders>
          <w:top w:val="single" w:sz="8" w:space="0" w:color="667559" w:themeColor="accent5"/>
          <w:left w:val="single" w:sz="8" w:space="0" w:color="667559" w:themeColor="accent5"/>
          <w:bottom w:val="single" w:sz="8" w:space="0" w:color="667559" w:themeColor="accent5"/>
          <w:right w:val="single" w:sz="8" w:space="0" w:color="667559" w:themeColor="accent5"/>
          <w:insideV w:val="single" w:sz="8" w:space="0" w:color="667559" w:themeColor="accent5"/>
        </w:tcBorders>
        <w:shd w:val="clear" w:color="auto" w:fill="D8DED4" w:themeFill="accent5" w:themeFillTint="3F"/>
      </w:tcPr>
    </w:tblStylePr>
    <w:tblStylePr w:type="band2Horz">
      <w:tblPr/>
      <w:tcPr>
        <w:tcBorders>
          <w:top w:val="single" w:sz="8" w:space="0" w:color="667559" w:themeColor="accent5"/>
          <w:left w:val="single" w:sz="8" w:space="0" w:color="667559" w:themeColor="accent5"/>
          <w:bottom w:val="single" w:sz="8" w:space="0" w:color="667559" w:themeColor="accent5"/>
          <w:right w:val="single" w:sz="8" w:space="0" w:color="667559" w:themeColor="accent5"/>
          <w:insideV w:val="single" w:sz="8" w:space="0" w:color="667559" w:themeColor="accent5"/>
        </w:tcBorders>
      </w:tcPr>
    </w:tblStylePr>
  </w:style>
  <w:style w:type="table" w:styleId="MediumShading1-Accent6">
    <w:name w:val="Medium Shading 1 Accent 6"/>
    <w:basedOn w:val="TableNormal"/>
    <w:uiPriority w:val="63"/>
    <w:rsid w:val="0001321D"/>
    <w:pPr>
      <w:spacing w:after="0" w:line="240" w:lineRule="auto"/>
    </w:pPr>
    <w:tblPr>
      <w:tblStyleRowBandSize w:val="1"/>
      <w:tblStyleColBandSize w:val="1"/>
      <w:tblBorders>
        <w:top w:val="single" w:sz="8"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single" w:sz="8" w:space="0" w:color="CBE0C1" w:themeColor="accent6" w:themeTint="BF"/>
      </w:tblBorders>
    </w:tblPr>
    <w:tblStylePr w:type="firstRow">
      <w:pPr>
        <w:spacing w:before="0" w:after="0" w:line="240" w:lineRule="auto"/>
      </w:pPr>
      <w:rPr>
        <w:b/>
        <w:bCs/>
        <w:color w:val="FFFFFF" w:themeColor="background1"/>
      </w:rPr>
      <w:tblPr/>
      <w:tcPr>
        <w:tcBorders>
          <w:top w:val="single" w:sz="8"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nil"/>
          <w:insideV w:val="nil"/>
        </w:tcBorders>
        <w:shd w:val="clear" w:color="auto" w:fill="BAD6AD" w:themeFill="accent6"/>
      </w:tcPr>
    </w:tblStylePr>
    <w:tblStylePr w:type="lastRow">
      <w:pPr>
        <w:spacing w:before="0" w:after="0" w:line="240" w:lineRule="auto"/>
      </w:pPr>
      <w:rPr>
        <w:b/>
        <w:bCs/>
      </w:rPr>
      <w:tblPr/>
      <w:tcPr>
        <w:tcBorders>
          <w:top w:val="double" w:sz="6"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4EA" w:themeFill="accent6" w:themeFillTint="3F"/>
      </w:tcPr>
    </w:tblStylePr>
    <w:tblStylePr w:type="band1Horz">
      <w:tblPr/>
      <w:tcPr>
        <w:tcBorders>
          <w:insideH w:val="nil"/>
          <w:insideV w:val="nil"/>
        </w:tcBorders>
        <w:shd w:val="clear" w:color="auto" w:fill="EDF4EA" w:themeFill="accent6"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1321D"/>
    <w:pPr>
      <w:spacing w:after="0" w:line="240" w:lineRule="auto"/>
    </w:pPr>
    <w:tblPr>
      <w:tblStyleRowBandSize w:val="1"/>
      <w:tblStyleColBandSize w:val="1"/>
      <w:tblBorders>
        <w:top w:val="single" w:sz="8"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single" w:sz="8" w:space="0" w:color="70868F" w:themeColor="accent1" w:themeTint="BF"/>
      </w:tblBorders>
    </w:tblPr>
    <w:tblStylePr w:type="firstRow">
      <w:pPr>
        <w:spacing w:before="0" w:after="0" w:line="240" w:lineRule="auto"/>
      </w:pPr>
      <w:rPr>
        <w:b/>
        <w:bCs/>
        <w:color w:val="FFFFFF" w:themeColor="background1"/>
      </w:rPr>
      <w:tblPr/>
      <w:tcPr>
        <w:tcBorders>
          <w:top w:val="single" w:sz="8"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nil"/>
          <w:insideV w:val="nil"/>
        </w:tcBorders>
        <w:shd w:val="clear" w:color="auto" w:fill="4B5A60" w:themeFill="accent1"/>
      </w:tcPr>
    </w:tblStylePr>
    <w:tblStylePr w:type="lastRow">
      <w:pPr>
        <w:spacing w:before="0" w:after="0" w:line="240" w:lineRule="auto"/>
      </w:pPr>
      <w:rPr>
        <w:b/>
        <w:bCs/>
      </w:rPr>
      <w:tblPr/>
      <w:tcPr>
        <w:tcBorders>
          <w:top w:val="double" w:sz="6"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D7DA" w:themeFill="accent1" w:themeFillTint="3F"/>
      </w:tcPr>
    </w:tblStylePr>
    <w:tblStylePr w:type="band1Horz">
      <w:tblPr/>
      <w:tcPr>
        <w:tcBorders>
          <w:insideH w:val="nil"/>
          <w:insideV w:val="nil"/>
        </w:tcBorders>
        <w:shd w:val="clear" w:color="auto" w:fill="CFD7DA"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01321D"/>
    <w:pPr>
      <w:spacing w:after="0" w:line="240" w:lineRule="auto"/>
    </w:pPr>
    <w:rPr>
      <w:color w:val="384347" w:themeColor="accent1" w:themeShade="BF"/>
    </w:rPr>
    <w:tblPr>
      <w:tblStyleRowBandSize w:val="1"/>
      <w:tblStyleColBandSize w:val="1"/>
      <w:tblBorders>
        <w:top w:val="single" w:sz="8" w:space="0" w:color="4B5A60" w:themeColor="accent1"/>
        <w:bottom w:val="single" w:sz="8" w:space="0" w:color="4B5A60" w:themeColor="accent1"/>
      </w:tblBorders>
    </w:tblPr>
    <w:tblStylePr w:type="firstRow">
      <w:pPr>
        <w:spacing w:before="0" w:after="0" w:line="240" w:lineRule="auto"/>
      </w:pPr>
      <w:rPr>
        <w:b/>
        <w:bCs/>
      </w:rPr>
      <w:tblPr/>
      <w:tcPr>
        <w:tcBorders>
          <w:top w:val="single" w:sz="8" w:space="0" w:color="4B5A60" w:themeColor="accent1"/>
          <w:left w:val="nil"/>
          <w:bottom w:val="single" w:sz="8" w:space="0" w:color="4B5A60" w:themeColor="accent1"/>
          <w:right w:val="nil"/>
          <w:insideH w:val="nil"/>
          <w:insideV w:val="nil"/>
        </w:tcBorders>
      </w:tcPr>
    </w:tblStylePr>
    <w:tblStylePr w:type="lastRow">
      <w:pPr>
        <w:spacing w:before="0" w:after="0" w:line="240" w:lineRule="auto"/>
      </w:pPr>
      <w:rPr>
        <w:b/>
        <w:bCs/>
      </w:rPr>
      <w:tblPr/>
      <w:tcPr>
        <w:tcBorders>
          <w:top w:val="single" w:sz="8" w:space="0" w:color="4B5A60" w:themeColor="accent1"/>
          <w:left w:val="nil"/>
          <w:bottom w:val="single" w:sz="8" w:space="0" w:color="4B5A6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7DA" w:themeFill="accent1" w:themeFillTint="3F"/>
      </w:tcPr>
    </w:tblStylePr>
    <w:tblStylePr w:type="band1Horz">
      <w:tblPr/>
      <w:tcPr>
        <w:tcBorders>
          <w:left w:val="nil"/>
          <w:right w:val="nil"/>
          <w:insideH w:val="nil"/>
          <w:insideV w:val="nil"/>
        </w:tcBorders>
        <w:shd w:val="clear" w:color="auto" w:fill="CFD7DA" w:themeFill="accent1" w:themeFillTint="3F"/>
      </w:tcPr>
    </w:tblStylePr>
  </w:style>
  <w:style w:type="table" w:styleId="ColorfulList-Accent4">
    <w:name w:val="Colorful List Accent 4"/>
    <w:basedOn w:val="TableNormal"/>
    <w:uiPriority w:val="72"/>
    <w:rsid w:val="009C4D30"/>
    <w:pPr>
      <w:spacing w:after="0" w:line="240" w:lineRule="auto"/>
    </w:pPr>
    <w:rPr>
      <w:color w:val="000000" w:themeColor="text1"/>
    </w:rPr>
    <w:tblPr>
      <w:tblStyleRowBandSize w:val="1"/>
      <w:tblStyleColBandSize w:val="1"/>
    </w:tblPr>
    <w:tcPr>
      <w:shd w:val="clear" w:color="auto" w:fill="F9F6F1" w:themeFill="accent4" w:themeFillTint="19"/>
    </w:tcPr>
    <w:tblStylePr w:type="firstRow">
      <w:rPr>
        <w:b/>
        <w:bCs/>
        <w:color w:val="FFFFFF" w:themeColor="background1"/>
      </w:rPr>
      <w:tblPr/>
      <w:tcPr>
        <w:tcBorders>
          <w:bottom w:val="single" w:sz="12" w:space="0" w:color="FFFFFF" w:themeColor="background1"/>
        </w:tcBorders>
        <w:shd w:val="clear" w:color="auto" w:fill="3F372D" w:themeFill="accent3" w:themeFillShade="CC"/>
      </w:tcPr>
    </w:tblStylePr>
    <w:tblStylePr w:type="lastRow">
      <w:rPr>
        <w:b/>
        <w:bCs/>
        <w:color w:val="3F372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ADD" w:themeFill="accent4" w:themeFillTint="3F"/>
      </w:tcPr>
    </w:tblStylePr>
    <w:tblStylePr w:type="band1Horz">
      <w:tblPr/>
      <w:tcPr>
        <w:shd w:val="clear" w:color="auto" w:fill="F2EEE4" w:themeFill="accent4" w:themeFillTint="33"/>
      </w:tcPr>
    </w:tblStylePr>
  </w:style>
  <w:style w:type="table" w:styleId="ColorfulList-Accent1">
    <w:name w:val="Colorful List Accent 1"/>
    <w:basedOn w:val="TableNormal"/>
    <w:uiPriority w:val="72"/>
    <w:rsid w:val="002F1780"/>
    <w:pPr>
      <w:spacing w:after="0" w:line="240" w:lineRule="auto"/>
    </w:pPr>
    <w:rPr>
      <w:color w:val="000000" w:themeColor="text1"/>
    </w:rPr>
    <w:tblPr>
      <w:tblStyleRowBandSize w:val="1"/>
      <w:tblStyleColBandSize w:val="1"/>
    </w:tblPr>
    <w:tcPr>
      <w:shd w:val="clear" w:color="auto" w:fill="ECEFF0" w:themeFill="accent1" w:themeFillTint="19"/>
    </w:tcPr>
    <w:tblStylePr w:type="firstRow">
      <w:rPr>
        <w:b/>
        <w:bCs/>
        <w:color w:val="FFFFFF" w:themeColor="background1"/>
      </w:rPr>
      <w:tblPr/>
      <w:tcPr>
        <w:tcBorders>
          <w:bottom w:val="single" w:sz="12" w:space="0" w:color="FFFFFF" w:themeColor="background1"/>
        </w:tcBorders>
        <w:shd w:val="clear" w:color="auto" w:fill="792A19" w:themeFill="accent2" w:themeFillShade="CC"/>
      </w:tcPr>
    </w:tblStylePr>
    <w:tblStylePr w:type="lastRow">
      <w:rPr>
        <w:b/>
        <w:bCs/>
        <w:color w:val="792A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7DA" w:themeFill="accent1" w:themeFillTint="3F"/>
      </w:tcPr>
    </w:tblStylePr>
    <w:tblStylePr w:type="band1Horz">
      <w:tblPr/>
      <w:tcPr>
        <w:shd w:val="clear" w:color="auto" w:fill="D8DEE1" w:themeFill="accent1" w:themeFillTint="33"/>
      </w:tcPr>
    </w:tblStylePr>
  </w:style>
  <w:style w:type="table" w:styleId="ColorfulList">
    <w:name w:val="Colorful List"/>
    <w:basedOn w:val="TableNormal"/>
    <w:uiPriority w:val="72"/>
    <w:rsid w:val="002F17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2A19" w:themeFill="accent2" w:themeFillShade="CC"/>
      </w:tcPr>
    </w:tblStylePr>
    <w:tblStylePr w:type="lastRow">
      <w:rPr>
        <w:b/>
        <w:bCs/>
        <w:color w:val="792A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A5635D"/>
    <w:pPr>
      <w:spacing w:after="160" w:line="240" w:lineRule="exact"/>
    </w:pPr>
    <w:rPr>
      <w:rFonts w:ascii="Verdana" w:eastAsia="Times New Roman" w:hAnsi="Verdana" w:cs="Calibri"/>
      <w:sz w:val="20"/>
      <w:szCs w:val="20"/>
      <w:lang w:val="en-US" w:eastAsia="ar-SA"/>
    </w:rPr>
  </w:style>
  <w:style w:type="paragraph" w:customStyle="1" w:styleId="Quadrculamitjana1mfasi21">
    <w:name w:val="Quadrícula mitjana 1: èmfasi 21"/>
    <w:basedOn w:val="Normal"/>
    <w:uiPriority w:val="34"/>
    <w:qFormat/>
    <w:rsid w:val="00A5635D"/>
    <w:pPr>
      <w:suppressAutoHyphens/>
      <w:spacing w:before="200" w:after="0" w:line="312" w:lineRule="auto"/>
      <w:ind w:left="720"/>
      <w:jc w:val="both"/>
    </w:pPr>
    <w:rPr>
      <w:rFonts w:ascii="Swis721 Lt BT" w:eastAsia="Times New Roman" w:hAnsi="Swis721 Lt BT" w:cs="Calibri"/>
      <w:sz w:val="20"/>
      <w:szCs w:val="20"/>
      <w:lang w:val="en-GB" w:eastAsia="ar-SA"/>
    </w:rPr>
  </w:style>
  <w:style w:type="table" w:styleId="MediumList2-Accent3">
    <w:name w:val="Medium List 2 Accent 3"/>
    <w:basedOn w:val="TableNormal"/>
    <w:uiPriority w:val="66"/>
    <w:rsid w:val="007F4E2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tblBorders>
    </w:tblPr>
    <w:tblStylePr w:type="firstRow">
      <w:rPr>
        <w:sz w:val="24"/>
        <w:szCs w:val="24"/>
      </w:rPr>
      <w:tblPr/>
      <w:tcPr>
        <w:tcBorders>
          <w:top w:val="nil"/>
          <w:left w:val="nil"/>
          <w:bottom w:val="single" w:sz="24" w:space="0" w:color="504539" w:themeColor="accent3"/>
          <w:right w:val="nil"/>
          <w:insideH w:val="nil"/>
          <w:insideV w:val="nil"/>
        </w:tcBorders>
        <w:shd w:val="clear" w:color="auto" w:fill="FFFFFF" w:themeFill="background1"/>
      </w:tcPr>
    </w:tblStylePr>
    <w:tblStylePr w:type="lastRow">
      <w:tblPr/>
      <w:tcPr>
        <w:tcBorders>
          <w:top w:val="single" w:sz="8" w:space="0" w:color="5045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4539" w:themeColor="accent3"/>
          <w:insideH w:val="nil"/>
          <w:insideV w:val="nil"/>
        </w:tcBorders>
        <w:shd w:val="clear" w:color="auto" w:fill="FFFFFF" w:themeFill="background1"/>
      </w:tcPr>
    </w:tblStylePr>
    <w:tblStylePr w:type="lastCol">
      <w:tblPr/>
      <w:tcPr>
        <w:tcBorders>
          <w:top w:val="nil"/>
          <w:left w:val="single" w:sz="8" w:space="0" w:color="5045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C9" w:themeFill="accent3" w:themeFillTint="3F"/>
      </w:tcPr>
    </w:tblStylePr>
    <w:tblStylePr w:type="band1Horz">
      <w:tblPr/>
      <w:tcPr>
        <w:tcBorders>
          <w:top w:val="nil"/>
          <w:bottom w:val="nil"/>
          <w:insideH w:val="nil"/>
          <w:insideV w:val="nil"/>
        </w:tcBorders>
        <w:shd w:val="clear" w:color="auto" w:fill="D8D1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F4E2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5A60" w:themeColor="accent1"/>
        <w:left w:val="single" w:sz="8" w:space="0" w:color="4B5A60" w:themeColor="accent1"/>
        <w:bottom w:val="single" w:sz="8" w:space="0" w:color="4B5A60" w:themeColor="accent1"/>
        <w:right w:val="single" w:sz="8" w:space="0" w:color="4B5A60" w:themeColor="accent1"/>
      </w:tblBorders>
    </w:tblPr>
    <w:tblStylePr w:type="firstRow">
      <w:rPr>
        <w:sz w:val="24"/>
        <w:szCs w:val="24"/>
      </w:rPr>
      <w:tblPr/>
      <w:tcPr>
        <w:tcBorders>
          <w:top w:val="nil"/>
          <w:left w:val="nil"/>
          <w:bottom w:val="single" w:sz="24" w:space="0" w:color="4B5A60" w:themeColor="accent1"/>
          <w:right w:val="nil"/>
          <w:insideH w:val="nil"/>
          <w:insideV w:val="nil"/>
        </w:tcBorders>
        <w:shd w:val="clear" w:color="auto" w:fill="FFFFFF" w:themeFill="background1"/>
      </w:tcPr>
    </w:tblStylePr>
    <w:tblStylePr w:type="lastRow">
      <w:tblPr/>
      <w:tcPr>
        <w:tcBorders>
          <w:top w:val="single" w:sz="8" w:space="0" w:color="4B5A6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5A60" w:themeColor="accent1"/>
          <w:insideH w:val="nil"/>
          <w:insideV w:val="nil"/>
        </w:tcBorders>
        <w:shd w:val="clear" w:color="auto" w:fill="FFFFFF" w:themeFill="background1"/>
      </w:tcPr>
    </w:tblStylePr>
    <w:tblStylePr w:type="lastCol">
      <w:tblPr/>
      <w:tcPr>
        <w:tcBorders>
          <w:top w:val="nil"/>
          <w:left w:val="single" w:sz="8" w:space="0" w:color="4B5A6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7DA" w:themeFill="accent1" w:themeFillTint="3F"/>
      </w:tcPr>
    </w:tblStylePr>
    <w:tblStylePr w:type="band1Horz">
      <w:tblPr/>
      <w:tcPr>
        <w:tcBorders>
          <w:top w:val="nil"/>
          <w:bottom w:val="nil"/>
          <w:insideH w:val="nil"/>
          <w:insideV w:val="nil"/>
        </w:tcBorders>
        <w:shd w:val="clear" w:color="auto" w:fill="CFD7DA"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1">
    <w:name w:val="st1"/>
    <w:basedOn w:val="DefaultParagraphFont"/>
    <w:rsid w:val="00EF16E1"/>
  </w:style>
  <w:style w:type="paragraph" w:styleId="BodyText">
    <w:name w:val="Body Text"/>
    <w:basedOn w:val="Normal"/>
    <w:link w:val="BodyTextChar"/>
    <w:uiPriority w:val="99"/>
    <w:unhideWhenUsed/>
    <w:rsid w:val="008B456F"/>
    <w:pPr>
      <w:spacing w:after="120"/>
    </w:pPr>
    <w:rPr>
      <w:lang w:val="en-GB"/>
    </w:rPr>
  </w:style>
  <w:style w:type="character" w:customStyle="1" w:styleId="BodyTextChar">
    <w:name w:val="Body Text Char"/>
    <w:basedOn w:val="DefaultParagraphFont"/>
    <w:link w:val="BodyText"/>
    <w:uiPriority w:val="99"/>
    <w:rsid w:val="008B456F"/>
    <w:rPr>
      <w:lang w:val="en-GB"/>
    </w:rPr>
  </w:style>
  <w:style w:type="table" w:styleId="LightShading-Accent3">
    <w:name w:val="Light Shading Accent 3"/>
    <w:basedOn w:val="TableNormal"/>
    <w:uiPriority w:val="60"/>
    <w:rsid w:val="00755E63"/>
    <w:pPr>
      <w:spacing w:after="0" w:line="240" w:lineRule="auto"/>
    </w:pPr>
    <w:rPr>
      <w:color w:val="3B332A" w:themeColor="accent3" w:themeShade="BF"/>
    </w:rPr>
    <w:tblPr>
      <w:tblStyleRowBandSize w:val="1"/>
      <w:tblStyleColBandSize w:val="1"/>
      <w:tblBorders>
        <w:top w:val="single" w:sz="8" w:space="0" w:color="504539" w:themeColor="accent3"/>
        <w:bottom w:val="single" w:sz="8" w:space="0" w:color="504539" w:themeColor="accent3"/>
      </w:tblBorders>
    </w:tblPr>
    <w:tblStylePr w:type="firstRow">
      <w:pPr>
        <w:spacing w:before="0" w:after="0" w:line="240" w:lineRule="auto"/>
      </w:pPr>
      <w:rPr>
        <w:b/>
        <w:bCs/>
      </w:rPr>
      <w:tblPr/>
      <w:tcPr>
        <w:tcBorders>
          <w:top w:val="single" w:sz="8" w:space="0" w:color="504539" w:themeColor="accent3"/>
          <w:left w:val="nil"/>
          <w:bottom w:val="single" w:sz="8" w:space="0" w:color="504539" w:themeColor="accent3"/>
          <w:right w:val="nil"/>
          <w:insideH w:val="nil"/>
          <w:insideV w:val="nil"/>
        </w:tcBorders>
      </w:tcPr>
    </w:tblStylePr>
    <w:tblStylePr w:type="lastRow">
      <w:pPr>
        <w:spacing w:before="0" w:after="0" w:line="240" w:lineRule="auto"/>
      </w:pPr>
      <w:rPr>
        <w:b/>
        <w:bCs/>
      </w:rPr>
      <w:tblPr/>
      <w:tcPr>
        <w:tcBorders>
          <w:top w:val="single" w:sz="8" w:space="0" w:color="504539" w:themeColor="accent3"/>
          <w:left w:val="nil"/>
          <w:bottom w:val="single" w:sz="8" w:space="0" w:color="5045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C9" w:themeFill="accent3" w:themeFillTint="3F"/>
      </w:tcPr>
    </w:tblStylePr>
    <w:tblStylePr w:type="band1Horz">
      <w:tblPr/>
      <w:tcPr>
        <w:tcBorders>
          <w:left w:val="nil"/>
          <w:right w:val="nil"/>
          <w:insideH w:val="nil"/>
          <w:insideV w:val="nil"/>
        </w:tcBorders>
        <w:shd w:val="clear" w:color="auto" w:fill="D8D1C9" w:themeFill="accent3" w:themeFillTint="3F"/>
      </w:tcPr>
    </w:tblStylePr>
  </w:style>
  <w:style w:type="table" w:customStyle="1" w:styleId="TableGrid1">
    <w:name w:val="Table Grid1"/>
    <w:basedOn w:val="TableNormal"/>
    <w:next w:val="TableGrid"/>
    <w:uiPriority w:val="59"/>
    <w:rsid w:val="004007EC"/>
    <w:pPr>
      <w:spacing w:after="0" w:line="240" w:lineRule="auto"/>
    </w:pPr>
    <w:rPr>
      <w:rFonts w:eastAsiaTheme="minorHAns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llista6decolors-mfasi21">
    <w:name w:val="Taula amb llista 6 de colors - Èmfasi 21"/>
    <w:basedOn w:val="TableNormal"/>
    <w:uiPriority w:val="51"/>
    <w:rsid w:val="00B42858"/>
    <w:pPr>
      <w:spacing w:after="0" w:line="240" w:lineRule="auto"/>
    </w:pPr>
    <w:rPr>
      <w:rFonts w:eastAsia="Calibri"/>
      <w:color w:val="C45911"/>
      <w:sz w:val="22"/>
      <w:szCs w:val="22"/>
      <w:lang w:val="ca-ES" w:eastAsia="en-US"/>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HTMLCite">
    <w:name w:val="HTML Cite"/>
    <w:basedOn w:val="DefaultParagraphFont"/>
    <w:uiPriority w:val="99"/>
    <w:semiHidden/>
    <w:unhideWhenUsed/>
    <w:rsid w:val="00160FC9"/>
    <w:rPr>
      <w:i/>
      <w:iCs/>
    </w:rPr>
  </w:style>
  <w:style w:type="table" w:customStyle="1" w:styleId="LightShading-Accent41">
    <w:name w:val="Light Shading - Accent 41"/>
    <w:basedOn w:val="TableNormal"/>
    <w:next w:val="LightShading-Accent4"/>
    <w:uiPriority w:val="60"/>
    <w:rsid w:val="00FF5431"/>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Corpsdutexte">
    <w:name w:val="Corps du texte_"/>
    <w:basedOn w:val="DefaultParagraphFont"/>
    <w:link w:val="Corpsdutexte0"/>
    <w:rsid w:val="00840EE6"/>
    <w:rPr>
      <w:rFonts w:ascii="Arial" w:eastAsia="Arial" w:hAnsi="Arial" w:cs="Arial"/>
      <w:sz w:val="20"/>
      <w:szCs w:val="20"/>
      <w:shd w:val="clear" w:color="auto" w:fill="FFFFFF"/>
    </w:rPr>
  </w:style>
  <w:style w:type="paragraph" w:customStyle="1" w:styleId="Corpsdutexte0">
    <w:name w:val="Corps du texte"/>
    <w:basedOn w:val="Normal"/>
    <w:link w:val="Corpsdutexte"/>
    <w:rsid w:val="00840EE6"/>
    <w:pPr>
      <w:widowControl w:val="0"/>
      <w:shd w:val="clear" w:color="auto" w:fill="FFFFFF"/>
      <w:spacing w:before="180" w:after="60" w:line="283" w:lineRule="exact"/>
      <w:ind w:hanging="440"/>
      <w:jc w:val="both"/>
    </w:pPr>
    <w:rPr>
      <w:rFonts w:ascii="Arial" w:eastAsia="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pPr>
        <w:spacing w:after="2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semiHidden="0" w:uiPriority="9"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semiHidden="0" w:unhideWhenUsed="0"/>
    <w:lsdException w:name="footer" w:semiHidden="0" w:unhideWhenUsed="0"/>
    <w:lsdException w:name="caption" w:semiHidden="0" w:uiPriority="1" w:unhideWhenUsed="0" w:qFormat="1"/>
    <w:lsdException w:name="List Bullet" w:uiPriority="1" w:qFormat="1"/>
    <w:lsdException w:name="List Number" w:uiPriority="1" w:qFormat="1"/>
    <w:lsdException w:name="Title" w:semiHidden="0" w:uiPriority="1" w:unhideWhenUsed="0" w:qFormat="1"/>
    <w:lsdException w:name="Default Paragraph Font" w:uiPriority="1"/>
    <w:lsdException w:name="Subtitle" w:semiHidden="0" w:uiPriority="1" w:unhideWhenUsed="0" w:qFormat="1"/>
    <w:lsdException w:name="Body Text 2" w:uiPriority="0"/>
    <w:lsdException w:name="Strong" w:uiPriority="22"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1"/>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720" w:after="120"/>
      <w:jc w:val="center"/>
      <w:outlineLvl w:val="0"/>
    </w:pPr>
    <w:rPr>
      <w:rFonts w:asciiTheme="majorHAnsi" w:eastAsiaTheme="majorEastAsia" w:hAnsiTheme="majorHAnsi" w:cstheme="majorBidi"/>
      <w:bCs/>
      <w:color w:val="983620" w:themeColor="accent2"/>
      <w:sz w:val="48"/>
      <w:szCs w:val="28"/>
    </w:rPr>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jc w:val="center"/>
      <w:outlineLvl w:val="1"/>
    </w:pPr>
    <w:rPr>
      <w:rFonts w:asciiTheme="majorHAnsi" w:eastAsiaTheme="majorEastAsia" w:hAnsiTheme="majorHAnsi" w:cstheme="majorBidi"/>
      <w:bCs/>
      <w:color w:val="000000" w:themeColor="text1"/>
      <w:sz w:val="28"/>
      <w:szCs w:val="26"/>
    </w:rPr>
  </w:style>
  <w:style w:type="paragraph" w:styleId="Heading3">
    <w:name w:val="heading 3"/>
    <w:basedOn w:val="Normal"/>
    <w:next w:val="Normal"/>
    <w:link w:val="Heading3Char"/>
    <w:uiPriority w:val="9"/>
    <w:qFormat/>
    <w:pPr>
      <w:keepNext/>
      <w:keepLines/>
      <w:spacing w:before="280" w:after="0"/>
      <w:outlineLvl w:val="2"/>
    </w:pPr>
    <w:rPr>
      <w:rFonts w:asciiTheme="majorHAnsi" w:eastAsiaTheme="majorEastAsia" w:hAnsiTheme="majorHAnsi" w:cstheme="majorBidi"/>
      <w:bCs/>
      <w:color w:val="983620" w:themeColor="accent2"/>
    </w:rPr>
  </w:style>
  <w:style w:type="paragraph" w:styleId="Heading4">
    <w:name w:val="heading 4"/>
    <w:basedOn w:val="Normal"/>
    <w:next w:val="Normal"/>
    <w:link w:val="Heading4Char"/>
    <w:uiPriority w:val="1"/>
    <w:unhideWhenUsed/>
    <w:qFormat/>
    <w:pPr>
      <w:keepNext/>
      <w:keepLines/>
      <w:spacing w:before="200" w:after="0"/>
      <w:outlineLvl w:val="3"/>
    </w:pPr>
    <w:rPr>
      <w:rFonts w:asciiTheme="majorHAnsi" w:eastAsiaTheme="majorEastAsia" w:hAnsiTheme="majorHAnsi" w:cstheme="majorBidi"/>
      <w:bCs/>
      <w:iCs/>
      <w:color w:val="4B5A60" w:themeColor="accent1"/>
    </w:rPr>
  </w:style>
  <w:style w:type="paragraph" w:styleId="Heading6">
    <w:name w:val="heading 6"/>
    <w:basedOn w:val="Normal"/>
    <w:next w:val="Normal"/>
    <w:link w:val="Heading6Char"/>
    <w:uiPriority w:val="1"/>
    <w:semiHidden/>
    <w:unhideWhenUsed/>
    <w:qFormat/>
    <w:pPr>
      <w:keepNext/>
      <w:keepLines/>
      <w:spacing w:before="200" w:after="0"/>
      <w:outlineLvl w:val="5"/>
    </w:pPr>
    <w:rPr>
      <w:rFonts w:asciiTheme="majorHAnsi" w:eastAsiaTheme="majorEastAsia" w:hAnsiTheme="majorHAnsi" w:cstheme="majorBidi"/>
      <w:i/>
      <w:iCs/>
      <w:color w:val="252C2F" w:themeColor="accent1" w:themeShade="7F"/>
    </w:rPr>
  </w:style>
  <w:style w:type="paragraph" w:styleId="Heading7">
    <w:name w:val="heading 7"/>
    <w:basedOn w:val="Normal"/>
    <w:next w:val="Normal"/>
    <w:link w:val="Heading7Char"/>
    <w:uiPriority w:val="1"/>
    <w:semiHidden/>
    <w:unhideWhenUsed/>
    <w:qFormat/>
    <w:pPr>
      <w:keepNext/>
      <w:keepLines/>
      <w:spacing w:before="200" w:after="0"/>
      <w:outlineLvl w:val="6"/>
    </w:pPr>
    <w:rPr>
      <w:rFonts w:asciiTheme="majorHAnsi" w:eastAsiaTheme="majorEastAsia" w:hAnsiTheme="majorHAnsi" w:cstheme="majorBidi"/>
      <w:iCs/>
      <w:color w:val="595959" w:themeColor="text1" w:themeTint="A6"/>
    </w:rPr>
  </w:style>
  <w:style w:type="paragraph" w:styleId="Heading8">
    <w:name w:val="heading 8"/>
    <w:basedOn w:val="Normal"/>
    <w:next w:val="Normal"/>
    <w:link w:val="Heading8Char"/>
    <w:uiPriority w:val="1"/>
    <w:semiHidden/>
    <w:unhideWhenUsed/>
    <w:qFormat/>
    <w:pPr>
      <w:keepNext/>
      <w:keepLines/>
      <w:spacing w:before="200" w:after="0"/>
      <w:outlineLvl w:val="7"/>
    </w:pPr>
    <w:rPr>
      <w:rFonts w:asciiTheme="majorHAnsi" w:eastAsiaTheme="majorEastAsia" w:hAnsiTheme="majorHAnsi" w:cstheme="majorBidi"/>
      <w:color w:val="983620" w:themeColor="accent2"/>
      <w:sz w:val="20"/>
      <w:szCs w:val="20"/>
    </w:rPr>
  </w:style>
  <w:style w:type="paragraph" w:styleId="Heading9">
    <w:name w:val="heading 9"/>
    <w:basedOn w:val="Normal"/>
    <w:next w:val="Normal"/>
    <w:link w:val="Heading9Char"/>
    <w:uiPriority w:val="1"/>
    <w:semiHidden/>
    <w:unhideWhenUsed/>
    <w:qFormat/>
    <w:pPr>
      <w:keepNext/>
      <w:keepLines/>
      <w:spacing w:before="200" w:after="0"/>
      <w:outlineLvl w:val="8"/>
    </w:pPr>
    <w:rPr>
      <w:rFonts w:asciiTheme="majorHAnsi" w:eastAsiaTheme="majorEastAsia" w:hAnsiTheme="majorHAnsi" w:cstheme="majorBidi"/>
      <w:iCs/>
      <w:color w:val="595959" w:themeColor="text1" w:themeTint="A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sz w:val="1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next w:val="Normal"/>
    <w:link w:val="TitleChar"/>
    <w:uiPriority w:val="1"/>
    <w:qFormat/>
    <w:pPr>
      <w:spacing w:before="480" w:after="60" w:line="240" w:lineRule="auto"/>
      <w:contextualSpacing/>
    </w:pPr>
    <w:rPr>
      <w:rFonts w:asciiTheme="majorHAnsi" w:eastAsiaTheme="majorEastAsia" w:hAnsiTheme="majorHAnsi" w:cstheme="majorBidi"/>
      <w:color w:val="983620" w:themeColor="accent2"/>
      <w:kern w:val="28"/>
      <w:sz w:val="72"/>
      <w:szCs w:val="52"/>
    </w:rPr>
  </w:style>
  <w:style w:type="character" w:customStyle="1" w:styleId="TitleChar">
    <w:name w:val="Title Char"/>
    <w:basedOn w:val="DefaultParagraphFont"/>
    <w:link w:val="Title"/>
    <w:uiPriority w:val="1"/>
    <w:rPr>
      <w:rFonts w:asciiTheme="majorHAnsi" w:eastAsiaTheme="majorEastAsia" w:hAnsiTheme="majorHAnsi" w:cstheme="majorBidi"/>
      <w:color w:val="983620" w:themeColor="accent2"/>
      <w:kern w:val="28"/>
      <w:sz w:val="72"/>
      <w:szCs w:val="52"/>
    </w:rPr>
  </w:style>
  <w:style w:type="character" w:styleId="PlaceholderText">
    <w:name w:val="Placeholder Text"/>
    <w:basedOn w:val="DefaultParagraphFont"/>
    <w:uiPriority w:val="99"/>
    <w:semiHidden/>
    <w:rPr>
      <w:color w:val="808080"/>
    </w:rPr>
  </w:style>
  <w:style w:type="paragraph" w:styleId="Subtitle">
    <w:name w:val="Subtitle"/>
    <w:basedOn w:val="Normal"/>
    <w:next w:val="Normal"/>
    <w:link w:val="SubtitleChar"/>
    <w:uiPriority w:val="1"/>
    <w:qFormat/>
    <w:pPr>
      <w:numPr>
        <w:ilvl w:val="1"/>
      </w:numPr>
    </w:pPr>
    <w:rPr>
      <w:rFonts w:asciiTheme="majorHAnsi" w:eastAsiaTheme="majorEastAsia" w:hAnsiTheme="majorHAnsi" w:cstheme="majorBidi"/>
      <w:iCs/>
      <w:color w:val="000000" w:themeColor="text1"/>
      <w:sz w:val="28"/>
    </w:rPr>
  </w:style>
  <w:style w:type="character" w:customStyle="1" w:styleId="SubtitleChar">
    <w:name w:val="Subtitle Char"/>
    <w:basedOn w:val="DefaultParagraphFont"/>
    <w:link w:val="Subtitle"/>
    <w:uiPriority w:val="1"/>
    <w:rPr>
      <w:rFonts w:asciiTheme="majorHAnsi" w:eastAsiaTheme="majorEastAsia" w:hAnsiTheme="majorHAnsi" w:cstheme="majorBidi"/>
      <w:iCs/>
      <w:color w:val="000000" w:themeColor="text1"/>
      <w:sz w:val="28"/>
    </w:rPr>
  </w:style>
  <w:style w:type="paragraph" w:customStyle="1" w:styleId="Appendix">
    <w:name w:val="Appendix"/>
    <w:basedOn w:val="Normal"/>
    <w:uiPriority w:val="1"/>
    <w:qFormat/>
    <w:pPr>
      <w:pageBreakBefore/>
      <w:pBdr>
        <w:bottom w:val="single" w:sz="2" w:space="12" w:color="BFBFBF" w:themeColor="background1" w:themeShade="BF"/>
      </w:pBdr>
      <w:spacing w:before="480"/>
      <w:jc w:val="center"/>
    </w:pPr>
    <w:rPr>
      <w:rFonts w:asciiTheme="majorHAnsi" w:hAnsiTheme="majorHAnsi"/>
      <w:color w:val="983620" w:themeColor="accent2"/>
      <w:sz w:val="48"/>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before="240" w:after="0" w:line="264" w:lineRule="auto"/>
    </w:pPr>
    <w:rPr>
      <w:color w:val="595959" w:themeColor="text1" w:themeTint="A6"/>
      <w:sz w:val="20"/>
    </w:rPr>
  </w:style>
  <w:style w:type="character" w:customStyle="1" w:styleId="FooterChar">
    <w:name w:val="Footer Char"/>
    <w:basedOn w:val="DefaultParagraphFont"/>
    <w:link w:val="Footer"/>
    <w:uiPriority w:val="99"/>
    <w:rPr>
      <w:color w:val="595959" w:themeColor="text1" w:themeTint="A6"/>
      <w:sz w:val="20"/>
    </w:rPr>
  </w:style>
  <w:style w:type="paragraph" w:customStyle="1" w:styleId="Header-FooterRight">
    <w:name w:val="Header-Footer Right"/>
    <w:basedOn w:val="Normal"/>
    <w:uiPriority w:val="99"/>
    <w:pPr>
      <w:spacing w:before="240" w:after="0" w:line="264" w:lineRule="auto"/>
      <w:jc w:val="right"/>
    </w:pPr>
    <w:rPr>
      <w:color w:val="595959" w:themeColor="text1" w:themeTint="A6"/>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Cs/>
      <w:color w:val="983620" w:themeColor="accent2"/>
      <w:sz w:val="48"/>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Cs/>
      <w:color w:val="983620" w:themeColor="accent2"/>
    </w:rPr>
  </w:style>
  <w:style w:type="paragraph" w:styleId="Caption">
    <w:name w:val="caption"/>
    <w:basedOn w:val="Normal"/>
    <w:next w:val="Normal"/>
    <w:uiPriority w:val="1"/>
    <w:qFormat/>
    <w:pPr>
      <w:spacing w:after="200" w:line="240" w:lineRule="auto"/>
      <w:jc w:val="center"/>
    </w:pPr>
    <w:rPr>
      <w:bCs/>
      <w:i/>
      <w:color w:val="404040" w:themeColor="text1" w:themeTint="BF"/>
      <w:sz w:val="18"/>
      <w:szCs w:val="18"/>
    </w:rPr>
  </w:style>
  <w:style w:type="paragraph" w:styleId="Bibliography">
    <w:name w:val="Bibliography"/>
    <w:basedOn w:val="Normal"/>
    <w:next w:val="Normal"/>
    <w:uiPriority w:val="1"/>
    <w:unhideWhenUsed/>
  </w:style>
  <w:style w:type="paragraph" w:styleId="TOCHeading">
    <w:name w:val="TOC Heading"/>
    <w:basedOn w:val="Appendix"/>
    <w:next w:val="Normal"/>
    <w:uiPriority w:val="39"/>
    <w:qFormat/>
  </w:style>
  <w:style w:type="paragraph" w:styleId="TOC1">
    <w:name w:val="toc 1"/>
    <w:basedOn w:val="Normal"/>
    <w:next w:val="Normal"/>
    <w:autoRedefine/>
    <w:uiPriority w:val="39"/>
    <w:unhideWhenUsed/>
    <w:pPr>
      <w:spacing w:after="100"/>
    </w:pPr>
    <w:rPr>
      <w:color w:val="983620" w:themeColor="accent2"/>
    </w:r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rPr>
      <w:sz w:val="20"/>
    </w:rPr>
  </w:style>
  <w:style w:type="character" w:styleId="Hyperlink">
    <w:name w:val="Hyperlink"/>
    <w:basedOn w:val="DefaultParagraphFont"/>
    <w:uiPriority w:val="99"/>
    <w:unhideWhenUsed/>
    <w:rPr>
      <w:color w:val="524A82" w:themeColor="hyperlink"/>
      <w:u w:val="single"/>
    </w:rPr>
  </w:style>
  <w:style w:type="paragraph" w:styleId="ListBullet">
    <w:name w:val="List Bullet"/>
    <w:basedOn w:val="Normal"/>
    <w:uiPriority w:val="1"/>
    <w:qFormat/>
    <w:pPr>
      <w:numPr>
        <w:numId w:val="1"/>
      </w:numPr>
    </w:pPr>
  </w:style>
  <w:style w:type="paragraph" w:styleId="ListNumber">
    <w:name w:val="List Number"/>
    <w:basedOn w:val="Normal"/>
    <w:uiPriority w:val="1"/>
    <w:qFormat/>
    <w:pPr>
      <w:numPr>
        <w:numId w:val="2"/>
      </w:numPr>
    </w:pPr>
  </w:style>
  <w:style w:type="character" w:customStyle="1" w:styleId="Heading4Char">
    <w:name w:val="Heading 4 Char"/>
    <w:basedOn w:val="DefaultParagraphFont"/>
    <w:link w:val="Heading4"/>
    <w:uiPriority w:val="1"/>
    <w:rPr>
      <w:rFonts w:asciiTheme="majorHAnsi" w:eastAsiaTheme="majorEastAsia" w:hAnsiTheme="majorHAnsi" w:cstheme="majorBidi"/>
      <w:bCs/>
      <w:iCs/>
      <w:color w:val="4B5A60" w:themeColor="accent1"/>
    </w:rPr>
  </w:style>
  <w:style w:type="character" w:customStyle="1" w:styleId="Heading6Char">
    <w:name w:val="Heading 6 Char"/>
    <w:basedOn w:val="DefaultParagraphFont"/>
    <w:link w:val="Heading6"/>
    <w:uiPriority w:val="1"/>
    <w:semiHidden/>
    <w:rPr>
      <w:rFonts w:asciiTheme="majorHAnsi" w:eastAsiaTheme="majorEastAsia" w:hAnsiTheme="majorHAnsi" w:cstheme="majorBidi"/>
      <w:i/>
      <w:iCs/>
      <w:color w:val="252C2F" w:themeColor="accent1" w:themeShade="7F"/>
    </w:rPr>
  </w:style>
  <w:style w:type="character" w:customStyle="1" w:styleId="Heading7Char">
    <w:name w:val="Heading 7 Char"/>
    <w:basedOn w:val="DefaultParagraphFont"/>
    <w:link w:val="Heading7"/>
    <w:uiPriority w:val="1"/>
    <w:semiHidden/>
    <w:rPr>
      <w:rFonts w:asciiTheme="majorHAnsi" w:eastAsiaTheme="majorEastAsia" w:hAnsiTheme="majorHAnsi" w:cstheme="majorBidi"/>
      <w:iCs/>
      <w:color w:val="595959" w:themeColor="text1" w:themeTint="A6"/>
    </w:rPr>
  </w:style>
  <w:style w:type="character" w:customStyle="1" w:styleId="Heading8Char">
    <w:name w:val="Heading 8 Char"/>
    <w:basedOn w:val="DefaultParagraphFont"/>
    <w:link w:val="Heading8"/>
    <w:uiPriority w:val="1"/>
    <w:semiHidden/>
    <w:rPr>
      <w:rFonts w:asciiTheme="majorHAnsi" w:eastAsiaTheme="majorEastAsia" w:hAnsiTheme="majorHAnsi" w:cstheme="majorBidi"/>
      <w:color w:val="983620" w:themeColor="accent2"/>
      <w:sz w:val="20"/>
      <w:szCs w:val="20"/>
    </w:rPr>
  </w:style>
  <w:style w:type="character" w:customStyle="1" w:styleId="Heading9Char">
    <w:name w:val="Heading 9 Char"/>
    <w:basedOn w:val="DefaultParagraphFont"/>
    <w:link w:val="Heading9"/>
    <w:uiPriority w:val="1"/>
    <w:semiHidden/>
    <w:rPr>
      <w:rFonts w:asciiTheme="majorHAnsi" w:eastAsiaTheme="majorEastAsia" w:hAnsiTheme="majorHAnsi" w:cstheme="majorBidi"/>
      <w:iCs/>
      <w:color w:val="595959" w:themeColor="text1" w:themeTint="A6"/>
      <w:sz w:val="20"/>
      <w:szCs w:val="20"/>
    </w:rPr>
  </w:style>
  <w:style w:type="paragraph" w:styleId="Quote">
    <w:name w:val="Quote"/>
    <w:basedOn w:val="Normal"/>
    <w:next w:val="Normal"/>
    <w:link w:val="QuoteChar"/>
    <w:uiPriority w:val="9"/>
    <w:unhideWhenUsed/>
    <w:qFormat/>
    <w:pPr>
      <w:ind w:left="720" w:right="720"/>
    </w:pPr>
    <w:rPr>
      <w:i/>
      <w:iCs/>
      <w:color w:val="595959" w:themeColor="text1" w:themeTint="A6"/>
    </w:rPr>
  </w:style>
  <w:style w:type="character" w:customStyle="1" w:styleId="QuoteChar">
    <w:name w:val="Quote Char"/>
    <w:basedOn w:val="DefaultParagraphFont"/>
    <w:link w:val="Quote"/>
    <w:uiPriority w:val="9"/>
    <w:rPr>
      <w:i/>
      <w:iCs/>
      <w:color w:val="595959" w:themeColor="text1" w:themeTint="A6"/>
    </w:rPr>
  </w:style>
  <w:style w:type="paragraph" w:styleId="NormalWeb">
    <w:name w:val="Normal (Web)"/>
    <w:basedOn w:val="Normal"/>
    <w:uiPriority w:val="99"/>
    <w:unhideWhenUsed/>
    <w:rsid w:val="001864A4"/>
    <w:pPr>
      <w:spacing w:before="100" w:beforeAutospacing="1" w:after="100" w:afterAutospacing="1" w:line="240" w:lineRule="auto"/>
    </w:pPr>
    <w:rPr>
      <w:rFonts w:ascii="Times" w:hAnsi="Times" w:cs="Times New Roman"/>
      <w:sz w:val="20"/>
      <w:szCs w:val="20"/>
    </w:rPr>
  </w:style>
  <w:style w:type="character" w:customStyle="1" w:styleId="A5">
    <w:name w:val="A5"/>
    <w:uiPriority w:val="99"/>
    <w:rsid w:val="0034573F"/>
    <w:rPr>
      <w:rFonts w:cs="Utopia Std"/>
      <w:color w:val="000000"/>
      <w:sz w:val="20"/>
      <w:szCs w:val="20"/>
    </w:rPr>
  </w:style>
  <w:style w:type="character" w:customStyle="1" w:styleId="A14">
    <w:name w:val="A14"/>
    <w:uiPriority w:val="99"/>
    <w:rsid w:val="00F35AEE"/>
    <w:rPr>
      <w:rFonts w:cs="Utopia Std"/>
      <w:color w:val="000000"/>
      <w:sz w:val="19"/>
      <w:szCs w:val="19"/>
    </w:rPr>
  </w:style>
  <w:style w:type="paragraph" w:customStyle="1" w:styleId="Default">
    <w:name w:val="Default"/>
    <w:rsid w:val="00F35AEE"/>
    <w:pPr>
      <w:widowControl w:val="0"/>
      <w:autoSpaceDE w:val="0"/>
      <w:autoSpaceDN w:val="0"/>
      <w:adjustRightInd w:val="0"/>
      <w:spacing w:after="0" w:line="240" w:lineRule="auto"/>
    </w:pPr>
    <w:rPr>
      <w:rFonts w:ascii="Utopia Std" w:hAnsi="Utopia Std" w:cs="Utopia Std"/>
      <w:color w:val="000000"/>
    </w:rPr>
  </w:style>
  <w:style w:type="paragraph" w:customStyle="1" w:styleId="Pa2">
    <w:name w:val="Pa2"/>
    <w:basedOn w:val="Default"/>
    <w:next w:val="Default"/>
    <w:uiPriority w:val="99"/>
    <w:rsid w:val="00F35AEE"/>
    <w:pPr>
      <w:spacing w:line="241" w:lineRule="atLeast"/>
    </w:pPr>
    <w:rPr>
      <w:rFonts w:cs="Times New Roman"/>
      <w:color w:val="auto"/>
    </w:rPr>
  </w:style>
  <w:style w:type="character" w:customStyle="1" w:styleId="A8">
    <w:name w:val="A8"/>
    <w:uiPriority w:val="99"/>
    <w:rsid w:val="00F35AEE"/>
    <w:rPr>
      <w:rFonts w:cs="Utopia Std"/>
      <w:color w:val="000000"/>
      <w:sz w:val="11"/>
      <w:szCs w:val="11"/>
    </w:rPr>
  </w:style>
  <w:style w:type="paragraph" w:customStyle="1" w:styleId="Pa0">
    <w:name w:val="Pa0"/>
    <w:basedOn w:val="Default"/>
    <w:next w:val="Default"/>
    <w:uiPriority w:val="99"/>
    <w:rsid w:val="00F35AEE"/>
    <w:pPr>
      <w:spacing w:line="241" w:lineRule="atLeast"/>
    </w:pPr>
    <w:rPr>
      <w:rFonts w:cs="Times New Roman"/>
      <w:color w:val="auto"/>
    </w:rPr>
  </w:style>
  <w:style w:type="character" w:customStyle="1" w:styleId="A4">
    <w:name w:val="A4"/>
    <w:uiPriority w:val="99"/>
    <w:rsid w:val="00F35AEE"/>
    <w:rPr>
      <w:rFonts w:ascii="Helvetica 65 Medium" w:hAnsi="Helvetica 65 Medium" w:cs="Helvetica 65 Medium"/>
      <w:b/>
      <w:bCs/>
      <w:color w:val="000000"/>
      <w:sz w:val="26"/>
      <w:szCs w:val="26"/>
    </w:rPr>
  </w:style>
  <w:style w:type="paragraph" w:styleId="FootnoteText">
    <w:name w:val="footnote text"/>
    <w:aliases w:val="Fußnote,Footnote Text Char Char,Footnote Text Char,single space,footnote text,FOOTNOTES,fn,Footnote, Char1 Char,Footnote Char1,stile 1,Footnote1,Footnote2,Footnote3,Footnote4,Footnote5,Footnote6,Footnote7,Footnote8,Footnote9"/>
    <w:basedOn w:val="Normal"/>
    <w:link w:val="FootnoteTextChar1"/>
    <w:unhideWhenUsed/>
    <w:rsid w:val="003F244D"/>
    <w:pPr>
      <w:spacing w:after="0" w:line="240" w:lineRule="auto"/>
    </w:pPr>
  </w:style>
  <w:style w:type="character" w:customStyle="1" w:styleId="FootnoteTextChar1">
    <w:name w:val="Footnote Text Char1"/>
    <w:aliases w:val="Fußnote Char,Footnote Text Char Char Char,Footnote Text Char Char1,single space Char,footnote text Char,FOOTNOTES Char,fn Char,Footnote Char, Char1 Char Char,Footnote Char1 Char,stile 1 Char,Footnote1 Char,Footnote2 Char"/>
    <w:basedOn w:val="DefaultParagraphFont"/>
    <w:link w:val="FootnoteText"/>
    <w:rsid w:val="003F244D"/>
  </w:style>
  <w:style w:type="character" w:styleId="FootnoteReference">
    <w:name w:val="footnote reference"/>
    <w:aliases w:val="Footnote symbol,Footnote number,Footnote Reference Number,Footnote reference number,Times 10 Point,Exposant 3 Point,Footnote Reference Superscript,EN Footnote Reference,note TESI,Voetnootverwijzing,fr,o,FR,FR1"/>
    <w:basedOn w:val="DefaultParagraphFont"/>
    <w:uiPriority w:val="99"/>
    <w:unhideWhenUsed/>
    <w:rsid w:val="003F244D"/>
    <w:rPr>
      <w:vertAlign w:val="superscript"/>
    </w:rPr>
  </w:style>
  <w:style w:type="paragraph" w:styleId="EndnoteText">
    <w:name w:val="endnote text"/>
    <w:basedOn w:val="Normal"/>
    <w:link w:val="EndnoteTextChar"/>
    <w:uiPriority w:val="99"/>
    <w:unhideWhenUsed/>
    <w:rsid w:val="00BD46C7"/>
    <w:pPr>
      <w:spacing w:after="0" w:line="240" w:lineRule="auto"/>
    </w:pPr>
  </w:style>
  <w:style w:type="character" w:customStyle="1" w:styleId="EndnoteTextChar">
    <w:name w:val="Endnote Text Char"/>
    <w:basedOn w:val="DefaultParagraphFont"/>
    <w:link w:val="EndnoteText"/>
    <w:uiPriority w:val="99"/>
    <w:rsid w:val="00BD46C7"/>
  </w:style>
  <w:style w:type="character" w:styleId="EndnoteReference">
    <w:name w:val="endnote reference"/>
    <w:basedOn w:val="DefaultParagraphFont"/>
    <w:uiPriority w:val="99"/>
    <w:unhideWhenUsed/>
    <w:rsid w:val="00BD46C7"/>
    <w:rPr>
      <w:vertAlign w:val="superscript"/>
    </w:rPr>
  </w:style>
  <w:style w:type="character" w:customStyle="1" w:styleId="a">
    <w:name w:val="a"/>
    <w:basedOn w:val="DefaultParagraphFont"/>
    <w:rsid w:val="00FC7431"/>
  </w:style>
  <w:style w:type="character" w:styleId="CommentReference">
    <w:name w:val="annotation reference"/>
    <w:basedOn w:val="DefaultParagraphFont"/>
    <w:uiPriority w:val="99"/>
    <w:semiHidden/>
    <w:unhideWhenUsed/>
    <w:rsid w:val="007F3034"/>
    <w:rPr>
      <w:sz w:val="18"/>
      <w:szCs w:val="18"/>
    </w:rPr>
  </w:style>
  <w:style w:type="paragraph" w:styleId="CommentText">
    <w:name w:val="annotation text"/>
    <w:basedOn w:val="Normal"/>
    <w:link w:val="CommentTextChar"/>
    <w:uiPriority w:val="99"/>
    <w:unhideWhenUsed/>
    <w:rsid w:val="007F3034"/>
    <w:pPr>
      <w:spacing w:line="240" w:lineRule="auto"/>
    </w:pPr>
  </w:style>
  <w:style w:type="character" w:customStyle="1" w:styleId="CommentTextChar">
    <w:name w:val="Comment Text Char"/>
    <w:basedOn w:val="DefaultParagraphFont"/>
    <w:link w:val="CommentText"/>
    <w:uiPriority w:val="99"/>
    <w:rsid w:val="007F3034"/>
  </w:style>
  <w:style w:type="paragraph" w:styleId="CommentSubject">
    <w:name w:val="annotation subject"/>
    <w:basedOn w:val="CommentText"/>
    <w:next w:val="CommentText"/>
    <w:link w:val="CommentSubjectChar"/>
    <w:uiPriority w:val="99"/>
    <w:semiHidden/>
    <w:unhideWhenUsed/>
    <w:rsid w:val="007F3034"/>
    <w:rPr>
      <w:b/>
      <w:bCs/>
      <w:sz w:val="20"/>
      <w:szCs w:val="20"/>
    </w:rPr>
  </w:style>
  <w:style w:type="character" w:customStyle="1" w:styleId="CommentSubjectChar">
    <w:name w:val="Comment Subject Char"/>
    <w:basedOn w:val="CommentTextChar"/>
    <w:link w:val="CommentSubject"/>
    <w:uiPriority w:val="99"/>
    <w:semiHidden/>
    <w:rsid w:val="007F3034"/>
    <w:rPr>
      <w:b/>
      <w:bCs/>
      <w:sz w:val="20"/>
      <w:szCs w:val="20"/>
    </w:rPr>
  </w:style>
  <w:style w:type="character" w:styleId="Strong">
    <w:name w:val="Strong"/>
    <w:basedOn w:val="DefaultParagraphFont"/>
    <w:uiPriority w:val="22"/>
    <w:qFormat/>
    <w:rsid w:val="00B57215"/>
    <w:rPr>
      <w:b/>
      <w:bCs/>
    </w:rPr>
  </w:style>
  <w:style w:type="paragraph" w:styleId="ListParagraph">
    <w:name w:val="List Paragraph"/>
    <w:basedOn w:val="Normal"/>
    <w:link w:val="ListParagraphChar"/>
    <w:uiPriority w:val="34"/>
    <w:unhideWhenUsed/>
    <w:qFormat/>
    <w:rsid w:val="008B507A"/>
    <w:pPr>
      <w:ind w:left="720"/>
      <w:contextualSpacing/>
    </w:pPr>
  </w:style>
  <w:style w:type="character" w:customStyle="1" w:styleId="field-content">
    <w:name w:val="field-content"/>
    <w:basedOn w:val="DefaultParagraphFont"/>
    <w:rsid w:val="00A50560"/>
  </w:style>
  <w:style w:type="table" w:styleId="LightGrid-Accent1">
    <w:name w:val="Light Grid Accent 1"/>
    <w:basedOn w:val="TableNormal"/>
    <w:uiPriority w:val="62"/>
    <w:rsid w:val="006823C5"/>
    <w:pPr>
      <w:spacing w:after="0" w:line="240" w:lineRule="auto"/>
    </w:pPr>
    <w:tblPr>
      <w:tblStyleRowBandSize w:val="1"/>
      <w:tblStyleColBandSize w:val="1"/>
      <w:tblBorders>
        <w:top w:val="single" w:sz="8" w:space="0" w:color="4B5A60" w:themeColor="accent1"/>
        <w:left w:val="single" w:sz="8" w:space="0" w:color="4B5A60" w:themeColor="accent1"/>
        <w:bottom w:val="single" w:sz="8" w:space="0" w:color="4B5A60" w:themeColor="accent1"/>
        <w:right w:val="single" w:sz="8" w:space="0" w:color="4B5A60" w:themeColor="accent1"/>
        <w:insideH w:val="single" w:sz="8" w:space="0" w:color="4B5A60" w:themeColor="accent1"/>
        <w:insideV w:val="single" w:sz="8" w:space="0" w:color="4B5A6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5A60" w:themeColor="accent1"/>
          <w:left w:val="single" w:sz="8" w:space="0" w:color="4B5A60" w:themeColor="accent1"/>
          <w:bottom w:val="single" w:sz="18" w:space="0" w:color="4B5A60" w:themeColor="accent1"/>
          <w:right w:val="single" w:sz="8" w:space="0" w:color="4B5A60" w:themeColor="accent1"/>
          <w:insideH w:val="nil"/>
          <w:insideV w:val="single" w:sz="8" w:space="0" w:color="4B5A6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5A60" w:themeColor="accent1"/>
          <w:left w:val="single" w:sz="8" w:space="0" w:color="4B5A60" w:themeColor="accent1"/>
          <w:bottom w:val="single" w:sz="8" w:space="0" w:color="4B5A60" w:themeColor="accent1"/>
          <w:right w:val="single" w:sz="8" w:space="0" w:color="4B5A60" w:themeColor="accent1"/>
          <w:insideH w:val="nil"/>
          <w:insideV w:val="single" w:sz="8" w:space="0" w:color="4B5A6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5A60" w:themeColor="accent1"/>
          <w:left w:val="single" w:sz="8" w:space="0" w:color="4B5A60" w:themeColor="accent1"/>
          <w:bottom w:val="single" w:sz="8" w:space="0" w:color="4B5A60" w:themeColor="accent1"/>
          <w:right w:val="single" w:sz="8" w:space="0" w:color="4B5A60" w:themeColor="accent1"/>
        </w:tcBorders>
      </w:tcPr>
    </w:tblStylePr>
    <w:tblStylePr w:type="band1Vert">
      <w:tblPr/>
      <w:tcPr>
        <w:tcBorders>
          <w:top w:val="single" w:sz="8" w:space="0" w:color="4B5A60" w:themeColor="accent1"/>
          <w:left w:val="single" w:sz="8" w:space="0" w:color="4B5A60" w:themeColor="accent1"/>
          <w:bottom w:val="single" w:sz="8" w:space="0" w:color="4B5A60" w:themeColor="accent1"/>
          <w:right w:val="single" w:sz="8" w:space="0" w:color="4B5A60" w:themeColor="accent1"/>
        </w:tcBorders>
        <w:shd w:val="clear" w:color="auto" w:fill="CFD7DA" w:themeFill="accent1" w:themeFillTint="3F"/>
      </w:tcPr>
    </w:tblStylePr>
    <w:tblStylePr w:type="band1Horz">
      <w:tblPr/>
      <w:tcPr>
        <w:tcBorders>
          <w:top w:val="single" w:sz="8" w:space="0" w:color="4B5A60" w:themeColor="accent1"/>
          <w:left w:val="single" w:sz="8" w:space="0" w:color="4B5A60" w:themeColor="accent1"/>
          <w:bottom w:val="single" w:sz="8" w:space="0" w:color="4B5A60" w:themeColor="accent1"/>
          <w:right w:val="single" w:sz="8" w:space="0" w:color="4B5A60" w:themeColor="accent1"/>
          <w:insideV w:val="single" w:sz="8" w:space="0" w:color="4B5A60" w:themeColor="accent1"/>
        </w:tcBorders>
        <w:shd w:val="clear" w:color="auto" w:fill="CFD7DA" w:themeFill="accent1" w:themeFillTint="3F"/>
      </w:tcPr>
    </w:tblStylePr>
    <w:tblStylePr w:type="band2Horz">
      <w:tblPr/>
      <w:tcPr>
        <w:tcBorders>
          <w:top w:val="single" w:sz="8" w:space="0" w:color="4B5A60" w:themeColor="accent1"/>
          <w:left w:val="single" w:sz="8" w:space="0" w:color="4B5A60" w:themeColor="accent1"/>
          <w:bottom w:val="single" w:sz="8" w:space="0" w:color="4B5A60" w:themeColor="accent1"/>
          <w:right w:val="single" w:sz="8" w:space="0" w:color="4B5A60" w:themeColor="accent1"/>
          <w:insideV w:val="single" w:sz="8" w:space="0" w:color="4B5A60" w:themeColor="accent1"/>
        </w:tcBorders>
      </w:tcPr>
    </w:tblStylePr>
  </w:style>
  <w:style w:type="table" w:styleId="LightGrid-Accent2">
    <w:name w:val="Light Grid Accent 2"/>
    <w:basedOn w:val="TableNormal"/>
    <w:uiPriority w:val="62"/>
    <w:rsid w:val="00BC768C"/>
    <w:pPr>
      <w:spacing w:after="0" w:line="240" w:lineRule="auto"/>
    </w:pPr>
    <w:tblPr>
      <w:tblStyleRowBandSize w:val="1"/>
      <w:tblStyleColBandSize w:val="1"/>
      <w:tblBorders>
        <w:top w:val="single" w:sz="8" w:space="0" w:color="983620" w:themeColor="accent2"/>
        <w:left w:val="single" w:sz="8" w:space="0" w:color="983620" w:themeColor="accent2"/>
        <w:bottom w:val="single" w:sz="8" w:space="0" w:color="983620" w:themeColor="accent2"/>
        <w:right w:val="single" w:sz="8" w:space="0" w:color="983620" w:themeColor="accent2"/>
        <w:insideH w:val="single" w:sz="8" w:space="0" w:color="983620" w:themeColor="accent2"/>
        <w:insideV w:val="single" w:sz="8" w:space="0" w:color="9836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3620" w:themeColor="accent2"/>
          <w:left w:val="single" w:sz="8" w:space="0" w:color="983620" w:themeColor="accent2"/>
          <w:bottom w:val="single" w:sz="18" w:space="0" w:color="983620" w:themeColor="accent2"/>
          <w:right w:val="single" w:sz="8" w:space="0" w:color="983620" w:themeColor="accent2"/>
          <w:insideH w:val="nil"/>
          <w:insideV w:val="single" w:sz="8" w:space="0" w:color="9836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3620" w:themeColor="accent2"/>
          <w:left w:val="single" w:sz="8" w:space="0" w:color="983620" w:themeColor="accent2"/>
          <w:bottom w:val="single" w:sz="8" w:space="0" w:color="983620" w:themeColor="accent2"/>
          <w:right w:val="single" w:sz="8" w:space="0" w:color="983620" w:themeColor="accent2"/>
          <w:insideH w:val="nil"/>
          <w:insideV w:val="single" w:sz="8" w:space="0" w:color="9836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3620" w:themeColor="accent2"/>
          <w:left w:val="single" w:sz="8" w:space="0" w:color="983620" w:themeColor="accent2"/>
          <w:bottom w:val="single" w:sz="8" w:space="0" w:color="983620" w:themeColor="accent2"/>
          <w:right w:val="single" w:sz="8" w:space="0" w:color="983620" w:themeColor="accent2"/>
        </w:tcBorders>
      </w:tcPr>
    </w:tblStylePr>
    <w:tblStylePr w:type="band1Vert">
      <w:tblPr/>
      <w:tcPr>
        <w:tcBorders>
          <w:top w:val="single" w:sz="8" w:space="0" w:color="983620" w:themeColor="accent2"/>
          <w:left w:val="single" w:sz="8" w:space="0" w:color="983620" w:themeColor="accent2"/>
          <w:bottom w:val="single" w:sz="8" w:space="0" w:color="983620" w:themeColor="accent2"/>
          <w:right w:val="single" w:sz="8" w:space="0" w:color="983620" w:themeColor="accent2"/>
        </w:tcBorders>
        <w:shd w:val="clear" w:color="auto" w:fill="F1C5BC" w:themeFill="accent2" w:themeFillTint="3F"/>
      </w:tcPr>
    </w:tblStylePr>
    <w:tblStylePr w:type="band1Horz">
      <w:tblPr/>
      <w:tcPr>
        <w:tcBorders>
          <w:top w:val="single" w:sz="8" w:space="0" w:color="983620" w:themeColor="accent2"/>
          <w:left w:val="single" w:sz="8" w:space="0" w:color="983620" w:themeColor="accent2"/>
          <w:bottom w:val="single" w:sz="8" w:space="0" w:color="983620" w:themeColor="accent2"/>
          <w:right w:val="single" w:sz="8" w:space="0" w:color="983620" w:themeColor="accent2"/>
          <w:insideV w:val="single" w:sz="8" w:space="0" w:color="983620" w:themeColor="accent2"/>
        </w:tcBorders>
        <w:shd w:val="clear" w:color="auto" w:fill="F1C5BC" w:themeFill="accent2" w:themeFillTint="3F"/>
      </w:tcPr>
    </w:tblStylePr>
    <w:tblStylePr w:type="band2Horz">
      <w:tblPr/>
      <w:tcPr>
        <w:tcBorders>
          <w:top w:val="single" w:sz="8" w:space="0" w:color="983620" w:themeColor="accent2"/>
          <w:left w:val="single" w:sz="8" w:space="0" w:color="983620" w:themeColor="accent2"/>
          <w:bottom w:val="single" w:sz="8" w:space="0" w:color="983620" w:themeColor="accent2"/>
          <w:right w:val="single" w:sz="8" w:space="0" w:color="983620" w:themeColor="accent2"/>
          <w:insideV w:val="single" w:sz="8" w:space="0" w:color="983620" w:themeColor="accent2"/>
        </w:tcBorders>
      </w:tcPr>
    </w:tblStylePr>
  </w:style>
  <w:style w:type="table" w:styleId="LightGrid-Accent3">
    <w:name w:val="Light Grid Accent 3"/>
    <w:basedOn w:val="TableNormal"/>
    <w:uiPriority w:val="62"/>
    <w:rsid w:val="00BC768C"/>
    <w:pPr>
      <w:spacing w:after="0" w:line="240" w:lineRule="auto"/>
    </w:p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insideH w:val="single" w:sz="8" w:space="0" w:color="504539" w:themeColor="accent3"/>
        <w:insideV w:val="single" w:sz="8" w:space="0" w:color="5045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4539" w:themeColor="accent3"/>
          <w:left w:val="single" w:sz="8" w:space="0" w:color="504539" w:themeColor="accent3"/>
          <w:bottom w:val="single" w:sz="18" w:space="0" w:color="504539" w:themeColor="accent3"/>
          <w:right w:val="single" w:sz="8" w:space="0" w:color="504539" w:themeColor="accent3"/>
          <w:insideH w:val="nil"/>
          <w:insideV w:val="single" w:sz="8" w:space="0" w:color="5045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4539" w:themeColor="accent3"/>
          <w:left w:val="single" w:sz="8" w:space="0" w:color="504539" w:themeColor="accent3"/>
          <w:bottom w:val="single" w:sz="8" w:space="0" w:color="504539" w:themeColor="accent3"/>
          <w:right w:val="single" w:sz="8" w:space="0" w:color="504539" w:themeColor="accent3"/>
          <w:insideH w:val="nil"/>
          <w:insideV w:val="single" w:sz="8" w:space="0" w:color="5045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4539" w:themeColor="accent3"/>
          <w:left w:val="single" w:sz="8" w:space="0" w:color="504539" w:themeColor="accent3"/>
          <w:bottom w:val="single" w:sz="8" w:space="0" w:color="504539" w:themeColor="accent3"/>
          <w:right w:val="single" w:sz="8" w:space="0" w:color="504539" w:themeColor="accent3"/>
        </w:tcBorders>
      </w:tcPr>
    </w:tblStylePr>
    <w:tblStylePr w:type="band1Vert">
      <w:tblPr/>
      <w:tcPr>
        <w:tcBorders>
          <w:top w:val="single" w:sz="8" w:space="0" w:color="504539" w:themeColor="accent3"/>
          <w:left w:val="single" w:sz="8" w:space="0" w:color="504539" w:themeColor="accent3"/>
          <w:bottom w:val="single" w:sz="8" w:space="0" w:color="504539" w:themeColor="accent3"/>
          <w:right w:val="single" w:sz="8" w:space="0" w:color="504539" w:themeColor="accent3"/>
        </w:tcBorders>
        <w:shd w:val="clear" w:color="auto" w:fill="D8D1C9" w:themeFill="accent3" w:themeFillTint="3F"/>
      </w:tcPr>
    </w:tblStylePr>
    <w:tblStylePr w:type="band1Horz">
      <w:tblPr/>
      <w:tcPr>
        <w:tcBorders>
          <w:top w:val="single" w:sz="8" w:space="0" w:color="504539" w:themeColor="accent3"/>
          <w:left w:val="single" w:sz="8" w:space="0" w:color="504539" w:themeColor="accent3"/>
          <w:bottom w:val="single" w:sz="8" w:space="0" w:color="504539" w:themeColor="accent3"/>
          <w:right w:val="single" w:sz="8" w:space="0" w:color="504539" w:themeColor="accent3"/>
          <w:insideV w:val="single" w:sz="8" w:space="0" w:color="504539" w:themeColor="accent3"/>
        </w:tcBorders>
        <w:shd w:val="clear" w:color="auto" w:fill="D8D1C9" w:themeFill="accent3" w:themeFillTint="3F"/>
      </w:tcPr>
    </w:tblStylePr>
    <w:tblStylePr w:type="band2Horz">
      <w:tblPr/>
      <w:tcPr>
        <w:tcBorders>
          <w:top w:val="single" w:sz="8" w:space="0" w:color="504539" w:themeColor="accent3"/>
          <w:left w:val="single" w:sz="8" w:space="0" w:color="504539" w:themeColor="accent3"/>
          <w:bottom w:val="single" w:sz="8" w:space="0" w:color="504539" w:themeColor="accent3"/>
          <w:right w:val="single" w:sz="8" w:space="0" w:color="504539" w:themeColor="accent3"/>
          <w:insideV w:val="single" w:sz="8" w:space="0" w:color="504539" w:themeColor="accent3"/>
        </w:tcBorders>
      </w:tcPr>
    </w:tblStylePr>
  </w:style>
  <w:style w:type="table" w:styleId="LightGrid-Accent4">
    <w:name w:val="Light Grid Accent 4"/>
    <w:basedOn w:val="TableNormal"/>
    <w:uiPriority w:val="62"/>
    <w:rsid w:val="00BC768C"/>
    <w:pPr>
      <w:spacing w:after="0" w:line="240" w:lineRule="auto"/>
    </w:p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insideH w:val="single" w:sz="8" w:space="0" w:color="C1AD79" w:themeColor="accent4"/>
        <w:insideV w:val="single" w:sz="8" w:space="0" w:color="C1AD7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AD79" w:themeColor="accent4"/>
          <w:left w:val="single" w:sz="8" w:space="0" w:color="C1AD79" w:themeColor="accent4"/>
          <w:bottom w:val="single" w:sz="18" w:space="0" w:color="C1AD79" w:themeColor="accent4"/>
          <w:right w:val="single" w:sz="8" w:space="0" w:color="C1AD79" w:themeColor="accent4"/>
          <w:insideH w:val="nil"/>
          <w:insideV w:val="single" w:sz="8" w:space="0" w:color="C1AD7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AD79" w:themeColor="accent4"/>
          <w:left w:val="single" w:sz="8" w:space="0" w:color="C1AD79" w:themeColor="accent4"/>
          <w:bottom w:val="single" w:sz="8" w:space="0" w:color="C1AD79" w:themeColor="accent4"/>
          <w:right w:val="single" w:sz="8" w:space="0" w:color="C1AD79" w:themeColor="accent4"/>
          <w:insideH w:val="nil"/>
          <w:insideV w:val="single" w:sz="8" w:space="0" w:color="C1AD7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tblStylePr w:type="band1Vert">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shd w:val="clear" w:color="auto" w:fill="EFEADD" w:themeFill="accent4" w:themeFillTint="3F"/>
      </w:tcPr>
    </w:tblStylePr>
    <w:tblStylePr w:type="band1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insideV w:val="single" w:sz="8" w:space="0" w:color="C1AD79" w:themeColor="accent4"/>
        </w:tcBorders>
        <w:shd w:val="clear" w:color="auto" w:fill="EFEADD" w:themeFill="accent4" w:themeFillTint="3F"/>
      </w:tcPr>
    </w:tblStylePr>
    <w:tblStylePr w:type="band2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insideV w:val="single" w:sz="8" w:space="0" w:color="C1AD79" w:themeColor="accent4"/>
        </w:tcBorders>
      </w:tcPr>
    </w:tblStylePr>
  </w:style>
  <w:style w:type="paragraph" w:styleId="Revision">
    <w:name w:val="Revision"/>
    <w:hidden/>
    <w:uiPriority w:val="99"/>
    <w:semiHidden/>
    <w:rsid w:val="007A6B83"/>
    <w:pPr>
      <w:spacing w:after="0" w:line="240" w:lineRule="auto"/>
    </w:pPr>
  </w:style>
  <w:style w:type="table" w:styleId="LightShading-Accent4">
    <w:name w:val="Light Shading Accent 4"/>
    <w:basedOn w:val="TableNormal"/>
    <w:uiPriority w:val="60"/>
    <w:rsid w:val="00977B35"/>
    <w:pPr>
      <w:spacing w:after="0" w:line="240" w:lineRule="auto"/>
    </w:pPr>
    <w:rPr>
      <w:color w:val="A0884A" w:themeColor="accent4" w:themeShade="BF"/>
    </w:rPr>
    <w:tblPr>
      <w:tblStyleRowBandSize w:val="1"/>
      <w:tblStyleColBandSize w:val="1"/>
      <w:tblBorders>
        <w:top w:val="single" w:sz="8" w:space="0" w:color="C1AD79" w:themeColor="accent4"/>
        <w:bottom w:val="single" w:sz="8" w:space="0" w:color="C1AD79" w:themeColor="accent4"/>
      </w:tblBorders>
    </w:tblPr>
    <w:tblStylePr w:type="firstRow">
      <w:pPr>
        <w:spacing w:before="0" w:after="0" w:line="240" w:lineRule="auto"/>
      </w:pPr>
      <w:rPr>
        <w:b/>
        <w:bCs/>
      </w:rPr>
      <w:tblPr/>
      <w:tcPr>
        <w:tcBorders>
          <w:top w:val="single" w:sz="8" w:space="0" w:color="C1AD79" w:themeColor="accent4"/>
          <w:left w:val="nil"/>
          <w:bottom w:val="single" w:sz="8" w:space="0" w:color="C1AD79" w:themeColor="accent4"/>
          <w:right w:val="nil"/>
          <w:insideH w:val="nil"/>
          <w:insideV w:val="nil"/>
        </w:tcBorders>
      </w:tcPr>
    </w:tblStylePr>
    <w:tblStylePr w:type="lastRow">
      <w:pPr>
        <w:spacing w:before="0" w:after="0" w:line="240" w:lineRule="auto"/>
      </w:pPr>
      <w:rPr>
        <w:b/>
        <w:bCs/>
      </w:rPr>
      <w:tblPr/>
      <w:tcPr>
        <w:tcBorders>
          <w:top w:val="single" w:sz="8" w:space="0" w:color="C1AD79" w:themeColor="accent4"/>
          <w:left w:val="nil"/>
          <w:bottom w:val="single" w:sz="8" w:space="0" w:color="C1AD7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ADD" w:themeFill="accent4" w:themeFillTint="3F"/>
      </w:tcPr>
    </w:tblStylePr>
    <w:tblStylePr w:type="band1Horz">
      <w:tblPr/>
      <w:tcPr>
        <w:tcBorders>
          <w:left w:val="nil"/>
          <w:right w:val="nil"/>
          <w:insideH w:val="nil"/>
          <w:insideV w:val="nil"/>
        </w:tcBorders>
        <w:shd w:val="clear" w:color="auto" w:fill="EFEADD" w:themeFill="accent4" w:themeFillTint="3F"/>
      </w:tcPr>
    </w:tblStylePr>
  </w:style>
  <w:style w:type="table" w:styleId="LightList-Accent4">
    <w:name w:val="Light List Accent 4"/>
    <w:basedOn w:val="TableNormal"/>
    <w:uiPriority w:val="61"/>
    <w:rsid w:val="00977B35"/>
    <w:pPr>
      <w:spacing w:after="0" w:line="240" w:lineRule="auto"/>
    </w:p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tblBorders>
    </w:tblPr>
    <w:tblStylePr w:type="firstRow">
      <w:pPr>
        <w:spacing w:before="0" w:after="0" w:line="240" w:lineRule="auto"/>
      </w:pPr>
      <w:rPr>
        <w:b/>
        <w:bCs/>
        <w:color w:val="FFFFFF" w:themeColor="background1"/>
      </w:rPr>
      <w:tblPr/>
      <w:tcPr>
        <w:shd w:val="clear" w:color="auto" w:fill="C1AD79" w:themeFill="accent4"/>
      </w:tcPr>
    </w:tblStylePr>
    <w:tblStylePr w:type="lastRow">
      <w:pPr>
        <w:spacing w:before="0" w:after="0" w:line="240" w:lineRule="auto"/>
      </w:pPr>
      <w:rPr>
        <w:b/>
        <w:bCs/>
      </w:rPr>
      <w:tblPr/>
      <w:tcPr>
        <w:tcBorders>
          <w:top w:val="double" w:sz="6" w:space="0" w:color="C1AD79" w:themeColor="accent4"/>
          <w:left w:val="single" w:sz="8" w:space="0" w:color="C1AD79" w:themeColor="accent4"/>
          <w:bottom w:val="single" w:sz="8" w:space="0" w:color="C1AD79" w:themeColor="accent4"/>
          <w:right w:val="single" w:sz="8" w:space="0" w:color="C1AD79" w:themeColor="accent4"/>
        </w:tcBorders>
      </w:tcPr>
    </w:tblStylePr>
    <w:tblStylePr w:type="firstCol">
      <w:rPr>
        <w:b/>
        <w:bCs/>
      </w:rPr>
    </w:tblStylePr>
    <w:tblStylePr w:type="lastCol">
      <w:rPr>
        <w:b/>
        <w:bCs/>
      </w:rPr>
    </w:tblStylePr>
    <w:tblStylePr w:type="band1Vert">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tblStylePr w:type="band1Horz">
      <w:tblPr/>
      <w:tcPr>
        <w:tcBorders>
          <w:top w:val="single" w:sz="8" w:space="0" w:color="C1AD79" w:themeColor="accent4"/>
          <w:left w:val="single" w:sz="8" w:space="0" w:color="C1AD79" w:themeColor="accent4"/>
          <w:bottom w:val="single" w:sz="8" w:space="0" w:color="C1AD79" w:themeColor="accent4"/>
          <w:right w:val="single" w:sz="8" w:space="0" w:color="C1AD79" w:themeColor="accent4"/>
        </w:tcBorders>
      </w:tcPr>
    </w:tblStylePr>
  </w:style>
  <w:style w:type="table" w:styleId="MediumShading1-Accent4">
    <w:name w:val="Medium Shading 1 Accent 4"/>
    <w:basedOn w:val="TableNormal"/>
    <w:uiPriority w:val="63"/>
    <w:rsid w:val="00977B35"/>
    <w:pPr>
      <w:spacing w:after="0" w:line="240" w:lineRule="auto"/>
    </w:pPr>
    <w:tblPr>
      <w:tblStyleRowBandSize w:val="1"/>
      <w:tblStyleColBandSize w:val="1"/>
      <w:tbl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single" w:sz="8" w:space="0" w:color="D0C19A" w:themeColor="accent4" w:themeTint="BF"/>
      </w:tblBorders>
    </w:tblPr>
    <w:tblStylePr w:type="firstRow">
      <w:pPr>
        <w:spacing w:before="0" w:after="0" w:line="240" w:lineRule="auto"/>
      </w:pPr>
      <w:rPr>
        <w:b/>
        <w:bCs/>
        <w:color w:val="FFFFFF" w:themeColor="background1"/>
      </w:rPr>
      <w:tblPr/>
      <w:tcPr>
        <w:tc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nil"/>
          <w:insideV w:val="nil"/>
        </w:tcBorders>
        <w:shd w:val="clear" w:color="auto" w:fill="C1AD79" w:themeFill="accent4"/>
      </w:tcPr>
    </w:tblStylePr>
    <w:tblStylePr w:type="lastRow">
      <w:pPr>
        <w:spacing w:before="0" w:after="0" w:line="240" w:lineRule="auto"/>
      </w:pPr>
      <w:rPr>
        <w:b/>
        <w:bCs/>
      </w:rPr>
      <w:tblPr/>
      <w:tcPr>
        <w:tcBorders>
          <w:top w:val="double" w:sz="6"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ADD" w:themeFill="accent4" w:themeFillTint="3F"/>
      </w:tcPr>
    </w:tblStylePr>
    <w:tblStylePr w:type="band1Horz">
      <w:tblPr/>
      <w:tcPr>
        <w:tcBorders>
          <w:insideH w:val="nil"/>
          <w:insideV w:val="nil"/>
        </w:tcBorders>
        <w:shd w:val="clear" w:color="auto" w:fill="EFEADD"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977B3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AD7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AD79" w:themeFill="accent4"/>
      </w:tcPr>
    </w:tblStylePr>
    <w:tblStylePr w:type="lastCol">
      <w:rPr>
        <w:b/>
        <w:bCs/>
        <w:color w:val="FFFFFF" w:themeColor="background1"/>
      </w:rPr>
      <w:tblPr/>
      <w:tcPr>
        <w:tcBorders>
          <w:left w:val="nil"/>
          <w:right w:val="nil"/>
          <w:insideH w:val="nil"/>
          <w:insideV w:val="nil"/>
        </w:tcBorders>
        <w:shd w:val="clear" w:color="auto" w:fill="C1AD7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977B35"/>
    <w:pPr>
      <w:spacing w:after="0" w:line="240" w:lineRule="auto"/>
    </w:pPr>
    <w:rPr>
      <w:color w:val="000000" w:themeColor="text1"/>
    </w:rPr>
    <w:tblPr>
      <w:tblStyleRowBandSize w:val="1"/>
      <w:tblStyleColBandSize w:val="1"/>
      <w:tblBorders>
        <w:top w:val="single" w:sz="8" w:space="0" w:color="C1AD79" w:themeColor="accent4"/>
        <w:bottom w:val="single" w:sz="8" w:space="0" w:color="C1AD79" w:themeColor="accent4"/>
      </w:tblBorders>
    </w:tblPr>
    <w:tblStylePr w:type="firstRow">
      <w:rPr>
        <w:rFonts w:asciiTheme="majorHAnsi" w:eastAsiaTheme="majorEastAsia" w:hAnsiTheme="majorHAnsi" w:cstheme="majorBidi"/>
      </w:rPr>
      <w:tblPr/>
      <w:tcPr>
        <w:tcBorders>
          <w:top w:val="nil"/>
          <w:bottom w:val="single" w:sz="8" w:space="0" w:color="C1AD79" w:themeColor="accent4"/>
        </w:tcBorders>
      </w:tcPr>
    </w:tblStylePr>
    <w:tblStylePr w:type="lastRow">
      <w:rPr>
        <w:b/>
        <w:bCs/>
        <w:color w:val="6F6D5D" w:themeColor="text2"/>
      </w:rPr>
      <w:tblPr/>
      <w:tcPr>
        <w:tcBorders>
          <w:top w:val="single" w:sz="8" w:space="0" w:color="C1AD79" w:themeColor="accent4"/>
          <w:bottom w:val="single" w:sz="8" w:space="0" w:color="C1AD79" w:themeColor="accent4"/>
        </w:tcBorders>
      </w:tcPr>
    </w:tblStylePr>
    <w:tblStylePr w:type="firstCol">
      <w:rPr>
        <w:b/>
        <w:bCs/>
      </w:rPr>
    </w:tblStylePr>
    <w:tblStylePr w:type="lastCol">
      <w:rPr>
        <w:b/>
        <w:bCs/>
      </w:rPr>
      <w:tblPr/>
      <w:tcPr>
        <w:tcBorders>
          <w:top w:val="single" w:sz="8" w:space="0" w:color="C1AD79" w:themeColor="accent4"/>
          <w:bottom w:val="single" w:sz="8" w:space="0" w:color="C1AD79" w:themeColor="accent4"/>
        </w:tcBorders>
      </w:tcPr>
    </w:tblStylePr>
    <w:tblStylePr w:type="band1Vert">
      <w:tblPr/>
      <w:tcPr>
        <w:shd w:val="clear" w:color="auto" w:fill="EFEADD" w:themeFill="accent4" w:themeFillTint="3F"/>
      </w:tcPr>
    </w:tblStylePr>
    <w:tblStylePr w:type="band1Horz">
      <w:tblPr/>
      <w:tcPr>
        <w:shd w:val="clear" w:color="auto" w:fill="EFEADD" w:themeFill="accent4" w:themeFillTint="3F"/>
      </w:tcPr>
    </w:tblStylePr>
  </w:style>
  <w:style w:type="table" w:styleId="MediumList2-Accent4">
    <w:name w:val="Medium List 2 Accent 4"/>
    <w:basedOn w:val="TableNormal"/>
    <w:uiPriority w:val="66"/>
    <w:rsid w:val="00977B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tblBorders>
    </w:tblPr>
    <w:tblStylePr w:type="firstRow">
      <w:rPr>
        <w:sz w:val="24"/>
        <w:szCs w:val="24"/>
      </w:rPr>
      <w:tblPr/>
      <w:tcPr>
        <w:tcBorders>
          <w:top w:val="nil"/>
          <w:left w:val="nil"/>
          <w:bottom w:val="single" w:sz="24" w:space="0" w:color="C1AD79" w:themeColor="accent4"/>
          <w:right w:val="nil"/>
          <w:insideH w:val="nil"/>
          <w:insideV w:val="nil"/>
        </w:tcBorders>
        <w:shd w:val="clear" w:color="auto" w:fill="FFFFFF" w:themeFill="background1"/>
      </w:tcPr>
    </w:tblStylePr>
    <w:tblStylePr w:type="lastRow">
      <w:tblPr/>
      <w:tcPr>
        <w:tcBorders>
          <w:top w:val="single" w:sz="8" w:space="0" w:color="C1AD7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AD79" w:themeColor="accent4"/>
          <w:insideH w:val="nil"/>
          <w:insideV w:val="nil"/>
        </w:tcBorders>
        <w:shd w:val="clear" w:color="auto" w:fill="FFFFFF" w:themeFill="background1"/>
      </w:tcPr>
    </w:tblStylePr>
    <w:tblStylePr w:type="lastCol">
      <w:tblPr/>
      <w:tcPr>
        <w:tcBorders>
          <w:top w:val="nil"/>
          <w:left w:val="single" w:sz="8" w:space="0" w:color="C1AD7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ADD" w:themeFill="accent4" w:themeFillTint="3F"/>
      </w:tcPr>
    </w:tblStylePr>
    <w:tblStylePr w:type="band1Horz">
      <w:tblPr/>
      <w:tcPr>
        <w:tcBorders>
          <w:top w:val="nil"/>
          <w:bottom w:val="nil"/>
          <w:insideH w:val="nil"/>
          <w:insideV w:val="nil"/>
        </w:tcBorders>
        <w:shd w:val="clear" w:color="auto" w:fill="EFEA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977B35"/>
    <w:pPr>
      <w:spacing w:after="0" w:line="240" w:lineRule="auto"/>
    </w:pPr>
    <w:tblPr>
      <w:tblStyleRowBandSize w:val="1"/>
      <w:tblStyleColBandSize w:val="1"/>
      <w:tblBorders>
        <w:top w:val="single" w:sz="8" w:space="0" w:color="D0C19A" w:themeColor="accent4" w:themeTint="BF"/>
        <w:left w:val="single" w:sz="8" w:space="0" w:color="D0C19A" w:themeColor="accent4" w:themeTint="BF"/>
        <w:bottom w:val="single" w:sz="8" w:space="0" w:color="D0C19A" w:themeColor="accent4" w:themeTint="BF"/>
        <w:right w:val="single" w:sz="8" w:space="0" w:color="D0C19A" w:themeColor="accent4" w:themeTint="BF"/>
        <w:insideH w:val="single" w:sz="8" w:space="0" w:color="D0C19A" w:themeColor="accent4" w:themeTint="BF"/>
        <w:insideV w:val="single" w:sz="8" w:space="0" w:color="D0C19A" w:themeColor="accent4" w:themeTint="BF"/>
      </w:tblBorders>
    </w:tblPr>
    <w:tcPr>
      <w:shd w:val="clear" w:color="auto" w:fill="EFEADD" w:themeFill="accent4" w:themeFillTint="3F"/>
    </w:tcPr>
    <w:tblStylePr w:type="firstRow">
      <w:rPr>
        <w:b/>
        <w:bCs/>
      </w:rPr>
    </w:tblStylePr>
    <w:tblStylePr w:type="lastRow">
      <w:rPr>
        <w:b/>
        <w:bCs/>
      </w:rPr>
      <w:tblPr/>
      <w:tcPr>
        <w:tcBorders>
          <w:top w:val="single" w:sz="18" w:space="0" w:color="D0C19A" w:themeColor="accent4" w:themeTint="BF"/>
        </w:tcBorders>
      </w:tcPr>
    </w:tblStylePr>
    <w:tblStylePr w:type="firstCol">
      <w:rPr>
        <w:b/>
        <w:bCs/>
      </w:rPr>
    </w:tblStylePr>
    <w:tblStylePr w:type="lastCol">
      <w:rPr>
        <w:b/>
        <w:bCs/>
      </w:rPr>
    </w:tblStylePr>
    <w:tblStylePr w:type="band1Vert">
      <w:tblPr/>
      <w:tcPr>
        <w:shd w:val="clear" w:color="auto" w:fill="E0D6BC" w:themeFill="accent4" w:themeFillTint="7F"/>
      </w:tcPr>
    </w:tblStylePr>
    <w:tblStylePr w:type="band1Horz">
      <w:tblPr/>
      <w:tcPr>
        <w:shd w:val="clear" w:color="auto" w:fill="E0D6BC" w:themeFill="accent4" w:themeFillTint="7F"/>
      </w:tcPr>
    </w:tblStylePr>
  </w:style>
  <w:style w:type="table" w:styleId="MediumGrid2-Accent4">
    <w:name w:val="Medium Grid 2 Accent 4"/>
    <w:basedOn w:val="TableNormal"/>
    <w:uiPriority w:val="68"/>
    <w:rsid w:val="00977B3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AD79" w:themeColor="accent4"/>
        <w:left w:val="single" w:sz="8" w:space="0" w:color="C1AD79" w:themeColor="accent4"/>
        <w:bottom w:val="single" w:sz="8" w:space="0" w:color="C1AD79" w:themeColor="accent4"/>
        <w:right w:val="single" w:sz="8" w:space="0" w:color="C1AD79" w:themeColor="accent4"/>
        <w:insideH w:val="single" w:sz="8" w:space="0" w:color="C1AD79" w:themeColor="accent4"/>
        <w:insideV w:val="single" w:sz="8" w:space="0" w:color="C1AD79" w:themeColor="accent4"/>
      </w:tblBorders>
    </w:tblPr>
    <w:tcPr>
      <w:shd w:val="clear" w:color="auto" w:fill="EFEADD" w:themeFill="accent4" w:themeFillTint="3F"/>
    </w:tcPr>
    <w:tblStylePr w:type="firstRow">
      <w:rPr>
        <w:b/>
        <w:bCs/>
        <w:color w:val="000000" w:themeColor="text1"/>
      </w:rPr>
      <w:tblPr/>
      <w:tcPr>
        <w:shd w:val="clear" w:color="auto" w:fill="F9F6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EE4" w:themeFill="accent4" w:themeFillTint="33"/>
      </w:tcPr>
    </w:tblStylePr>
    <w:tblStylePr w:type="band1Vert">
      <w:tblPr/>
      <w:tcPr>
        <w:shd w:val="clear" w:color="auto" w:fill="E0D6BC" w:themeFill="accent4" w:themeFillTint="7F"/>
      </w:tcPr>
    </w:tblStylePr>
    <w:tblStylePr w:type="band1Horz">
      <w:tblPr/>
      <w:tcPr>
        <w:tcBorders>
          <w:insideH w:val="single" w:sz="6" w:space="0" w:color="C1AD79" w:themeColor="accent4"/>
          <w:insideV w:val="single" w:sz="6" w:space="0" w:color="C1AD79" w:themeColor="accent4"/>
        </w:tcBorders>
        <w:shd w:val="clear" w:color="auto" w:fill="E0D6BC"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A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AD7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AD7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AD7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AD7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6B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6BC" w:themeFill="accent4" w:themeFillTint="7F"/>
      </w:tcPr>
    </w:tblStylePr>
  </w:style>
  <w:style w:type="table" w:styleId="MediumGrid3-Accent6">
    <w:name w:val="Medium Grid 3 Accent 6"/>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4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D6A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D6A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D6A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D6A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EAD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EAD6" w:themeFill="accent6" w:themeFillTint="7F"/>
      </w:tcPr>
    </w:tblStylePr>
  </w:style>
  <w:style w:type="table" w:styleId="MediumGrid3-Accent2">
    <w:name w:val="Medium Grid 3 Accent 2"/>
    <w:basedOn w:val="TableNormal"/>
    <w:uiPriority w:val="69"/>
    <w:rsid w:val="00977B3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5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36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36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36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36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8B7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8B78" w:themeFill="accent2" w:themeFillTint="7F"/>
      </w:tcPr>
    </w:tblStylePr>
  </w:style>
  <w:style w:type="table" w:styleId="ColorfulShading-Accent4">
    <w:name w:val="Colorful Shading Accent 4"/>
    <w:basedOn w:val="TableNormal"/>
    <w:uiPriority w:val="71"/>
    <w:rsid w:val="00977B35"/>
    <w:pPr>
      <w:spacing w:after="0" w:line="240" w:lineRule="auto"/>
    </w:pPr>
    <w:rPr>
      <w:color w:val="000000" w:themeColor="text1"/>
    </w:rPr>
    <w:tblPr>
      <w:tblStyleRowBandSize w:val="1"/>
      <w:tblStyleColBandSize w:val="1"/>
      <w:tblBorders>
        <w:top w:val="single" w:sz="24" w:space="0" w:color="504539" w:themeColor="accent3"/>
        <w:left w:val="single" w:sz="4" w:space="0" w:color="C1AD79" w:themeColor="accent4"/>
        <w:bottom w:val="single" w:sz="4" w:space="0" w:color="C1AD79" w:themeColor="accent4"/>
        <w:right w:val="single" w:sz="4" w:space="0" w:color="C1AD79" w:themeColor="accent4"/>
        <w:insideH w:val="single" w:sz="4" w:space="0" w:color="FFFFFF" w:themeColor="background1"/>
        <w:insideV w:val="single" w:sz="4" w:space="0" w:color="FFFFFF" w:themeColor="background1"/>
      </w:tblBorders>
    </w:tblPr>
    <w:tcPr>
      <w:shd w:val="clear" w:color="auto" w:fill="F9F6F1" w:themeFill="accent4" w:themeFillTint="19"/>
    </w:tcPr>
    <w:tblStylePr w:type="firstRow">
      <w:rPr>
        <w:b/>
        <w:bCs/>
      </w:rPr>
      <w:tblPr/>
      <w:tcPr>
        <w:tcBorders>
          <w:top w:val="nil"/>
          <w:left w:val="nil"/>
          <w:bottom w:val="single" w:sz="24" w:space="0" w:color="5045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6D3B" w:themeFill="accent4" w:themeFillShade="99"/>
      </w:tcPr>
    </w:tblStylePr>
    <w:tblStylePr w:type="firstCol">
      <w:rPr>
        <w:color w:val="FFFFFF" w:themeColor="background1"/>
      </w:rPr>
      <w:tblPr/>
      <w:tcPr>
        <w:tcBorders>
          <w:top w:val="nil"/>
          <w:left w:val="nil"/>
          <w:bottom w:val="nil"/>
          <w:right w:val="nil"/>
          <w:insideH w:val="single" w:sz="4" w:space="0" w:color="806D3B" w:themeColor="accent4" w:themeShade="99"/>
          <w:insideV w:val="nil"/>
        </w:tcBorders>
        <w:shd w:val="clear" w:color="auto" w:fill="806D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06D3B" w:themeFill="accent4" w:themeFillShade="99"/>
      </w:tcPr>
    </w:tblStylePr>
    <w:tblStylePr w:type="band1Vert">
      <w:tblPr/>
      <w:tcPr>
        <w:shd w:val="clear" w:color="auto" w:fill="E6DEC9" w:themeFill="accent4" w:themeFillTint="66"/>
      </w:tcPr>
    </w:tblStylePr>
    <w:tblStylePr w:type="band1Horz">
      <w:tblPr/>
      <w:tcPr>
        <w:shd w:val="clear" w:color="auto" w:fill="E0D6BC" w:themeFill="accent4" w:themeFillTint="7F"/>
      </w:tcPr>
    </w:tblStylePr>
    <w:tblStylePr w:type="neCell">
      <w:rPr>
        <w:color w:val="000000" w:themeColor="text1"/>
      </w:rPr>
    </w:tblStylePr>
    <w:tblStylePr w:type="nwCell">
      <w:rPr>
        <w:color w:val="000000" w:themeColor="text1"/>
      </w:rPr>
    </w:tblStylePr>
  </w:style>
  <w:style w:type="table" w:styleId="ColorfulList-Accent3">
    <w:name w:val="Colorful List Accent 3"/>
    <w:basedOn w:val="TableNormal"/>
    <w:uiPriority w:val="72"/>
    <w:rsid w:val="00977B35"/>
    <w:pPr>
      <w:spacing w:after="0" w:line="240" w:lineRule="auto"/>
    </w:pPr>
    <w:rPr>
      <w:color w:val="000000" w:themeColor="text1"/>
    </w:rPr>
    <w:tblPr>
      <w:tblStyleRowBandSize w:val="1"/>
      <w:tblStyleColBandSize w:val="1"/>
    </w:tblPr>
    <w:tcPr>
      <w:shd w:val="clear" w:color="auto" w:fill="EFECE9" w:themeFill="accent3" w:themeFillTint="19"/>
    </w:tcPr>
    <w:tblStylePr w:type="firstRow">
      <w:rPr>
        <w:b/>
        <w:bCs/>
        <w:color w:val="FFFFFF" w:themeColor="background1"/>
      </w:rPr>
      <w:tblPr/>
      <w:tcPr>
        <w:tcBorders>
          <w:bottom w:val="single" w:sz="12" w:space="0" w:color="FFFFFF" w:themeColor="background1"/>
        </w:tcBorders>
        <w:shd w:val="clear" w:color="auto" w:fill="AB914F" w:themeFill="accent4" w:themeFillShade="CC"/>
      </w:tcPr>
    </w:tblStylePr>
    <w:tblStylePr w:type="lastRow">
      <w:rPr>
        <w:b/>
        <w:bCs/>
        <w:color w:val="AB914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C9" w:themeFill="accent3" w:themeFillTint="3F"/>
      </w:tcPr>
    </w:tblStylePr>
    <w:tblStylePr w:type="band1Horz">
      <w:tblPr/>
      <w:tcPr>
        <w:shd w:val="clear" w:color="auto" w:fill="E0D9D3" w:themeFill="accent3" w:themeFillTint="33"/>
      </w:tcPr>
    </w:tblStylePr>
  </w:style>
  <w:style w:type="table" w:styleId="ColorfulGrid-Accent4">
    <w:name w:val="Colorful Grid Accent 4"/>
    <w:basedOn w:val="TableNormal"/>
    <w:uiPriority w:val="73"/>
    <w:rsid w:val="00977B3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EEE4" w:themeFill="accent4" w:themeFillTint="33"/>
    </w:tcPr>
    <w:tblStylePr w:type="firstRow">
      <w:rPr>
        <w:b/>
        <w:bCs/>
      </w:rPr>
      <w:tblPr/>
      <w:tcPr>
        <w:shd w:val="clear" w:color="auto" w:fill="E6DEC9" w:themeFill="accent4" w:themeFillTint="66"/>
      </w:tcPr>
    </w:tblStylePr>
    <w:tblStylePr w:type="lastRow">
      <w:rPr>
        <w:b/>
        <w:bCs/>
        <w:color w:val="000000" w:themeColor="text1"/>
      </w:rPr>
      <w:tblPr/>
      <w:tcPr>
        <w:shd w:val="clear" w:color="auto" w:fill="E6DEC9" w:themeFill="accent4" w:themeFillTint="66"/>
      </w:tcPr>
    </w:tblStylePr>
    <w:tblStylePr w:type="firstCol">
      <w:rPr>
        <w:color w:val="FFFFFF" w:themeColor="background1"/>
      </w:rPr>
      <w:tblPr/>
      <w:tcPr>
        <w:shd w:val="clear" w:color="auto" w:fill="A0884A" w:themeFill="accent4" w:themeFillShade="BF"/>
      </w:tcPr>
    </w:tblStylePr>
    <w:tblStylePr w:type="lastCol">
      <w:rPr>
        <w:color w:val="FFFFFF" w:themeColor="background1"/>
      </w:rPr>
      <w:tblPr/>
      <w:tcPr>
        <w:shd w:val="clear" w:color="auto" w:fill="A0884A" w:themeFill="accent4" w:themeFillShade="BF"/>
      </w:tcPr>
    </w:tblStylePr>
    <w:tblStylePr w:type="band1Vert">
      <w:tblPr/>
      <w:tcPr>
        <w:shd w:val="clear" w:color="auto" w:fill="E0D6BC" w:themeFill="accent4" w:themeFillTint="7F"/>
      </w:tcPr>
    </w:tblStylePr>
    <w:tblStylePr w:type="band1Horz">
      <w:tblPr/>
      <w:tcPr>
        <w:shd w:val="clear" w:color="auto" w:fill="E0D6BC" w:themeFill="accent4" w:themeFillTint="7F"/>
      </w:tcPr>
    </w:tblStylePr>
  </w:style>
  <w:style w:type="table" w:styleId="MediumGrid3-Accent5">
    <w:name w:val="Medium Grid 3 Accent 5"/>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755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755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755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755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DA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DA8" w:themeFill="accent5" w:themeFillTint="7F"/>
      </w:tcPr>
    </w:tblStylePr>
  </w:style>
  <w:style w:type="table" w:styleId="MediumGrid3-Accent3">
    <w:name w:val="Medium Grid 3 Accent 3"/>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45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45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45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45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29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292" w:themeFill="accent3" w:themeFillTint="7F"/>
      </w:tcPr>
    </w:tblStylePr>
  </w:style>
  <w:style w:type="table" w:styleId="MediumGrid3-Accent1">
    <w:name w:val="Medium Grid 3 Accent 1"/>
    <w:basedOn w:val="TableNormal"/>
    <w:uiPriority w:val="69"/>
    <w:rsid w:val="008A75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7D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5A6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5A6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5A6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5A6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AEB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AEB4" w:themeFill="accent1" w:themeFillTint="7F"/>
      </w:tcPr>
    </w:tblStylePr>
  </w:style>
  <w:style w:type="table" w:styleId="MediumGrid2-Accent3">
    <w:name w:val="Medium Grid 2 Accent 3"/>
    <w:basedOn w:val="TableNormal"/>
    <w:uiPriority w:val="68"/>
    <w:rsid w:val="008A75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insideH w:val="single" w:sz="8" w:space="0" w:color="504539" w:themeColor="accent3"/>
        <w:insideV w:val="single" w:sz="8" w:space="0" w:color="504539" w:themeColor="accent3"/>
      </w:tblBorders>
    </w:tblPr>
    <w:tcPr>
      <w:shd w:val="clear" w:color="auto" w:fill="D8D1C9" w:themeFill="accent3" w:themeFillTint="3F"/>
    </w:tcPr>
    <w:tblStylePr w:type="firstRow">
      <w:rPr>
        <w:b/>
        <w:bCs/>
        <w:color w:val="000000" w:themeColor="text1"/>
      </w:rPr>
      <w:tblPr/>
      <w:tcPr>
        <w:shd w:val="clear" w:color="auto" w:fill="EFEC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D9D3" w:themeFill="accent3" w:themeFillTint="33"/>
      </w:tcPr>
    </w:tblStylePr>
    <w:tblStylePr w:type="band1Vert">
      <w:tblPr/>
      <w:tcPr>
        <w:shd w:val="clear" w:color="auto" w:fill="B1A292" w:themeFill="accent3" w:themeFillTint="7F"/>
      </w:tcPr>
    </w:tblStylePr>
    <w:tblStylePr w:type="band1Horz">
      <w:tblPr/>
      <w:tcPr>
        <w:tcBorders>
          <w:insideH w:val="single" w:sz="6" w:space="0" w:color="504539" w:themeColor="accent3"/>
          <w:insideV w:val="single" w:sz="6" w:space="0" w:color="504539" w:themeColor="accent3"/>
        </w:tcBorders>
        <w:shd w:val="clear" w:color="auto" w:fill="B1A292" w:themeFill="accent3"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8A75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7559" w:themeColor="accent5"/>
        <w:left w:val="single" w:sz="8" w:space="0" w:color="667559" w:themeColor="accent5"/>
        <w:bottom w:val="single" w:sz="8" w:space="0" w:color="667559" w:themeColor="accent5"/>
        <w:right w:val="single" w:sz="8" w:space="0" w:color="667559" w:themeColor="accent5"/>
      </w:tblBorders>
    </w:tblPr>
    <w:tblStylePr w:type="firstRow">
      <w:rPr>
        <w:sz w:val="24"/>
        <w:szCs w:val="24"/>
      </w:rPr>
      <w:tblPr/>
      <w:tcPr>
        <w:tcBorders>
          <w:top w:val="nil"/>
          <w:left w:val="nil"/>
          <w:bottom w:val="single" w:sz="24" w:space="0" w:color="667559" w:themeColor="accent5"/>
          <w:right w:val="nil"/>
          <w:insideH w:val="nil"/>
          <w:insideV w:val="nil"/>
        </w:tcBorders>
        <w:shd w:val="clear" w:color="auto" w:fill="FFFFFF" w:themeFill="background1"/>
      </w:tcPr>
    </w:tblStylePr>
    <w:tblStylePr w:type="lastRow">
      <w:tblPr/>
      <w:tcPr>
        <w:tcBorders>
          <w:top w:val="single" w:sz="8" w:space="0" w:color="66755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7559" w:themeColor="accent5"/>
          <w:insideH w:val="nil"/>
          <w:insideV w:val="nil"/>
        </w:tcBorders>
        <w:shd w:val="clear" w:color="auto" w:fill="FFFFFF" w:themeFill="background1"/>
      </w:tcPr>
    </w:tblStylePr>
    <w:tblStylePr w:type="lastCol">
      <w:tblPr/>
      <w:tcPr>
        <w:tcBorders>
          <w:top w:val="nil"/>
          <w:left w:val="single" w:sz="8" w:space="0" w:color="66755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4" w:themeFill="accent5" w:themeFillTint="3F"/>
      </w:tcPr>
    </w:tblStylePr>
    <w:tblStylePr w:type="band1Horz">
      <w:tblPr/>
      <w:tcPr>
        <w:tcBorders>
          <w:top w:val="nil"/>
          <w:bottom w:val="nil"/>
          <w:insideH w:val="nil"/>
          <w:insideV w:val="nil"/>
        </w:tcBorders>
        <w:shd w:val="clear" w:color="auto" w:fill="D8DE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rsid w:val="008A75E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F6D5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2">
    <w:name w:val="Medium List 1 Accent 2"/>
    <w:basedOn w:val="TableNormal"/>
    <w:uiPriority w:val="65"/>
    <w:rsid w:val="008A75EF"/>
    <w:pPr>
      <w:spacing w:after="0" w:line="240" w:lineRule="auto"/>
    </w:pPr>
    <w:rPr>
      <w:color w:val="000000" w:themeColor="text1"/>
    </w:rPr>
    <w:tblPr>
      <w:tblStyleRowBandSize w:val="1"/>
      <w:tblStyleColBandSize w:val="1"/>
      <w:tblBorders>
        <w:top w:val="single" w:sz="8" w:space="0" w:color="983620" w:themeColor="accent2"/>
        <w:bottom w:val="single" w:sz="8" w:space="0" w:color="983620" w:themeColor="accent2"/>
      </w:tblBorders>
    </w:tblPr>
    <w:tblStylePr w:type="firstRow">
      <w:rPr>
        <w:rFonts w:asciiTheme="majorHAnsi" w:eastAsiaTheme="majorEastAsia" w:hAnsiTheme="majorHAnsi" w:cstheme="majorBidi"/>
      </w:rPr>
      <w:tblPr/>
      <w:tcPr>
        <w:tcBorders>
          <w:top w:val="nil"/>
          <w:bottom w:val="single" w:sz="8" w:space="0" w:color="983620" w:themeColor="accent2"/>
        </w:tcBorders>
      </w:tcPr>
    </w:tblStylePr>
    <w:tblStylePr w:type="lastRow">
      <w:rPr>
        <w:b/>
        <w:bCs/>
        <w:color w:val="6F6D5D" w:themeColor="text2"/>
      </w:rPr>
      <w:tblPr/>
      <w:tcPr>
        <w:tcBorders>
          <w:top w:val="single" w:sz="8" w:space="0" w:color="983620" w:themeColor="accent2"/>
          <w:bottom w:val="single" w:sz="8" w:space="0" w:color="983620" w:themeColor="accent2"/>
        </w:tcBorders>
      </w:tcPr>
    </w:tblStylePr>
    <w:tblStylePr w:type="firstCol">
      <w:rPr>
        <w:b/>
        <w:bCs/>
      </w:rPr>
    </w:tblStylePr>
    <w:tblStylePr w:type="lastCol">
      <w:rPr>
        <w:b/>
        <w:bCs/>
      </w:rPr>
      <w:tblPr/>
      <w:tcPr>
        <w:tcBorders>
          <w:top w:val="single" w:sz="8" w:space="0" w:color="983620" w:themeColor="accent2"/>
          <w:bottom w:val="single" w:sz="8" w:space="0" w:color="983620" w:themeColor="accent2"/>
        </w:tcBorders>
      </w:tcPr>
    </w:tblStylePr>
    <w:tblStylePr w:type="band1Vert">
      <w:tblPr/>
      <w:tcPr>
        <w:shd w:val="clear" w:color="auto" w:fill="F1C5BC" w:themeFill="accent2" w:themeFillTint="3F"/>
      </w:tcPr>
    </w:tblStylePr>
    <w:tblStylePr w:type="band1Horz">
      <w:tblPr/>
      <w:tcPr>
        <w:shd w:val="clear" w:color="auto" w:fill="F1C5BC" w:themeFill="accent2" w:themeFillTint="3F"/>
      </w:tcPr>
    </w:tblStylePr>
  </w:style>
  <w:style w:type="table" w:styleId="MediumList1-Accent1">
    <w:name w:val="Medium List 1 Accent 1"/>
    <w:basedOn w:val="TableNormal"/>
    <w:uiPriority w:val="65"/>
    <w:rsid w:val="008A75EF"/>
    <w:pPr>
      <w:spacing w:after="0" w:line="240" w:lineRule="auto"/>
    </w:pPr>
    <w:rPr>
      <w:color w:val="000000" w:themeColor="text1"/>
    </w:rPr>
    <w:tblPr>
      <w:tblStyleRowBandSize w:val="1"/>
      <w:tblStyleColBandSize w:val="1"/>
      <w:tblBorders>
        <w:top w:val="single" w:sz="8" w:space="0" w:color="4B5A60" w:themeColor="accent1"/>
        <w:bottom w:val="single" w:sz="8" w:space="0" w:color="4B5A60" w:themeColor="accent1"/>
      </w:tblBorders>
    </w:tblPr>
    <w:tblStylePr w:type="firstRow">
      <w:rPr>
        <w:rFonts w:asciiTheme="majorHAnsi" w:eastAsiaTheme="majorEastAsia" w:hAnsiTheme="majorHAnsi" w:cstheme="majorBidi"/>
      </w:rPr>
      <w:tblPr/>
      <w:tcPr>
        <w:tcBorders>
          <w:top w:val="nil"/>
          <w:bottom w:val="single" w:sz="8" w:space="0" w:color="4B5A60" w:themeColor="accent1"/>
        </w:tcBorders>
      </w:tcPr>
    </w:tblStylePr>
    <w:tblStylePr w:type="lastRow">
      <w:rPr>
        <w:b/>
        <w:bCs/>
        <w:color w:val="6F6D5D" w:themeColor="text2"/>
      </w:rPr>
      <w:tblPr/>
      <w:tcPr>
        <w:tcBorders>
          <w:top w:val="single" w:sz="8" w:space="0" w:color="4B5A60" w:themeColor="accent1"/>
          <w:bottom w:val="single" w:sz="8" w:space="0" w:color="4B5A60" w:themeColor="accent1"/>
        </w:tcBorders>
      </w:tcPr>
    </w:tblStylePr>
    <w:tblStylePr w:type="firstCol">
      <w:rPr>
        <w:b/>
        <w:bCs/>
      </w:rPr>
    </w:tblStylePr>
    <w:tblStylePr w:type="lastCol">
      <w:rPr>
        <w:b/>
        <w:bCs/>
      </w:rPr>
      <w:tblPr/>
      <w:tcPr>
        <w:tcBorders>
          <w:top w:val="single" w:sz="8" w:space="0" w:color="4B5A60" w:themeColor="accent1"/>
          <w:bottom w:val="single" w:sz="8" w:space="0" w:color="4B5A60" w:themeColor="accent1"/>
        </w:tcBorders>
      </w:tcPr>
    </w:tblStylePr>
    <w:tblStylePr w:type="band1Vert">
      <w:tblPr/>
      <w:tcPr>
        <w:shd w:val="clear" w:color="auto" w:fill="CFD7DA" w:themeFill="accent1" w:themeFillTint="3F"/>
      </w:tcPr>
    </w:tblStylePr>
    <w:tblStylePr w:type="band1Horz">
      <w:tblPr/>
      <w:tcPr>
        <w:shd w:val="clear" w:color="auto" w:fill="CFD7DA" w:themeFill="accent1" w:themeFillTint="3F"/>
      </w:tcPr>
    </w:tblStylePr>
  </w:style>
  <w:style w:type="paragraph" w:customStyle="1" w:styleId="paragraphtextindented">
    <w:name w:val="paragraphtextindented"/>
    <w:basedOn w:val="Normal"/>
    <w:rsid w:val="00FC1533"/>
    <w:pPr>
      <w:spacing w:before="100" w:beforeAutospacing="1" w:after="100" w:afterAutospacing="1" w:line="240" w:lineRule="auto"/>
    </w:pPr>
    <w:rPr>
      <w:rFonts w:ascii="Times" w:hAnsi="Times"/>
      <w:sz w:val="20"/>
      <w:szCs w:val="20"/>
    </w:rPr>
  </w:style>
  <w:style w:type="character" w:customStyle="1" w:styleId="Stile12pt">
    <w:name w:val="Stile 12 pt"/>
    <w:basedOn w:val="DefaultParagraphFont"/>
    <w:rsid w:val="00D806FC"/>
    <w:rPr>
      <w:rFonts w:ascii="Times New Roman" w:hAnsi="Times New Roman"/>
      <w:sz w:val="24"/>
    </w:rPr>
  </w:style>
  <w:style w:type="paragraph" w:customStyle="1" w:styleId="Normaleprogram">
    <w:name w:val="Normale program"/>
    <w:basedOn w:val="Normal"/>
    <w:rsid w:val="00D806FC"/>
    <w:pPr>
      <w:spacing w:after="0" w:line="240" w:lineRule="auto"/>
    </w:pPr>
    <w:rPr>
      <w:rFonts w:ascii="Times New Roman" w:eastAsia="Times New Roman" w:hAnsi="Times New Roman" w:cs="Times New Roman"/>
      <w:szCs w:val="20"/>
      <w:lang w:val="en-GB" w:eastAsia="en-US"/>
    </w:rPr>
  </w:style>
  <w:style w:type="character" w:styleId="FollowedHyperlink">
    <w:name w:val="FollowedHyperlink"/>
    <w:basedOn w:val="DefaultParagraphFont"/>
    <w:uiPriority w:val="99"/>
    <w:semiHidden/>
    <w:unhideWhenUsed/>
    <w:rsid w:val="00B16EF2"/>
    <w:rPr>
      <w:color w:val="8F9954" w:themeColor="followedHyperlink"/>
      <w:u w:val="single"/>
    </w:rPr>
  </w:style>
  <w:style w:type="paragraph" w:styleId="BodyText2">
    <w:name w:val="Body Text 2"/>
    <w:basedOn w:val="Normal"/>
    <w:link w:val="BodyText2Char"/>
    <w:rsid w:val="00F16F0A"/>
    <w:pPr>
      <w:spacing w:after="0" w:line="240" w:lineRule="auto"/>
      <w:jc w:val="both"/>
    </w:pPr>
    <w:rPr>
      <w:rFonts w:ascii="Times New Roman" w:eastAsia="Times New Roman" w:hAnsi="Times New Roman" w:cs="Times New Roman"/>
      <w:szCs w:val="20"/>
      <w:lang w:val="en-GB" w:eastAsia="en-US"/>
    </w:rPr>
  </w:style>
  <w:style w:type="character" w:customStyle="1" w:styleId="BodyText2Char">
    <w:name w:val="Body Text 2 Char"/>
    <w:basedOn w:val="DefaultParagraphFont"/>
    <w:link w:val="BodyText2"/>
    <w:rsid w:val="00F16F0A"/>
    <w:rPr>
      <w:rFonts w:ascii="Times New Roman" w:eastAsia="Times New Roman" w:hAnsi="Times New Roman" w:cs="Times New Roman"/>
      <w:szCs w:val="20"/>
      <w:lang w:val="en-GB" w:eastAsia="en-US"/>
    </w:rPr>
  </w:style>
  <w:style w:type="paragraph" w:customStyle="1" w:styleId="ManualNumPar1">
    <w:name w:val="Manual NumPar 1"/>
    <w:basedOn w:val="Normal"/>
    <w:next w:val="Normal"/>
    <w:rsid w:val="00F16F0A"/>
    <w:pPr>
      <w:numPr>
        <w:numId w:val="19"/>
      </w:numPr>
      <w:tabs>
        <w:tab w:val="clear" w:pos="709"/>
      </w:tabs>
      <w:spacing w:before="120" w:after="120" w:line="360" w:lineRule="auto"/>
      <w:ind w:left="850" w:hanging="130"/>
      <w:jc w:val="both"/>
    </w:pPr>
    <w:rPr>
      <w:rFonts w:ascii="Times New Roman" w:eastAsia="Times New Roman" w:hAnsi="Times New Roman" w:cs="Times New Roman"/>
      <w:szCs w:val="20"/>
      <w:lang w:val="en-GB" w:eastAsia="zh-CN"/>
    </w:rPr>
  </w:style>
  <w:style w:type="paragraph" w:customStyle="1" w:styleId="Applicationdirecte">
    <w:name w:val="Application directe"/>
    <w:basedOn w:val="Normal"/>
    <w:next w:val="Fait"/>
    <w:rsid w:val="00F16F0A"/>
    <w:pPr>
      <w:numPr>
        <w:ilvl w:val="1"/>
        <w:numId w:val="19"/>
      </w:numPr>
      <w:tabs>
        <w:tab w:val="clear" w:pos="1417"/>
      </w:tabs>
      <w:spacing w:before="480" w:after="120" w:line="360" w:lineRule="auto"/>
      <w:ind w:left="0" w:firstLine="0"/>
      <w:jc w:val="both"/>
    </w:pPr>
    <w:rPr>
      <w:rFonts w:ascii="Times New Roman" w:eastAsia="Times New Roman" w:hAnsi="Times New Roman" w:cs="Times New Roman"/>
      <w:szCs w:val="20"/>
      <w:lang w:val="en-GB" w:eastAsia="zh-CN"/>
    </w:rPr>
  </w:style>
  <w:style w:type="paragraph" w:customStyle="1" w:styleId="Fait">
    <w:name w:val="Fait à"/>
    <w:basedOn w:val="Normal"/>
    <w:next w:val="Institutionquisigne"/>
    <w:rsid w:val="00F16F0A"/>
    <w:pPr>
      <w:keepNext/>
      <w:numPr>
        <w:ilvl w:val="2"/>
        <w:numId w:val="19"/>
      </w:numPr>
      <w:tabs>
        <w:tab w:val="clear" w:pos="2126"/>
      </w:tabs>
      <w:spacing w:before="120" w:after="120" w:line="360" w:lineRule="auto"/>
      <w:ind w:left="0" w:firstLine="0"/>
      <w:jc w:val="both"/>
    </w:pPr>
    <w:rPr>
      <w:rFonts w:ascii="Times New Roman" w:eastAsia="Times New Roman" w:hAnsi="Times New Roman" w:cs="Times New Roman"/>
      <w:szCs w:val="20"/>
      <w:lang w:val="en-GB" w:eastAsia="zh-CN"/>
    </w:rPr>
  </w:style>
  <w:style w:type="paragraph" w:customStyle="1" w:styleId="Institutionquisigne">
    <w:name w:val="Institution qui signe"/>
    <w:basedOn w:val="Normal"/>
    <w:next w:val="Normal"/>
    <w:rsid w:val="00F16F0A"/>
    <w:pPr>
      <w:keepNext/>
      <w:numPr>
        <w:ilvl w:val="3"/>
        <w:numId w:val="19"/>
      </w:numPr>
      <w:tabs>
        <w:tab w:val="clear" w:pos="2835"/>
        <w:tab w:val="left" w:pos="4252"/>
      </w:tabs>
      <w:spacing w:before="720" w:after="120" w:line="360" w:lineRule="auto"/>
      <w:ind w:left="0" w:firstLine="0"/>
      <w:jc w:val="both"/>
    </w:pPr>
    <w:rPr>
      <w:rFonts w:ascii="Times New Roman" w:eastAsia="Times New Roman" w:hAnsi="Times New Roman" w:cs="Times New Roman"/>
      <w:i/>
      <w:szCs w:val="20"/>
      <w:lang w:val="en-GB" w:eastAsia="zh-CN"/>
    </w:rPr>
  </w:style>
  <w:style w:type="paragraph" w:customStyle="1" w:styleId="NumPar1">
    <w:name w:val="NumPar 1"/>
    <w:basedOn w:val="Normal"/>
    <w:next w:val="Normal"/>
    <w:rsid w:val="00F16F0A"/>
    <w:pPr>
      <w:numPr>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2">
    <w:name w:val="NumPar 2"/>
    <w:basedOn w:val="Normal"/>
    <w:next w:val="Normal"/>
    <w:rsid w:val="00F16F0A"/>
    <w:pPr>
      <w:numPr>
        <w:ilvl w:val="1"/>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3">
    <w:name w:val="NumPar 3"/>
    <w:basedOn w:val="Normal"/>
    <w:next w:val="Normal"/>
    <w:rsid w:val="00F16F0A"/>
    <w:pPr>
      <w:numPr>
        <w:ilvl w:val="2"/>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NumPar4">
    <w:name w:val="NumPar 4"/>
    <w:basedOn w:val="Normal"/>
    <w:next w:val="Normal"/>
    <w:rsid w:val="00F16F0A"/>
    <w:pPr>
      <w:numPr>
        <w:ilvl w:val="3"/>
        <w:numId w:val="22"/>
      </w:numPr>
      <w:spacing w:before="120" w:after="120" w:line="240" w:lineRule="auto"/>
      <w:jc w:val="both"/>
    </w:pPr>
    <w:rPr>
      <w:rFonts w:ascii="Times New Roman" w:eastAsia="Calibri" w:hAnsi="Times New Roman" w:cs="Times New Roman"/>
      <w:szCs w:val="22"/>
      <w:lang w:val="en-GB" w:eastAsia="en-GB"/>
    </w:rPr>
  </w:style>
  <w:style w:type="paragraph" w:customStyle="1" w:styleId="Point0number">
    <w:name w:val="Point 0 (number)"/>
    <w:basedOn w:val="Normal"/>
    <w:rsid w:val="00F16F0A"/>
    <w:pPr>
      <w:numPr>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1number">
    <w:name w:val="Point 1 (number)"/>
    <w:basedOn w:val="Normal"/>
    <w:rsid w:val="00F16F0A"/>
    <w:pPr>
      <w:numPr>
        <w:ilvl w:val="2"/>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2number">
    <w:name w:val="Point 2 (number)"/>
    <w:basedOn w:val="Normal"/>
    <w:rsid w:val="00F16F0A"/>
    <w:pPr>
      <w:numPr>
        <w:ilvl w:val="4"/>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3number">
    <w:name w:val="Point 3 (number)"/>
    <w:basedOn w:val="Normal"/>
    <w:rsid w:val="00F16F0A"/>
    <w:pPr>
      <w:numPr>
        <w:ilvl w:val="6"/>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0letter">
    <w:name w:val="Point 0 (letter)"/>
    <w:basedOn w:val="Normal"/>
    <w:rsid w:val="00F16F0A"/>
    <w:pPr>
      <w:numPr>
        <w:ilvl w:val="1"/>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1letter">
    <w:name w:val="Point 1 (letter)"/>
    <w:basedOn w:val="Normal"/>
    <w:rsid w:val="00F16F0A"/>
    <w:pPr>
      <w:numPr>
        <w:ilvl w:val="3"/>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2letter">
    <w:name w:val="Point 2 (letter)"/>
    <w:basedOn w:val="Normal"/>
    <w:rsid w:val="00F16F0A"/>
    <w:pPr>
      <w:numPr>
        <w:ilvl w:val="5"/>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3letter">
    <w:name w:val="Point 3 (letter)"/>
    <w:basedOn w:val="Normal"/>
    <w:rsid w:val="00F16F0A"/>
    <w:pPr>
      <w:numPr>
        <w:ilvl w:val="7"/>
        <w:numId w:val="21"/>
      </w:numPr>
      <w:spacing w:before="120" w:after="120" w:line="240" w:lineRule="auto"/>
      <w:jc w:val="both"/>
    </w:pPr>
    <w:rPr>
      <w:rFonts w:ascii="Times New Roman" w:eastAsia="Calibri" w:hAnsi="Times New Roman" w:cs="Times New Roman"/>
      <w:szCs w:val="22"/>
      <w:lang w:val="en-GB" w:eastAsia="en-GB"/>
    </w:rPr>
  </w:style>
  <w:style w:type="paragraph" w:customStyle="1" w:styleId="Point4letter">
    <w:name w:val="Point 4 (letter)"/>
    <w:basedOn w:val="Normal"/>
    <w:rsid w:val="00F16F0A"/>
    <w:pPr>
      <w:numPr>
        <w:ilvl w:val="8"/>
        <w:numId w:val="21"/>
      </w:numPr>
      <w:spacing w:before="120" w:after="120" w:line="240" w:lineRule="auto"/>
      <w:jc w:val="both"/>
    </w:pPr>
    <w:rPr>
      <w:rFonts w:ascii="Times New Roman" w:eastAsia="Calibri" w:hAnsi="Times New Roman" w:cs="Times New Roman"/>
      <w:szCs w:val="22"/>
      <w:lang w:val="en-GB" w:eastAsia="en-GB"/>
    </w:rPr>
  </w:style>
  <w:style w:type="character" w:customStyle="1" w:styleId="ListParagraphChar">
    <w:name w:val="List Paragraph Char"/>
    <w:link w:val="ListParagraph"/>
    <w:uiPriority w:val="34"/>
    <w:rsid w:val="00F16F0A"/>
  </w:style>
  <w:style w:type="character" w:customStyle="1" w:styleId="st">
    <w:name w:val="st"/>
    <w:basedOn w:val="DefaultParagraphFont"/>
    <w:rsid w:val="00F16F0A"/>
  </w:style>
  <w:style w:type="character" w:styleId="Emphasis">
    <w:name w:val="Emphasis"/>
    <w:basedOn w:val="DefaultParagraphFont"/>
    <w:uiPriority w:val="99"/>
    <w:qFormat/>
    <w:rsid w:val="00F16F0A"/>
    <w:rPr>
      <w:i/>
      <w:iCs/>
    </w:rPr>
  </w:style>
  <w:style w:type="character" w:styleId="PageNumber">
    <w:name w:val="page number"/>
    <w:basedOn w:val="DefaultParagraphFont"/>
    <w:uiPriority w:val="99"/>
    <w:semiHidden/>
    <w:unhideWhenUsed/>
    <w:rsid w:val="00D12E00"/>
  </w:style>
  <w:style w:type="character" w:customStyle="1" w:styleId="T1CharChar">
    <w:name w:val="T1 Char Char"/>
    <w:link w:val="T1"/>
    <w:rsid w:val="00DC2F6C"/>
    <w:rPr>
      <w:rFonts w:ascii="Arial" w:hAnsi="Arial" w:cs="Arial"/>
      <w:sz w:val="22"/>
      <w:szCs w:val="22"/>
      <w:lang w:val="en-GB" w:eastAsia="hu-HU"/>
    </w:rPr>
  </w:style>
  <w:style w:type="paragraph" w:customStyle="1" w:styleId="T1">
    <w:name w:val="T1"/>
    <w:link w:val="T1CharChar"/>
    <w:rsid w:val="00DC2F6C"/>
    <w:pPr>
      <w:spacing w:line="240" w:lineRule="auto"/>
      <w:jc w:val="both"/>
    </w:pPr>
    <w:rPr>
      <w:rFonts w:ascii="Arial" w:hAnsi="Arial" w:cs="Arial"/>
      <w:sz w:val="22"/>
      <w:szCs w:val="22"/>
      <w:lang w:val="en-GB" w:eastAsia="hu-HU"/>
    </w:rPr>
  </w:style>
  <w:style w:type="table" w:styleId="LightShading-Accent2">
    <w:name w:val="Light Shading Accent 2"/>
    <w:basedOn w:val="TableNormal"/>
    <w:uiPriority w:val="60"/>
    <w:rsid w:val="0001321D"/>
    <w:pPr>
      <w:spacing w:after="0" w:line="240" w:lineRule="auto"/>
    </w:pPr>
    <w:rPr>
      <w:color w:val="712818" w:themeColor="accent2" w:themeShade="BF"/>
    </w:rPr>
    <w:tblPr>
      <w:tblStyleRowBandSize w:val="1"/>
      <w:tblStyleColBandSize w:val="1"/>
      <w:tblBorders>
        <w:top w:val="single" w:sz="8" w:space="0" w:color="983620" w:themeColor="accent2"/>
        <w:bottom w:val="single" w:sz="8" w:space="0" w:color="983620" w:themeColor="accent2"/>
      </w:tblBorders>
    </w:tblPr>
    <w:tblStylePr w:type="firstRow">
      <w:pPr>
        <w:spacing w:before="0" w:after="0" w:line="240" w:lineRule="auto"/>
      </w:pPr>
      <w:rPr>
        <w:b/>
        <w:bCs/>
      </w:rPr>
      <w:tblPr/>
      <w:tcPr>
        <w:tcBorders>
          <w:top w:val="single" w:sz="8" w:space="0" w:color="983620" w:themeColor="accent2"/>
          <w:left w:val="nil"/>
          <w:bottom w:val="single" w:sz="8" w:space="0" w:color="983620" w:themeColor="accent2"/>
          <w:right w:val="nil"/>
          <w:insideH w:val="nil"/>
          <w:insideV w:val="nil"/>
        </w:tcBorders>
      </w:tcPr>
    </w:tblStylePr>
    <w:tblStylePr w:type="lastRow">
      <w:pPr>
        <w:spacing w:before="0" w:after="0" w:line="240" w:lineRule="auto"/>
      </w:pPr>
      <w:rPr>
        <w:b/>
        <w:bCs/>
      </w:rPr>
      <w:tblPr/>
      <w:tcPr>
        <w:tcBorders>
          <w:top w:val="single" w:sz="8" w:space="0" w:color="983620" w:themeColor="accent2"/>
          <w:left w:val="nil"/>
          <w:bottom w:val="single" w:sz="8" w:space="0" w:color="9836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5BC" w:themeFill="accent2" w:themeFillTint="3F"/>
      </w:tcPr>
    </w:tblStylePr>
    <w:tblStylePr w:type="band1Horz">
      <w:tblPr/>
      <w:tcPr>
        <w:tcBorders>
          <w:left w:val="nil"/>
          <w:right w:val="nil"/>
          <w:insideH w:val="nil"/>
          <w:insideV w:val="nil"/>
        </w:tcBorders>
        <w:shd w:val="clear" w:color="auto" w:fill="F1C5BC" w:themeFill="accent2" w:themeFillTint="3F"/>
      </w:tcPr>
    </w:tblStylePr>
  </w:style>
  <w:style w:type="table" w:styleId="LightShading-Accent5">
    <w:name w:val="Light Shading Accent 5"/>
    <w:basedOn w:val="TableNormal"/>
    <w:uiPriority w:val="60"/>
    <w:rsid w:val="0001321D"/>
    <w:pPr>
      <w:spacing w:after="0" w:line="240" w:lineRule="auto"/>
    </w:pPr>
    <w:rPr>
      <w:color w:val="4C5742" w:themeColor="accent5" w:themeShade="BF"/>
    </w:rPr>
    <w:tblPr>
      <w:tblStyleRowBandSize w:val="1"/>
      <w:tblStyleColBandSize w:val="1"/>
      <w:tblBorders>
        <w:top w:val="single" w:sz="8" w:space="0" w:color="667559" w:themeColor="accent5"/>
        <w:bottom w:val="single" w:sz="8" w:space="0" w:color="667559" w:themeColor="accent5"/>
      </w:tblBorders>
    </w:tblPr>
    <w:tblStylePr w:type="firstRow">
      <w:pPr>
        <w:spacing w:before="0" w:after="0" w:line="240" w:lineRule="auto"/>
      </w:pPr>
      <w:rPr>
        <w:b/>
        <w:bCs/>
      </w:rPr>
      <w:tblPr/>
      <w:tcPr>
        <w:tcBorders>
          <w:top w:val="single" w:sz="8" w:space="0" w:color="667559" w:themeColor="accent5"/>
          <w:left w:val="nil"/>
          <w:bottom w:val="single" w:sz="8" w:space="0" w:color="667559" w:themeColor="accent5"/>
          <w:right w:val="nil"/>
          <w:insideH w:val="nil"/>
          <w:insideV w:val="nil"/>
        </w:tcBorders>
      </w:tcPr>
    </w:tblStylePr>
    <w:tblStylePr w:type="lastRow">
      <w:pPr>
        <w:spacing w:before="0" w:after="0" w:line="240" w:lineRule="auto"/>
      </w:pPr>
      <w:rPr>
        <w:b/>
        <w:bCs/>
      </w:rPr>
      <w:tblPr/>
      <w:tcPr>
        <w:tcBorders>
          <w:top w:val="single" w:sz="8" w:space="0" w:color="667559" w:themeColor="accent5"/>
          <w:left w:val="nil"/>
          <w:bottom w:val="single" w:sz="8" w:space="0" w:color="66755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4" w:themeFill="accent5" w:themeFillTint="3F"/>
      </w:tcPr>
    </w:tblStylePr>
    <w:tblStylePr w:type="band1Horz">
      <w:tblPr/>
      <w:tcPr>
        <w:tcBorders>
          <w:left w:val="nil"/>
          <w:right w:val="nil"/>
          <w:insideH w:val="nil"/>
          <w:insideV w:val="nil"/>
        </w:tcBorders>
        <w:shd w:val="clear" w:color="auto" w:fill="D8DED4" w:themeFill="accent5" w:themeFillTint="3F"/>
      </w:tcPr>
    </w:tblStylePr>
  </w:style>
  <w:style w:type="table" w:styleId="LightGrid-Accent5">
    <w:name w:val="Light Grid Accent 5"/>
    <w:basedOn w:val="TableNormal"/>
    <w:uiPriority w:val="62"/>
    <w:rsid w:val="0001321D"/>
    <w:pPr>
      <w:spacing w:after="0" w:line="240" w:lineRule="auto"/>
    </w:pPr>
    <w:tblPr>
      <w:tblStyleRowBandSize w:val="1"/>
      <w:tblStyleColBandSize w:val="1"/>
      <w:tblBorders>
        <w:top w:val="single" w:sz="8" w:space="0" w:color="667559" w:themeColor="accent5"/>
        <w:left w:val="single" w:sz="8" w:space="0" w:color="667559" w:themeColor="accent5"/>
        <w:bottom w:val="single" w:sz="8" w:space="0" w:color="667559" w:themeColor="accent5"/>
        <w:right w:val="single" w:sz="8" w:space="0" w:color="667559" w:themeColor="accent5"/>
        <w:insideH w:val="single" w:sz="8" w:space="0" w:color="667559" w:themeColor="accent5"/>
        <w:insideV w:val="single" w:sz="8" w:space="0" w:color="66755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7559" w:themeColor="accent5"/>
          <w:left w:val="single" w:sz="8" w:space="0" w:color="667559" w:themeColor="accent5"/>
          <w:bottom w:val="single" w:sz="18" w:space="0" w:color="667559" w:themeColor="accent5"/>
          <w:right w:val="single" w:sz="8" w:space="0" w:color="667559" w:themeColor="accent5"/>
          <w:insideH w:val="nil"/>
          <w:insideV w:val="single" w:sz="8" w:space="0" w:color="66755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7559" w:themeColor="accent5"/>
          <w:left w:val="single" w:sz="8" w:space="0" w:color="667559" w:themeColor="accent5"/>
          <w:bottom w:val="single" w:sz="8" w:space="0" w:color="667559" w:themeColor="accent5"/>
          <w:right w:val="single" w:sz="8" w:space="0" w:color="667559" w:themeColor="accent5"/>
          <w:insideH w:val="nil"/>
          <w:insideV w:val="single" w:sz="8" w:space="0" w:color="66755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7559" w:themeColor="accent5"/>
          <w:left w:val="single" w:sz="8" w:space="0" w:color="667559" w:themeColor="accent5"/>
          <w:bottom w:val="single" w:sz="8" w:space="0" w:color="667559" w:themeColor="accent5"/>
          <w:right w:val="single" w:sz="8" w:space="0" w:color="667559" w:themeColor="accent5"/>
        </w:tcBorders>
      </w:tcPr>
    </w:tblStylePr>
    <w:tblStylePr w:type="band1Vert">
      <w:tblPr/>
      <w:tcPr>
        <w:tcBorders>
          <w:top w:val="single" w:sz="8" w:space="0" w:color="667559" w:themeColor="accent5"/>
          <w:left w:val="single" w:sz="8" w:space="0" w:color="667559" w:themeColor="accent5"/>
          <w:bottom w:val="single" w:sz="8" w:space="0" w:color="667559" w:themeColor="accent5"/>
          <w:right w:val="single" w:sz="8" w:space="0" w:color="667559" w:themeColor="accent5"/>
        </w:tcBorders>
        <w:shd w:val="clear" w:color="auto" w:fill="D8DED4" w:themeFill="accent5" w:themeFillTint="3F"/>
      </w:tcPr>
    </w:tblStylePr>
    <w:tblStylePr w:type="band1Horz">
      <w:tblPr/>
      <w:tcPr>
        <w:tcBorders>
          <w:top w:val="single" w:sz="8" w:space="0" w:color="667559" w:themeColor="accent5"/>
          <w:left w:val="single" w:sz="8" w:space="0" w:color="667559" w:themeColor="accent5"/>
          <w:bottom w:val="single" w:sz="8" w:space="0" w:color="667559" w:themeColor="accent5"/>
          <w:right w:val="single" w:sz="8" w:space="0" w:color="667559" w:themeColor="accent5"/>
          <w:insideV w:val="single" w:sz="8" w:space="0" w:color="667559" w:themeColor="accent5"/>
        </w:tcBorders>
        <w:shd w:val="clear" w:color="auto" w:fill="D8DED4" w:themeFill="accent5" w:themeFillTint="3F"/>
      </w:tcPr>
    </w:tblStylePr>
    <w:tblStylePr w:type="band2Horz">
      <w:tblPr/>
      <w:tcPr>
        <w:tcBorders>
          <w:top w:val="single" w:sz="8" w:space="0" w:color="667559" w:themeColor="accent5"/>
          <w:left w:val="single" w:sz="8" w:space="0" w:color="667559" w:themeColor="accent5"/>
          <w:bottom w:val="single" w:sz="8" w:space="0" w:color="667559" w:themeColor="accent5"/>
          <w:right w:val="single" w:sz="8" w:space="0" w:color="667559" w:themeColor="accent5"/>
          <w:insideV w:val="single" w:sz="8" w:space="0" w:color="667559" w:themeColor="accent5"/>
        </w:tcBorders>
      </w:tcPr>
    </w:tblStylePr>
  </w:style>
  <w:style w:type="table" w:styleId="MediumShading1-Accent6">
    <w:name w:val="Medium Shading 1 Accent 6"/>
    <w:basedOn w:val="TableNormal"/>
    <w:uiPriority w:val="63"/>
    <w:rsid w:val="0001321D"/>
    <w:pPr>
      <w:spacing w:after="0" w:line="240" w:lineRule="auto"/>
    </w:pPr>
    <w:tblPr>
      <w:tblStyleRowBandSize w:val="1"/>
      <w:tblStyleColBandSize w:val="1"/>
      <w:tblBorders>
        <w:top w:val="single" w:sz="8"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single" w:sz="8" w:space="0" w:color="CBE0C1" w:themeColor="accent6" w:themeTint="BF"/>
      </w:tblBorders>
    </w:tblPr>
    <w:tblStylePr w:type="firstRow">
      <w:pPr>
        <w:spacing w:before="0" w:after="0" w:line="240" w:lineRule="auto"/>
      </w:pPr>
      <w:rPr>
        <w:b/>
        <w:bCs/>
        <w:color w:val="FFFFFF" w:themeColor="background1"/>
      </w:rPr>
      <w:tblPr/>
      <w:tcPr>
        <w:tcBorders>
          <w:top w:val="single" w:sz="8"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nil"/>
          <w:insideV w:val="nil"/>
        </w:tcBorders>
        <w:shd w:val="clear" w:color="auto" w:fill="BAD6AD" w:themeFill="accent6"/>
      </w:tcPr>
    </w:tblStylePr>
    <w:tblStylePr w:type="lastRow">
      <w:pPr>
        <w:spacing w:before="0" w:after="0" w:line="240" w:lineRule="auto"/>
      </w:pPr>
      <w:rPr>
        <w:b/>
        <w:bCs/>
      </w:rPr>
      <w:tblPr/>
      <w:tcPr>
        <w:tcBorders>
          <w:top w:val="double" w:sz="6" w:space="0" w:color="CBE0C1" w:themeColor="accent6" w:themeTint="BF"/>
          <w:left w:val="single" w:sz="8" w:space="0" w:color="CBE0C1" w:themeColor="accent6" w:themeTint="BF"/>
          <w:bottom w:val="single" w:sz="8" w:space="0" w:color="CBE0C1" w:themeColor="accent6" w:themeTint="BF"/>
          <w:right w:val="single" w:sz="8" w:space="0" w:color="CBE0C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4EA" w:themeFill="accent6" w:themeFillTint="3F"/>
      </w:tcPr>
    </w:tblStylePr>
    <w:tblStylePr w:type="band1Horz">
      <w:tblPr/>
      <w:tcPr>
        <w:tcBorders>
          <w:insideH w:val="nil"/>
          <w:insideV w:val="nil"/>
        </w:tcBorders>
        <w:shd w:val="clear" w:color="auto" w:fill="EDF4EA" w:themeFill="accent6"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1321D"/>
    <w:pPr>
      <w:spacing w:after="0" w:line="240" w:lineRule="auto"/>
    </w:pPr>
    <w:tblPr>
      <w:tblStyleRowBandSize w:val="1"/>
      <w:tblStyleColBandSize w:val="1"/>
      <w:tblBorders>
        <w:top w:val="single" w:sz="8"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single" w:sz="8" w:space="0" w:color="70868F" w:themeColor="accent1" w:themeTint="BF"/>
      </w:tblBorders>
    </w:tblPr>
    <w:tblStylePr w:type="firstRow">
      <w:pPr>
        <w:spacing w:before="0" w:after="0" w:line="240" w:lineRule="auto"/>
      </w:pPr>
      <w:rPr>
        <w:b/>
        <w:bCs/>
        <w:color w:val="FFFFFF" w:themeColor="background1"/>
      </w:rPr>
      <w:tblPr/>
      <w:tcPr>
        <w:tcBorders>
          <w:top w:val="single" w:sz="8"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nil"/>
          <w:insideV w:val="nil"/>
        </w:tcBorders>
        <w:shd w:val="clear" w:color="auto" w:fill="4B5A60" w:themeFill="accent1"/>
      </w:tcPr>
    </w:tblStylePr>
    <w:tblStylePr w:type="lastRow">
      <w:pPr>
        <w:spacing w:before="0" w:after="0" w:line="240" w:lineRule="auto"/>
      </w:pPr>
      <w:rPr>
        <w:b/>
        <w:bCs/>
      </w:rPr>
      <w:tblPr/>
      <w:tcPr>
        <w:tcBorders>
          <w:top w:val="double" w:sz="6" w:space="0" w:color="70868F" w:themeColor="accent1" w:themeTint="BF"/>
          <w:left w:val="single" w:sz="8" w:space="0" w:color="70868F" w:themeColor="accent1" w:themeTint="BF"/>
          <w:bottom w:val="single" w:sz="8" w:space="0" w:color="70868F" w:themeColor="accent1" w:themeTint="BF"/>
          <w:right w:val="single" w:sz="8" w:space="0" w:color="70868F"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D7DA" w:themeFill="accent1" w:themeFillTint="3F"/>
      </w:tcPr>
    </w:tblStylePr>
    <w:tblStylePr w:type="band1Horz">
      <w:tblPr/>
      <w:tcPr>
        <w:tcBorders>
          <w:insideH w:val="nil"/>
          <w:insideV w:val="nil"/>
        </w:tcBorders>
        <w:shd w:val="clear" w:color="auto" w:fill="CFD7DA"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01321D"/>
    <w:pPr>
      <w:spacing w:after="0" w:line="240" w:lineRule="auto"/>
    </w:pPr>
    <w:rPr>
      <w:color w:val="384347" w:themeColor="accent1" w:themeShade="BF"/>
    </w:rPr>
    <w:tblPr>
      <w:tblStyleRowBandSize w:val="1"/>
      <w:tblStyleColBandSize w:val="1"/>
      <w:tblBorders>
        <w:top w:val="single" w:sz="8" w:space="0" w:color="4B5A60" w:themeColor="accent1"/>
        <w:bottom w:val="single" w:sz="8" w:space="0" w:color="4B5A60" w:themeColor="accent1"/>
      </w:tblBorders>
    </w:tblPr>
    <w:tblStylePr w:type="firstRow">
      <w:pPr>
        <w:spacing w:before="0" w:after="0" w:line="240" w:lineRule="auto"/>
      </w:pPr>
      <w:rPr>
        <w:b/>
        <w:bCs/>
      </w:rPr>
      <w:tblPr/>
      <w:tcPr>
        <w:tcBorders>
          <w:top w:val="single" w:sz="8" w:space="0" w:color="4B5A60" w:themeColor="accent1"/>
          <w:left w:val="nil"/>
          <w:bottom w:val="single" w:sz="8" w:space="0" w:color="4B5A60" w:themeColor="accent1"/>
          <w:right w:val="nil"/>
          <w:insideH w:val="nil"/>
          <w:insideV w:val="nil"/>
        </w:tcBorders>
      </w:tcPr>
    </w:tblStylePr>
    <w:tblStylePr w:type="lastRow">
      <w:pPr>
        <w:spacing w:before="0" w:after="0" w:line="240" w:lineRule="auto"/>
      </w:pPr>
      <w:rPr>
        <w:b/>
        <w:bCs/>
      </w:rPr>
      <w:tblPr/>
      <w:tcPr>
        <w:tcBorders>
          <w:top w:val="single" w:sz="8" w:space="0" w:color="4B5A60" w:themeColor="accent1"/>
          <w:left w:val="nil"/>
          <w:bottom w:val="single" w:sz="8" w:space="0" w:color="4B5A6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7DA" w:themeFill="accent1" w:themeFillTint="3F"/>
      </w:tcPr>
    </w:tblStylePr>
    <w:tblStylePr w:type="band1Horz">
      <w:tblPr/>
      <w:tcPr>
        <w:tcBorders>
          <w:left w:val="nil"/>
          <w:right w:val="nil"/>
          <w:insideH w:val="nil"/>
          <w:insideV w:val="nil"/>
        </w:tcBorders>
        <w:shd w:val="clear" w:color="auto" w:fill="CFD7DA" w:themeFill="accent1" w:themeFillTint="3F"/>
      </w:tcPr>
    </w:tblStylePr>
  </w:style>
  <w:style w:type="table" w:styleId="ColorfulList-Accent4">
    <w:name w:val="Colorful List Accent 4"/>
    <w:basedOn w:val="TableNormal"/>
    <w:uiPriority w:val="72"/>
    <w:rsid w:val="009C4D30"/>
    <w:pPr>
      <w:spacing w:after="0" w:line="240" w:lineRule="auto"/>
    </w:pPr>
    <w:rPr>
      <w:color w:val="000000" w:themeColor="text1"/>
    </w:rPr>
    <w:tblPr>
      <w:tblStyleRowBandSize w:val="1"/>
      <w:tblStyleColBandSize w:val="1"/>
    </w:tblPr>
    <w:tcPr>
      <w:shd w:val="clear" w:color="auto" w:fill="F9F6F1" w:themeFill="accent4" w:themeFillTint="19"/>
    </w:tcPr>
    <w:tblStylePr w:type="firstRow">
      <w:rPr>
        <w:b/>
        <w:bCs/>
        <w:color w:val="FFFFFF" w:themeColor="background1"/>
      </w:rPr>
      <w:tblPr/>
      <w:tcPr>
        <w:tcBorders>
          <w:bottom w:val="single" w:sz="12" w:space="0" w:color="FFFFFF" w:themeColor="background1"/>
        </w:tcBorders>
        <w:shd w:val="clear" w:color="auto" w:fill="3F372D" w:themeFill="accent3" w:themeFillShade="CC"/>
      </w:tcPr>
    </w:tblStylePr>
    <w:tblStylePr w:type="lastRow">
      <w:rPr>
        <w:b/>
        <w:bCs/>
        <w:color w:val="3F372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ADD" w:themeFill="accent4" w:themeFillTint="3F"/>
      </w:tcPr>
    </w:tblStylePr>
    <w:tblStylePr w:type="band1Horz">
      <w:tblPr/>
      <w:tcPr>
        <w:shd w:val="clear" w:color="auto" w:fill="F2EEE4" w:themeFill="accent4" w:themeFillTint="33"/>
      </w:tcPr>
    </w:tblStylePr>
  </w:style>
  <w:style w:type="table" w:styleId="ColorfulList-Accent1">
    <w:name w:val="Colorful List Accent 1"/>
    <w:basedOn w:val="TableNormal"/>
    <w:uiPriority w:val="72"/>
    <w:rsid w:val="002F1780"/>
    <w:pPr>
      <w:spacing w:after="0" w:line="240" w:lineRule="auto"/>
    </w:pPr>
    <w:rPr>
      <w:color w:val="000000" w:themeColor="text1"/>
    </w:rPr>
    <w:tblPr>
      <w:tblStyleRowBandSize w:val="1"/>
      <w:tblStyleColBandSize w:val="1"/>
    </w:tblPr>
    <w:tcPr>
      <w:shd w:val="clear" w:color="auto" w:fill="ECEFF0" w:themeFill="accent1" w:themeFillTint="19"/>
    </w:tcPr>
    <w:tblStylePr w:type="firstRow">
      <w:rPr>
        <w:b/>
        <w:bCs/>
        <w:color w:val="FFFFFF" w:themeColor="background1"/>
      </w:rPr>
      <w:tblPr/>
      <w:tcPr>
        <w:tcBorders>
          <w:bottom w:val="single" w:sz="12" w:space="0" w:color="FFFFFF" w:themeColor="background1"/>
        </w:tcBorders>
        <w:shd w:val="clear" w:color="auto" w:fill="792A19" w:themeFill="accent2" w:themeFillShade="CC"/>
      </w:tcPr>
    </w:tblStylePr>
    <w:tblStylePr w:type="lastRow">
      <w:rPr>
        <w:b/>
        <w:bCs/>
        <w:color w:val="792A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7DA" w:themeFill="accent1" w:themeFillTint="3F"/>
      </w:tcPr>
    </w:tblStylePr>
    <w:tblStylePr w:type="band1Horz">
      <w:tblPr/>
      <w:tcPr>
        <w:shd w:val="clear" w:color="auto" w:fill="D8DEE1" w:themeFill="accent1" w:themeFillTint="33"/>
      </w:tcPr>
    </w:tblStylePr>
  </w:style>
  <w:style w:type="table" w:styleId="ColorfulList">
    <w:name w:val="Colorful List"/>
    <w:basedOn w:val="TableNormal"/>
    <w:uiPriority w:val="72"/>
    <w:rsid w:val="002F17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2A19" w:themeFill="accent2" w:themeFillShade="CC"/>
      </w:tcPr>
    </w:tblStylePr>
    <w:tblStylePr w:type="lastRow">
      <w:rPr>
        <w:b/>
        <w:bCs/>
        <w:color w:val="792A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A5635D"/>
    <w:pPr>
      <w:spacing w:after="160" w:line="240" w:lineRule="exact"/>
    </w:pPr>
    <w:rPr>
      <w:rFonts w:ascii="Verdana" w:eastAsia="Times New Roman" w:hAnsi="Verdana" w:cs="Calibri"/>
      <w:sz w:val="20"/>
      <w:szCs w:val="20"/>
      <w:lang w:val="en-US" w:eastAsia="ar-SA"/>
    </w:rPr>
  </w:style>
  <w:style w:type="paragraph" w:customStyle="1" w:styleId="Quadrculamitjana1mfasi21">
    <w:name w:val="Quadrícula mitjana 1: èmfasi 21"/>
    <w:basedOn w:val="Normal"/>
    <w:uiPriority w:val="34"/>
    <w:qFormat/>
    <w:rsid w:val="00A5635D"/>
    <w:pPr>
      <w:suppressAutoHyphens/>
      <w:spacing w:before="200" w:after="0" w:line="312" w:lineRule="auto"/>
      <w:ind w:left="720"/>
      <w:jc w:val="both"/>
    </w:pPr>
    <w:rPr>
      <w:rFonts w:ascii="Swis721 Lt BT" w:eastAsia="Times New Roman" w:hAnsi="Swis721 Lt BT" w:cs="Calibri"/>
      <w:sz w:val="20"/>
      <w:szCs w:val="20"/>
      <w:lang w:val="en-GB" w:eastAsia="ar-SA"/>
    </w:rPr>
  </w:style>
  <w:style w:type="table" w:styleId="MediumList2-Accent3">
    <w:name w:val="Medium List 2 Accent 3"/>
    <w:basedOn w:val="TableNormal"/>
    <w:uiPriority w:val="66"/>
    <w:rsid w:val="007F4E2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4539" w:themeColor="accent3"/>
        <w:left w:val="single" w:sz="8" w:space="0" w:color="504539" w:themeColor="accent3"/>
        <w:bottom w:val="single" w:sz="8" w:space="0" w:color="504539" w:themeColor="accent3"/>
        <w:right w:val="single" w:sz="8" w:space="0" w:color="504539" w:themeColor="accent3"/>
      </w:tblBorders>
    </w:tblPr>
    <w:tblStylePr w:type="firstRow">
      <w:rPr>
        <w:sz w:val="24"/>
        <w:szCs w:val="24"/>
      </w:rPr>
      <w:tblPr/>
      <w:tcPr>
        <w:tcBorders>
          <w:top w:val="nil"/>
          <w:left w:val="nil"/>
          <w:bottom w:val="single" w:sz="24" w:space="0" w:color="504539" w:themeColor="accent3"/>
          <w:right w:val="nil"/>
          <w:insideH w:val="nil"/>
          <w:insideV w:val="nil"/>
        </w:tcBorders>
        <w:shd w:val="clear" w:color="auto" w:fill="FFFFFF" w:themeFill="background1"/>
      </w:tcPr>
    </w:tblStylePr>
    <w:tblStylePr w:type="lastRow">
      <w:tblPr/>
      <w:tcPr>
        <w:tcBorders>
          <w:top w:val="single" w:sz="8" w:space="0" w:color="5045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4539" w:themeColor="accent3"/>
          <w:insideH w:val="nil"/>
          <w:insideV w:val="nil"/>
        </w:tcBorders>
        <w:shd w:val="clear" w:color="auto" w:fill="FFFFFF" w:themeFill="background1"/>
      </w:tcPr>
    </w:tblStylePr>
    <w:tblStylePr w:type="lastCol">
      <w:tblPr/>
      <w:tcPr>
        <w:tcBorders>
          <w:top w:val="nil"/>
          <w:left w:val="single" w:sz="8" w:space="0" w:color="5045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C9" w:themeFill="accent3" w:themeFillTint="3F"/>
      </w:tcPr>
    </w:tblStylePr>
    <w:tblStylePr w:type="band1Horz">
      <w:tblPr/>
      <w:tcPr>
        <w:tcBorders>
          <w:top w:val="nil"/>
          <w:bottom w:val="nil"/>
          <w:insideH w:val="nil"/>
          <w:insideV w:val="nil"/>
        </w:tcBorders>
        <w:shd w:val="clear" w:color="auto" w:fill="D8D1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F4E2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5A60" w:themeColor="accent1"/>
        <w:left w:val="single" w:sz="8" w:space="0" w:color="4B5A60" w:themeColor="accent1"/>
        <w:bottom w:val="single" w:sz="8" w:space="0" w:color="4B5A60" w:themeColor="accent1"/>
        <w:right w:val="single" w:sz="8" w:space="0" w:color="4B5A60" w:themeColor="accent1"/>
      </w:tblBorders>
    </w:tblPr>
    <w:tblStylePr w:type="firstRow">
      <w:rPr>
        <w:sz w:val="24"/>
        <w:szCs w:val="24"/>
      </w:rPr>
      <w:tblPr/>
      <w:tcPr>
        <w:tcBorders>
          <w:top w:val="nil"/>
          <w:left w:val="nil"/>
          <w:bottom w:val="single" w:sz="24" w:space="0" w:color="4B5A60" w:themeColor="accent1"/>
          <w:right w:val="nil"/>
          <w:insideH w:val="nil"/>
          <w:insideV w:val="nil"/>
        </w:tcBorders>
        <w:shd w:val="clear" w:color="auto" w:fill="FFFFFF" w:themeFill="background1"/>
      </w:tcPr>
    </w:tblStylePr>
    <w:tblStylePr w:type="lastRow">
      <w:tblPr/>
      <w:tcPr>
        <w:tcBorders>
          <w:top w:val="single" w:sz="8" w:space="0" w:color="4B5A6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5A60" w:themeColor="accent1"/>
          <w:insideH w:val="nil"/>
          <w:insideV w:val="nil"/>
        </w:tcBorders>
        <w:shd w:val="clear" w:color="auto" w:fill="FFFFFF" w:themeFill="background1"/>
      </w:tcPr>
    </w:tblStylePr>
    <w:tblStylePr w:type="lastCol">
      <w:tblPr/>
      <w:tcPr>
        <w:tcBorders>
          <w:top w:val="nil"/>
          <w:left w:val="single" w:sz="8" w:space="0" w:color="4B5A6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7DA" w:themeFill="accent1" w:themeFillTint="3F"/>
      </w:tcPr>
    </w:tblStylePr>
    <w:tblStylePr w:type="band1Horz">
      <w:tblPr/>
      <w:tcPr>
        <w:tcBorders>
          <w:top w:val="nil"/>
          <w:bottom w:val="nil"/>
          <w:insideH w:val="nil"/>
          <w:insideV w:val="nil"/>
        </w:tcBorders>
        <w:shd w:val="clear" w:color="auto" w:fill="CFD7DA"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1">
    <w:name w:val="st1"/>
    <w:basedOn w:val="DefaultParagraphFont"/>
    <w:rsid w:val="00EF16E1"/>
  </w:style>
  <w:style w:type="paragraph" w:styleId="BodyText">
    <w:name w:val="Body Text"/>
    <w:basedOn w:val="Normal"/>
    <w:link w:val="BodyTextChar"/>
    <w:uiPriority w:val="99"/>
    <w:unhideWhenUsed/>
    <w:rsid w:val="008B456F"/>
    <w:pPr>
      <w:spacing w:after="120"/>
    </w:pPr>
    <w:rPr>
      <w:lang w:val="en-GB"/>
    </w:rPr>
  </w:style>
  <w:style w:type="character" w:customStyle="1" w:styleId="BodyTextChar">
    <w:name w:val="Body Text Char"/>
    <w:basedOn w:val="DefaultParagraphFont"/>
    <w:link w:val="BodyText"/>
    <w:uiPriority w:val="99"/>
    <w:rsid w:val="008B456F"/>
    <w:rPr>
      <w:lang w:val="en-GB"/>
    </w:rPr>
  </w:style>
  <w:style w:type="table" w:styleId="LightShading-Accent3">
    <w:name w:val="Light Shading Accent 3"/>
    <w:basedOn w:val="TableNormal"/>
    <w:uiPriority w:val="60"/>
    <w:rsid w:val="00755E63"/>
    <w:pPr>
      <w:spacing w:after="0" w:line="240" w:lineRule="auto"/>
    </w:pPr>
    <w:rPr>
      <w:color w:val="3B332A" w:themeColor="accent3" w:themeShade="BF"/>
    </w:rPr>
    <w:tblPr>
      <w:tblStyleRowBandSize w:val="1"/>
      <w:tblStyleColBandSize w:val="1"/>
      <w:tblBorders>
        <w:top w:val="single" w:sz="8" w:space="0" w:color="504539" w:themeColor="accent3"/>
        <w:bottom w:val="single" w:sz="8" w:space="0" w:color="504539" w:themeColor="accent3"/>
      </w:tblBorders>
    </w:tblPr>
    <w:tblStylePr w:type="firstRow">
      <w:pPr>
        <w:spacing w:before="0" w:after="0" w:line="240" w:lineRule="auto"/>
      </w:pPr>
      <w:rPr>
        <w:b/>
        <w:bCs/>
      </w:rPr>
      <w:tblPr/>
      <w:tcPr>
        <w:tcBorders>
          <w:top w:val="single" w:sz="8" w:space="0" w:color="504539" w:themeColor="accent3"/>
          <w:left w:val="nil"/>
          <w:bottom w:val="single" w:sz="8" w:space="0" w:color="504539" w:themeColor="accent3"/>
          <w:right w:val="nil"/>
          <w:insideH w:val="nil"/>
          <w:insideV w:val="nil"/>
        </w:tcBorders>
      </w:tcPr>
    </w:tblStylePr>
    <w:tblStylePr w:type="lastRow">
      <w:pPr>
        <w:spacing w:before="0" w:after="0" w:line="240" w:lineRule="auto"/>
      </w:pPr>
      <w:rPr>
        <w:b/>
        <w:bCs/>
      </w:rPr>
      <w:tblPr/>
      <w:tcPr>
        <w:tcBorders>
          <w:top w:val="single" w:sz="8" w:space="0" w:color="504539" w:themeColor="accent3"/>
          <w:left w:val="nil"/>
          <w:bottom w:val="single" w:sz="8" w:space="0" w:color="5045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C9" w:themeFill="accent3" w:themeFillTint="3F"/>
      </w:tcPr>
    </w:tblStylePr>
    <w:tblStylePr w:type="band1Horz">
      <w:tblPr/>
      <w:tcPr>
        <w:tcBorders>
          <w:left w:val="nil"/>
          <w:right w:val="nil"/>
          <w:insideH w:val="nil"/>
          <w:insideV w:val="nil"/>
        </w:tcBorders>
        <w:shd w:val="clear" w:color="auto" w:fill="D8D1C9" w:themeFill="accent3" w:themeFillTint="3F"/>
      </w:tcPr>
    </w:tblStylePr>
  </w:style>
  <w:style w:type="table" w:customStyle="1" w:styleId="TableGrid1">
    <w:name w:val="Table Grid1"/>
    <w:basedOn w:val="TableNormal"/>
    <w:next w:val="TableGrid"/>
    <w:uiPriority w:val="59"/>
    <w:rsid w:val="004007EC"/>
    <w:pPr>
      <w:spacing w:after="0" w:line="240" w:lineRule="auto"/>
    </w:pPr>
    <w:rPr>
      <w:rFonts w:eastAsiaTheme="minorHAns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llista6decolors-mfasi21">
    <w:name w:val="Taula amb llista 6 de colors - Èmfasi 21"/>
    <w:basedOn w:val="TableNormal"/>
    <w:uiPriority w:val="51"/>
    <w:rsid w:val="00B42858"/>
    <w:pPr>
      <w:spacing w:after="0" w:line="240" w:lineRule="auto"/>
    </w:pPr>
    <w:rPr>
      <w:rFonts w:eastAsia="Calibri"/>
      <w:color w:val="C45911"/>
      <w:sz w:val="22"/>
      <w:szCs w:val="22"/>
      <w:lang w:val="ca-ES" w:eastAsia="en-US"/>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HTMLCite">
    <w:name w:val="HTML Cite"/>
    <w:basedOn w:val="DefaultParagraphFont"/>
    <w:uiPriority w:val="99"/>
    <w:semiHidden/>
    <w:unhideWhenUsed/>
    <w:rsid w:val="00160FC9"/>
    <w:rPr>
      <w:i/>
      <w:iCs/>
    </w:rPr>
  </w:style>
  <w:style w:type="table" w:customStyle="1" w:styleId="LightShading-Accent41">
    <w:name w:val="Light Shading - Accent 41"/>
    <w:basedOn w:val="TableNormal"/>
    <w:next w:val="LightShading-Accent4"/>
    <w:uiPriority w:val="60"/>
    <w:rsid w:val="00FF5431"/>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Corpsdutexte">
    <w:name w:val="Corps du texte_"/>
    <w:basedOn w:val="DefaultParagraphFont"/>
    <w:link w:val="Corpsdutexte0"/>
    <w:rsid w:val="00840EE6"/>
    <w:rPr>
      <w:rFonts w:ascii="Arial" w:eastAsia="Arial" w:hAnsi="Arial" w:cs="Arial"/>
      <w:sz w:val="20"/>
      <w:szCs w:val="20"/>
      <w:shd w:val="clear" w:color="auto" w:fill="FFFFFF"/>
    </w:rPr>
  </w:style>
  <w:style w:type="paragraph" w:customStyle="1" w:styleId="Corpsdutexte0">
    <w:name w:val="Corps du texte"/>
    <w:basedOn w:val="Normal"/>
    <w:link w:val="Corpsdutexte"/>
    <w:rsid w:val="00840EE6"/>
    <w:pPr>
      <w:widowControl w:val="0"/>
      <w:shd w:val="clear" w:color="auto" w:fill="FFFFFF"/>
      <w:spacing w:before="180" w:after="60" w:line="283" w:lineRule="exact"/>
      <w:ind w:hanging="440"/>
      <w:jc w:val="both"/>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5990">
      <w:bodyDiv w:val="1"/>
      <w:marLeft w:val="0"/>
      <w:marRight w:val="0"/>
      <w:marTop w:val="0"/>
      <w:marBottom w:val="0"/>
      <w:divBdr>
        <w:top w:val="none" w:sz="0" w:space="0" w:color="auto"/>
        <w:left w:val="none" w:sz="0" w:space="0" w:color="auto"/>
        <w:bottom w:val="none" w:sz="0" w:space="0" w:color="auto"/>
        <w:right w:val="none" w:sz="0" w:space="0" w:color="auto"/>
      </w:divBdr>
      <w:divsChild>
        <w:div w:id="11303197">
          <w:marLeft w:val="965"/>
          <w:marRight w:val="0"/>
          <w:marTop w:val="77"/>
          <w:marBottom w:val="0"/>
          <w:divBdr>
            <w:top w:val="none" w:sz="0" w:space="0" w:color="auto"/>
            <w:left w:val="none" w:sz="0" w:space="0" w:color="auto"/>
            <w:bottom w:val="none" w:sz="0" w:space="0" w:color="auto"/>
            <w:right w:val="none" w:sz="0" w:space="0" w:color="auto"/>
          </w:divBdr>
        </w:div>
      </w:divsChild>
    </w:div>
    <w:div w:id="37559209">
      <w:bodyDiv w:val="1"/>
      <w:marLeft w:val="0"/>
      <w:marRight w:val="0"/>
      <w:marTop w:val="0"/>
      <w:marBottom w:val="0"/>
      <w:divBdr>
        <w:top w:val="none" w:sz="0" w:space="0" w:color="auto"/>
        <w:left w:val="none" w:sz="0" w:space="0" w:color="auto"/>
        <w:bottom w:val="none" w:sz="0" w:space="0" w:color="auto"/>
        <w:right w:val="none" w:sz="0" w:space="0" w:color="auto"/>
      </w:divBdr>
      <w:divsChild>
        <w:div w:id="756094957">
          <w:marLeft w:val="0"/>
          <w:marRight w:val="0"/>
          <w:marTop w:val="0"/>
          <w:marBottom w:val="0"/>
          <w:divBdr>
            <w:top w:val="none" w:sz="0" w:space="0" w:color="auto"/>
            <w:left w:val="none" w:sz="0" w:space="0" w:color="auto"/>
            <w:bottom w:val="none" w:sz="0" w:space="0" w:color="auto"/>
            <w:right w:val="none" w:sz="0" w:space="0" w:color="auto"/>
          </w:divBdr>
        </w:div>
        <w:div w:id="1621108222">
          <w:marLeft w:val="0"/>
          <w:marRight w:val="0"/>
          <w:marTop w:val="0"/>
          <w:marBottom w:val="0"/>
          <w:divBdr>
            <w:top w:val="none" w:sz="0" w:space="0" w:color="auto"/>
            <w:left w:val="none" w:sz="0" w:space="0" w:color="auto"/>
            <w:bottom w:val="none" w:sz="0" w:space="0" w:color="auto"/>
            <w:right w:val="none" w:sz="0" w:space="0" w:color="auto"/>
          </w:divBdr>
        </w:div>
      </w:divsChild>
    </w:div>
    <w:div w:id="67072016">
      <w:bodyDiv w:val="1"/>
      <w:marLeft w:val="0"/>
      <w:marRight w:val="0"/>
      <w:marTop w:val="0"/>
      <w:marBottom w:val="0"/>
      <w:divBdr>
        <w:top w:val="none" w:sz="0" w:space="0" w:color="auto"/>
        <w:left w:val="none" w:sz="0" w:space="0" w:color="auto"/>
        <w:bottom w:val="none" w:sz="0" w:space="0" w:color="auto"/>
        <w:right w:val="none" w:sz="0" w:space="0" w:color="auto"/>
      </w:divBdr>
    </w:div>
    <w:div w:id="76364396">
      <w:bodyDiv w:val="1"/>
      <w:marLeft w:val="0"/>
      <w:marRight w:val="0"/>
      <w:marTop w:val="0"/>
      <w:marBottom w:val="0"/>
      <w:divBdr>
        <w:top w:val="none" w:sz="0" w:space="0" w:color="auto"/>
        <w:left w:val="none" w:sz="0" w:space="0" w:color="auto"/>
        <w:bottom w:val="none" w:sz="0" w:space="0" w:color="auto"/>
        <w:right w:val="none" w:sz="0" w:space="0" w:color="auto"/>
      </w:divBdr>
    </w:div>
    <w:div w:id="102306508">
      <w:bodyDiv w:val="1"/>
      <w:marLeft w:val="0"/>
      <w:marRight w:val="0"/>
      <w:marTop w:val="0"/>
      <w:marBottom w:val="0"/>
      <w:divBdr>
        <w:top w:val="none" w:sz="0" w:space="0" w:color="auto"/>
        <w:left w:val="none" w:sz="0" w:space="0" w:color="auto"/>
        <w:bottom w:val="none" w:sz="0" w:space="0" w:color="auto"/>
        <w:right w:val="none" w:sz="0" w:space="0" w:color="auto"/>
      </w:divBdr>
    </w:div>
    <w:div w:id="111827451">
      <w:bodyDiv w:val="1"/>
      <w:marLeft w:val="0"/>
      <w:marRight w:val="0"/>
      <w:marTop w:val="0"/>
      <w:marBottom w:val="0"/>
      <w:divBdr>
        <w:top w:val="none" w:sz="0" w:space="0" w:color="auto"/>
        <w:left w:val="none" w:sz="0" w:space="0" w:color="auto"/>
        <w:bottom w:val="none" w:sz="0" w:space="0" w:color="auto"/>
        <w:right w:val="none" w:sz="0" w:space="0" w:color="auto"/>
      </w:divBdr>
    </w:div>
    <w:div w:id="119543335">
      <w:bodyDiv w:val="1"/>
      <w:marLeft w:val="0"/>
      <w:marRight w:val="0"/>
      <w:marTop w:val="0"/>
      <w:marBottom w:val="0"/>
      <w:divBdr>
        <w:top w:val="none" w:sz="0" w:space="0" w:color="auto"/>
        <w:left w:val="none" w:sz="0" w:space="0" w:color="auto"/>
        <w:bottom w:val="none" w:sz="0" w:space="0" w:color="auto"/>
        <w:right w:val="none" w:sz="0" w:space="0" w:color="auto"/>
      </w:divBdr>
      <w:divsChild>
        <w:div w:id="154031258">
          <w:marLeft w:val="0"/>
          <w:marRight w:val="0"/>
          <w:marTop w:val="0"/>
          <w:marBottom w:val="0"/>
          <w:divBdr>
            <w:top w:val="none" w:sz="0" w:space="0" w:color="auto"/>
            <w:left w:val="none" w:sz="0" w:space="0" w:color="auto"/>
            <w:bottom w:val="none" w:sz="0" w:space="0" w:color="auto"/>
            <w:right w:val="none" w:sz="0" w:space="0" w:color="auto"/>
          </w:divBdr>
        </w:div>
        <w:div w:id="282277013">
          <w:marLeft w:val="0"/>
          <w:marRight w:val="0"/>
          <w:marTop w:val="0"/>
          <w:marBottom w:val="0"/>
          <w:divBdr>
            <w:top w:val="none" w:sz="0" w:space="0" w:color="auto"/>
            <w:left w:val="none" w:sz="0" w:space="0" w:color="auto"/>
            <w:bottom w:val="none" w:sz="0" w:space="0" w:color="auto"/>
            <w:right w:val="none" w:sz="0" w:space="0" w:color="auto"/>
          </w:divBdr>
        </w:div>
        <w:div w:id="677929069">
          <w:marLeft w:val="0"/>
          <w:marRight w:val="0"/>
          <w:marTop w:val="0"/>
          <w:marBottom w:val="0"/>
          <w:divBdr>
            <w:top w:val="none" w:sz="0" w:space="0" w:color="auto"/>
            <w:left w:val="none" w:sz="0" w:space="0" w:color="auto"/>
            <w:bottom w:val="none" w:sz="0" w:space="0" w:color="auto"/>
            <w:right w:val="none" w:sz="0" w:space="0" w:color="auto"/>
          </w:divBdr>
        </w:div>
        <w:div w:id="778912938">
          <w:marLeft w:val="0"/>
          <w:marRight w:val="0"/>
          <w:marTop w:val="0"/>
          <w:marBottom w:val="0"/>
          <w:divBdr>
            <w:top w:val="none" w:sz="0" w:space="0" w:color="auto"/>
            <w:left w:val="none" w:sz="0" w:space="0" w:color="auto"/>
            <w:bottom w:val="none" w:sz="0" w:space="0" w:color="auto"/>
            <w:right w:val="none" w:sz="0" w:space="0" w:color="auto"/>
          </w:divBdr>
        </w:div>
        <w:div w:id="1013610856">
          <w:marLeft w:val="0"/>
          <w:marRight w:val="0"/>
          <w:marTop w:val="0"/>
          <w:marBottom w:val="0"/>
          <w:divBdr>
            <w:top w:val="none" w:sz="0" w:space="0" w:color="auto"/>
            <w:left w:val="none" w:sz="0" w:space="0" w:color="auto"/>
            <w:bottom w:val="none" w:sz="0" w:space="0" w:color="auto"/>
            <w:right w:val="none" w:sz="0" w:space="0" w:color="auto"/>
          </w:divBdr>
        </w:div>
        <w:div w:id="1023824325">
          <w:marLeft w:val="0"/>
          <w:marRight w:val="0"/>
          <w:marTop w:val="0"/>
          <w:marBottom w:val="0"/>
          <w:divBdr>
            <w:top w:val="none" w:sz="0" w:space="0" w:color="auto"/>
            <w:left w:val="none" w:sz="0" w:space="0" w:color="auto"/>
            <w:bottom w:val="none" w:sz="0" w:space="0" w:color="auto"/>
            <w:right w:val="none" w:sz="0" w:space="0" w:color="auto"/>
          </w:divBdr>
        </w:div>
        <w:div w:id="1145197988">
          <w:marLeft w:val="0"/>
          <w:marRight w:val="0"/>
          <w:marTop w:val="0"/>
          <w:marBottom w:val="0"/>
          <w:divBdr>
            <w:top w:val="none" w:sz="0" w:space="0" w:color="auto"/>
            <w:left w:val="none" w:sz="0" w:space="0" w:color="auto"/>
            <w:bottom w:val="none" w:sz="0" w:space="0" w:color="auto"/>
            <w:right w:val="none" w:sz="0" w:space="0" w:color="auto"/>
          </w:divBdr>
        </w:div>
        <w:div w:id="1558931114">
          <w:marLeft w:val="0"/>
          <w:marRight w:val="0"/>
          <w:marTop w:val="0"/>
          <w:marBottom w:val="0"/>
          <w:divBdr>
            <w:top w:val="none" w:sz="0" w:space="0" w:color="auto"/>
            <w:left w:val="none" w:sz="0" w:space="0" w:color="auto"/>
            <w:bottom w:val="none" w:sz="0" w:space="0" w:color="auto"/>
            <w:right w:val="none" w:sz="0" w:space="0" w:color="auto"/>
          </w:divBdr>
        </w:div>
        <w:div w:id="1662007775">
          <w:marLeft w:val="0"/>
          <w:marRight w:val="0"/>
          <w:marTop w:val="0"/>
          <w:marBottom w:val="0"/>
          <w:divBdr>
            <w:top w:val="none" w:sz="0" w:space="0" w:color="auto"/>
            <w:left w:val="none" w:sz="0" w:space="0" w:color="auto"/>
            <w:bottom w:val="none" w:sz="0" w:space="0" w:color="auto"/>
            <w:right w:val="none" w:sz="0" w:space="0" w:color="auto"/>
          </w:divBdr>
        </w:div>
      </w:divsChild>
    </w:div>
    <w:div w:id="132480446">
      <w:bodyDiv w:val="1"/>
      <w:marLeft w:val="0"/>
      <w:marRight w:val="0"/>
      <w:marTop w:val="0"/>
      <w:marBottom w:val="0"/>
      <w:divBdr>
        <w:top w:val="none" w:sz="0" w:space="0" w:color="auto"/>
        <w:left w:val="none" w:sz="0" w:space="0" w:color="auto"/>
        <w:bottom w:val="none" w:sz="0" w:space="0" w:color="auto"/>
        <w:right w:val="none" w:sz="0" w:space="0" w:color="auto"/>
      </w:divBdr>
    </w:div>
    <w:div w:id="142620546">
      <w:bodyDiv w:val="1"/>
      <w:marLeft w:val="0"/>
      <w:marRight w:val="0"/>
      <w:marTop w:val="0"/>
      <w:marBottom w:val="0"/>
      <w:divBdr>
        <w:top w:val="none" w:sz="0" w:space="0" w:color="auto"/>
        <w:left w:val="none" w:sz="0" w:space="0" w:color="auto"/>
        <w:bottom w:val="none" w:sz="0" w:space="0" w:color="auto"/>
        <w:right w:val="none" w:sz="0" w:space="0" w:color="auto"/>
      </w:divBdr>
    </w:div>
    <w:div w:id="156651303">
      <w:bodyDiv w:val="1"/>
      <w:marLeft w:val="0"/>
      <w:marRight w:val="0"/>
      <w:marTop w:val="0"/>
      <w:marBottom w:val="0"/>
      <w:divBdr>
        <w:top w:val="none" w:sz="0" w:space="0" w:color="auto"/>
        <w:left w:val="none" w:sz="0" w:space="0" w:color="auto"/>
        <w:bottom w:val="none" w:sz="0" w:space="0" w:color="auto"/>
        <w:right w:val="none" w:sz="0" w:space="0" w:color="auto"/>
      </w:divBdr>
    </w:div>
    <w:div w:id="174537219">
      <w:bodyDiv w:val="1"/>
      <w:marLeft w:val="0"/>
      <w:marRight w:val="0"/>
      <w:marTop w:val="0"/>
      <w:marBottom w:val="0"/>
      <w:divBdr>
        <w:top w:val="none" w:sz="0" w:space="0" w:color="auto"/>
        <w:left w:val="none" w:sz="0" w:space="0" w:color="auto"/>
        <w:bottom w:val="none" w:sz="0" w:space="0" w:color="auto"/>
        <w:right w:val="none" w:sz="0" w:space="0" w:color="auto"/>
      </w:divBdr>
    </w:div>
    <w:div w:id="179323171">
      <w:bodyDiv w:val="1"/>
      <w:marLeft w:val="0"/>
      <w:marRight w:val="0"/>
      <w:marTop w:val="0"/>
      <w:marBottom w:val="0"/>
      <w:divBdr>
        <w:top w:val="none" w:sz="0" w:space="0" w:color="auto"/>
        <w:left w:val="none" w:sz="0" w:space="0" w:color="auto"/>
        <w:bottom w:val="none" w:sz="0" w:space="0" w:color="auto"/>
        <w:right w:val="none" w:sz="0" w:space="0" w:color="auto"/>
      </w:divBdr>
      <w:divsChild>
        <w:div w:id="195234617">
          <w:marLeft w:val="864"/>
          <w:marRight w:val="0"/>
          <w:marTop w:val="240"/>
          <w:marBottom w:val="0"/>
          <w:divBdr>
            <w:top w:val="none" w:sz="0" w:space="0" w:color="auto"/>
            <w:left w:val="none" w:sz="0" w:space="0" w:color="auto"/>
            <w:bottom w:val="none" w:sz="0" w:space="0" w:color="auto"/>
            <w:right w:val="none" w:sz="0" w:space="0" w:color="auto"/>
          </w:divBdr>
        </w:div>
        <w:div w:id="216867321">
          <w:marLeft w:val="864"/>
          <w:marRight w:val="0"/>
          <w:marTop w:val="240"/>
          <w:marBottom w:val="0"/>
          <w:divBdr>
            <w:top w:val="none" w:sz="0" w:space="0" w:color="auto"/>
            <w:left w:val="none" w:sz="0" w:space="0" w:color="auto"/>
            <w:bottom w:val="none" w:sz="0" w:space="0" w:color="auto"/>
            <w:right w:val="none" w:sz="0" w:space="0" w:color="auto"/>
          </w:divBdr>
        </w:div>
        <w:div w:id="574783387">
          <w:marLeft w:val="864"/>
          <w:marRight w:val="0"/>
          <w:marTop w:val="240"/>
          <w:marBottom w:val="0"/>
          <w:divBdr>
            <w:top w:val="none" w:sz="0" w:space="0" w:color="auto"/>
            <w:left w:val="none" w:sz="0" w:space="0" w:color="auto"/>
            <w:bottom w:val="none" w:sz="0" w:space="0" w:color="auto"/>
            <w:right w:val="none" w:sz="0" w:space="0" w:color="auto"/>
          </w:divBdr>
        </w:div>
        <w:div w:id="805660603">
          <w:marLeft w:val="864"/>
          <w:marRight w:val="0"/>
          <w:marTop w:val="240"/>
          <w:marBottom w:val="0"/>
          <w:divBdr>
            <w:top w:val="none" w:sz="0" w:space="0" w:color="auto"/>
            <w:left w:val="none" w:sz="0" w:space="0" w:color="auto"/>
            <w:bottom w:val="none" w:sz="0" w:space="0" w:color="auto"/>
            <w:right w:val="none" w:sz="0" w:space="0" w:color="auto"/>
          </w:divBdr>
        </w:div>
        <w:div w:id="914827630">
          <w:marLeft w:val="864"/>
          <w:marRight w:val="0"/>
          <w:marTop w:val="240"/>
          <w:marBottom w:val="0"/>
          <w:divBdr>
            <w:top w:val="none" w:sz="0" w:space="0" w:color="auto"/>
            <w:left w:val="none" w:sz="0" w:space="0" w:color="auto"/>
            <w:bottom w:val="none" w:sz="0" w:space="0" w:color="auto"/>
            <w:right w:val="none" w:sz="0" w:space="0" w:color="auto"/>
          </w:divBdr>
        </w:div>
        <w:div w:id="1110197755">
          <w:marLeft w:val="864"/>
          <w:marRight w:val="0"/>
          <w:marTop w:val="240"/>
          <w:marBottom w:val="0"/>
          <w:divBdr>
            <w:top w:val="none" w:sz="0" w:space="0" w:color="auto"/>
            <w:left w:val="none" w:sz="0" w:space="0" w:color="auto"/>
            <w:bottom w:val="none" w:sz="0" w:space="0" w:color="auto"/>
            <w:right w:val="none" w:sz="0" w:space="0" w:color="auto"/>
          </w:divBdr>
        </w:div>
      </w:divsChild>
    </w:div>
    <w:div w:id="259720718">
      <w:bodyDiv w:val="1"/>
      <w:marLeft w:val="0"/>
      <w:marRight w:val="0"/>
      <w:marTop w:val="0"/>
      <w:marBottom w:val="0"/>
      <w:divBdr>
        <w:top w:val="none" w:sz="0" w:space="0" w:color="auto"/>
        <w:left w:val="none" w:sz="0" w:space="0" w:color="auto"/>
        <w:bottom w:val="none" w:sz="0" w:space="0" w:color="auto"/>
        <w:right w:val="none" w:sz="0" w:space="0" w:color="auto"/>
      </w:divBdr>
    </w:div>
    <w:div w:id="264656408">
      <w:bodyDiv w:val="1"/>
      <w:marLeft w:val="0"/>
      <w:marRight w:val="0"/>
      <w:marTop w:val="0"/>
      <w:marBottom w:val="0"/>
      <w:divBdr>
        <w:top w:val="none" w:sz="0" w:space="0" w:color="auto"/>
        <w:left w:val="none" w:sz="0" w:space="0" w:color="auto"/>
        <w:bottom w:val="none" w:sz="0" w:space="0" w:color="auto"/>
        <w:right w:val="none" w:sz="0" w:space="0" w:color="auto"/>
      </w:divBdr>
    </w:div>
    <w:div w:id="271716769">
      <w:bodyDiv w:val="1"/>
      <w:marLeft w:val="0"/>
      <w:marRight w:val="0"/>
      <w:marTop w:val="0"/>
      <w:marBottom w:val="0"/>
      <w:divBdr>
        <w:top w:val="none" w:sz="0" w:space="0" w:color="auto"/>
        <w:left w:val="none" w:sz="0" w:space="0" w:color="auto"/>
        <w:bottom w:val="none" w:sz="0" w:space="0" w:color="auto"/>
        <w:right w:val="none" w:sz="0" w:space="0" w:color="auto"/>
      </w:divBdr>
    </w:div>
    <w:div w:id="275450845">
      <w:bodyDiv w:val="1"/>
      <w:marLeft w:val="0"/>
      <w:marRight w:val="0"/>
      <w:marTop w:val="0"/>
      <w:marBottom w:val="0"/>
      <w:divBdr>
        <w:top w:val="none" w:sz="0" w:space="0" w:color="auto"/>
        <w:left w:val="none" w:sz="0" w:space="0" w:color="auto"/>
        <w:bottom w:val="none" w:sz="0" w:space="0" w:color="auto"/>
        <w:right w:val="none" w:sz="0" w:space="0" w:color="auto"/>
      </w:divBdr>
    </w:div>
    <w:div w:id="275992650">
      <w:bodyDiv w:val="1"/>
      <w:marLeft w:val="0"/>
      <w:marRight w:val="0"/>
      <w:marTop w:val="0"/>
      <w:marBottom w:val="0"/>
      <w:divBdr>
        <w:top w:val="none" w:sz="0" w:space="0" w:color="auto"/>
        <w:left w:val="none" w:sz="0" w:space="0" w:color="auto"/>
        <w:bottom w:val="none" w:sz="0" w:space="0" w:color="auto"/>
        <w:right w:val="none" w:sz="0" w:space="0" w:color="auto"/>
      </w:divBdr>
      <w:divsChild>
        <w:div w:id="173804585">
          <w:marLeft w:val="0"/>
          <w:marRight w:val="0"/>
          <w:marTop w:val="0"/>
          <w:marBottom w:val="0"/>
          <w:divBdr>
            <w:top w:val="none" w:sz="0" w:space="0" w:color="auto"/>
            <w:left w:val="none" w:sz="0" w:space="0" w:color="auto"/>
            <w:bottom w:val="none" w:sz="0" w:space="0" w:color="auto"/>
            <w:right w:val="none" w:sz="0" w:space="0" w:color="auto"/>
          </w:divBdr>
        </w:div>
        <w:div w:id="651717730">
          <w:marLeft w:val="0"/>
          <w:marRight w:val="0"/>
          <w:marTop w:val="0"/>
          <w:marBottom w:val="0"/>
          <w:divBdr>
            <w:top w:val="none" w:sz="0" w:space="0" w:color="auto"/>
            <w:left w:val="none" w:sz="0" w:space="0" w:color="auto"/>
            <w:bottom w:val="none" w:sz="0" w:space="0" w:color="auto"/>
            <w:right w:val="none" w:sz="0" w:space="0" w:color="auto"/>
          </w:divBdr>
        </w:div>
      </w:divsChild>
    </w:div>
    <w:div w:id="293407958">
      <w:bodyDiv w:val="1"/>
      <w:marLeft w:val="0"/>
      <w:marRight w:val="0"/>
      <w:marTop w:val="0"/>
      <w:marBottom w:val="0"/>
      <w:divBdr>
        <w:top w:val="none" w:sz="0" w:space="0" w:color="auto"/>
        <w:left w:val="none" w:sz="0" w:space="0" w:color="auto"/>
        <w:bottom w:val="none" w:sz="0" w:space="0" w:color="auto"/>
        <w:right w:val="none" w:sz="0" w:space="0" w:color="auto"/>
      </w:divBdr>
      <w:divsChild>
        <w:div w:id="1376656953">
          <w:marLeft w:val="418"/>
          <w:marRight w:val="0"/>
          <w:marTop w:val="120"/>
          <w:marBottom w:val="0"/>
          <w:divBdr>
            <w:top w:val="none" w:sz="0" w:space="0" w:color="auto"/>
            <w:left w:val="none" w:sz="0" w:space="0" w:color="auto"/>
            <w:bottom w:val="none" w:sz="0" w:space="0" w:color="auto"/>
            <w:right w:val="none" w:sz="0" w:space="0" w:color="auto"/>
          </w:divBdr>
        </w:div>
      </w:divsChild>
    </w:div>
    <w:div w:id="320038591">
      <w:bodyDiv w:val="1"/>
      <w:marLeft w:val="0"/>
      <w:marRight w:val="0"/>
      <w:marTop w:val="0"/>
      <w:marBottom w:val="0"/>
      <w:divBdr>
        <w:top w:val="none" w:sz="0" w:space="0" w:color="auto"/>
        <w:left w:val="none" w:sz="0" w:space="0" w:color="auto"/>
        <w:bottom w:val="none" w:sz="0" w:space="0" w:color="auto"/>
        <w:right w:val="none" w:sz="0" w:space="0" w:color="auto"/>
      </w:divBdr>
    </w:div>
    <w:div w:id="322509517">
      <w:bodyDiv w:val="1"/>
      <w:marLeft w:val="0"/>
      <w:marRight w:val="0"/>
      <w:marTop w:val="0"/>
      <w:marBottom w:val="0"/>
      <w:divBdr>
        <w:top w:val="none" w:sz="0" w:space="0" w:color="auto"/>
        <w:left w:val="none" w:sz="0" w:space="0" w:color="auto"/>
        <w:bottom w:val="none" w:sz="0" w:space="0" w:color="auto"/>
        <w:right w:val="none" w:sz="0" w:space="0" w:color="auto"/>
      </w:divBdr>
    </w:div>
    <w:div w:id="330528100">
      <w:bodyDiv w:val="1"/>
      <w:marLeft w:val="0"/>
      <w:marRight w:val="0"/>
      <w:marTop w:val="0"/>
      <w:marBottom w:val="0"/>
      <w:divBdr>
        <w:top w:val="none" w:sz="0" w:space="0" w:color="auto"/>
        <w:left w:val="none" w:sz="0" w:space="0" w:color="auto"/>
        <w:bottom w:val="none" w:sz="0" w:space="0" w:color="auto"/>
        <w:right w:val="none" w:sz="0" w:space="0" w:color="auto"/>
      </w:divBdr>
    </w:div>
    <w:div w:id="345837490">
      <w:bodyDiv w:val="1"/>
      <w:marLeft w:val="0"/>
      <w:marRight w:val="0"/>
      <w:marTop w:val="0"/>
      <w:marBottom w:val="0"/>
      <w:divBdr>
        <w:top w:val="none" w:sz="0" w:space="0" w:color="auto"/>
        <w:left w:val="none" w:sz="0" w:space="0" w:color="auto"/>
        <w:bottom w:val="none" w:sz="0" w:space="0" w:color="auto"/>
        <w:right w:val="none" w:sz="0" w:space="0" w:color="auto"/>
      </w:divBdr>
    </w:div>
    <w:div w:id="350692510">
      <w:bodyDiv w:val="1"/>
      <w:marLeft w:val="0"/>
      <w:marRight w:val="0"/>
      <w:marTop w:val="0"/>
      <w:marBottom w:val="0"/>
      <w:divBdr>
        <w:top w:val="none" w:sz="0" w:space="0" w:color="auto"/>
        <w:left w:val="none" w:sz="0" w:space="0" w:color="auto"/>
        <w:bottom w:val="none" w:sz="0" w:space="0" w:color="auto"/>
        <w:right w:val="none" w:sz="0" w:space="0" w:color="auto"/>
      </w:divBdr>
    </w:div>
    <w:div w:id="352851507">
      <w:bodyDiv w:val="1"/>
      <w:marLeft w:val="0"/>
      <w:marRight w:val="0"/>
      <w:marTop w:val="0"/>
      <w:marBottom w:val="0"/>
      <w:divBdr>
        <w:top w:val="none" w:sz="0" w:space="0" w:color="auto"/>
        <w:left w:val="none" w:sz="0" w:space="0" w:color="auto"/>
        <w:bottom w:val="none" w:sz="0" w:space="0" w:color="auto"/>
        <w:right w:val="none" w:sz="0" w:space="0" w:color="auto"/>
      </w:divBdr>
      <w:divsChild>
        <w:div w:id="290210067">
          <w:marLeft w:val="547"/>
          <w:marRight w:val="0"/>
          <w:marTop w:val="0"/>
          <w:marBottom w:val="0"/>
          <w:divBdr>
            <w:top w:val="none" w:sz="0" w:space="0" w:color="auto"/>
            <w:left w:val="none" w:sz="0" w:space="0" w:color="auto"/>
            <w:bottom w:val="none" w:sz="0" w:space="0" w:color="auto"/>
            <w:right w:val="none" w:sz="0" w:space="0" w:color="auto"/>
          </w:divBdr>
        </w:div>
      </w:divsChild>
    </w:div>
    <w:div w:id="360589749">
      <w:bodyDiv w:val="1"/>
      <w:marLeft w:val="0"/>
      <w:marRight w:val="0"/>
      <w:marTop w:val="0"/>
      <w:marBottom w:val="0"/>
      <w:divBdr>
        <w:top w:val="none" w:sz="0" w:space="0" w:color="auto"/>
        <w:left w:val="none" w:sz="0" w:space="0" w:color="auto"/>
        <w:bottom w:val="none" w:sz="0" w:space="0" w:color="auto"/>
        <w:right w:val="none" w:sz="0" w:space="0" w:color="auto"/>
      </w:divBdr>
    </w:div>
    <w:div w:id="361588360">
      <w:bodyDiv w:val="1"/>
      <w:marLeft w:val="0"/>
      <w:marRight w:val="0"/>
      <w:marTop w:val="0"/>
      <w:marBottom w:val="0"/>
      <w:divBdr>
        <w:top w:val="none" w:sz="0" w:space="0" w:color="auto"/>
        <w:left w:val="none" w:sz="0" w:space="0" w:color="auto"/>
        <w:bottom w:val="none" w:sz="0" w:space="0" w:color="auto"/>
        <w:right w:val="none" w:sz="0" w:space="0" w:color="auto"/>
      </w:divBdr>
      <w:divsChild>
        <w:div w:id="391343836">
          <w:marLeft w:val="965"/>
          <w:marRight w:val="0"/>
          <w:marTop w:val="77"/>
          <w:marBottom w:val="0"/>
          <w:divBdr>
            <w:top w:val="none" w:sz="0" w:space="0" w:color="auto"/>
            <w:left w:val="none" w:sz="0" w:space="0" w:color="auto"/>
            <w:bottom w:val="none" w:sz="0" w:space="0" w:color="auto"/>
            <w:right w:val="none" w:sz="0" w:space="0" w:color="auto"/>
          </w:divBdr>
        </w:div>
      </w:divsChild>
    </w:div>
    <w:div w:id="361635703">
      <w:bodyDiv w:val="1"/>
      <w:marLeft w:val="0"/>
      <w:marRight w:val="0"/>
      <w:marTop w:val="0"/>
      <w:marBottom w:val="0"/>
      <w:divBdr>
        <w:top w:val="none" w:sz="0" w:space="0" w:color="auto"/>
        <w:left w:val="none" w:sz="0" w:space="0" w:color="auto"/>
        <w:bottom w:val="none" w:sz="0" w:space="0" w:color="auto"/>
        <w:right w:val="none" w:sz="0" w:space="0" w:color="auto"/>
      </w:divBdr>
      <w:divsChild>
        <w:div w:id="184901192">
          <w:marLeft w:val="0"/>
          <w:marRight w:val="0"/>
          <w:marTop w:val="0"/>
          <w:marBottom w:val="0"/>
          <w:divBdr>
            <w:top w:val="none" w:sz="0" w:space="0" w:color="auto"/>
            <w:left w:val="none" w:sz="0" w:space="0" w:color="auto"/>
            <w:bottom w:val="none" w:sz="0" w:space="0" w:color="auto"/>
            <w:right w:val="none" w:sz="0" w:space="0" w:color="auto"/>
          </w:divBdr>
        </w:div>
        <w:div w:id="198713273">
          <w:marLeft w:val="0"/>
          <w:marRight w:val="0"/>
          <w:marTop w:val="0"/>
          <w:marBottom w:val="0"/>
          <w:divBdr>
            <w:top w:val="none" w:sz="0" w:space="0" w:color="auto"/>
            <w:left w:val="none" w:sz="0" w:space="0" w:color="auto"/>
            <w:bottom w:val="none" w:sz="0" w:space="0" w:color="auto"/>
            <w:right w:val="none" w:sz="0" w:space="0" w:color="auto"/>
          </w:divBdr>
        </w:div>
        <w:div w:id="212540670">
          <w:marLeft w:val="0"/>
          <w:marRight w:val="0"/>
          <w:marTop w:val="0"/>
          <w:marBottom w:val="0"/>
          <w:divBdr>
            <w:top w:val="none" w:sz="0" w:space="0" w:color="auto"/>
            <w:left w:val="none" w:sz="0" w:space="0" w:color="auto"/>
            <w:bottom w:val="none" w:sz="0" w:space="0" w:color="auto"/>
            <w:right w:val="none" w:sz="0" w:space="0" w:color="auto"/>
          </w:divBdr>
        </w:div>
        <w:div w:id="251548240">
          <w:marLeft w:val="0"/>
          <w:marRight w:val="0"/>
          <w:marTop w:val="0"/>
          <w:marBottom w:val="0"/>
          <w:divBdr>
            <w:top w:val="none" w:sz="0" w:space="0" w:color="auto"/>
            <w:left w:val="none" w:sz="0" w:space="0" w:color="auto"/>
            <w:bottom w:val="none" w:sz="0" w:space="0" w:color="auto"/>
            <w:right w:val="none" w:sz="0" w:space="0" w:color="auto"/>
          </w:divBdr>
        </w:div>
        <w:div w:id="561212792">
          <w:marLeft w:val="0"/>
          <w:marRight w:val="0"/>
          <w:marTop w:val="0"/>
          <w:marBottom w:val="0"/>
          <w:divBdr>
            <w:top w:val="none" w:sz="0" w:space="0" w:color="auto"/>
            <w:left w:val="none" w:sz="0" w:space="0" w:color="auto"/>
            <w:bottom w:val="none" w:sz="0" w:space="0" w:color="auto"/>
            <w:right w:val="none" w:sz="0" w:space="0" w:color="auto"/>
          </w:divBdr>
        </w:div>
        <w:div w:id="1206404384">
          <w:marLeft w:val="0"/>
          <w:marRight w:val="0"/>
          <w:marTop w:val="0"/>
          <w:marBottom w:val="0"/>
          <w:divBdr>
            <w:top w:val="none" w:sz="0" w:space="0" w:color="auto"/>
            <w:left w:val="none" w:sz="0" w:space="0" w:color="auto"/>
            <w:bottom w:val="none" w:sz="0" w:space="0" w:color="auto"/>
            <w:right w:val="none" w:sz="0" w:space="0" w:color="auto"/>
          </w:divBdr>
        </w:div>
        <w:div w:id="1207908322">
          <w:marLeft w:val="0"/>
          <w:marRight w:val="0"/>
          <w:marTop w:val="0"/>
          <w:marBottom w:val="0"/>
          <w:divBdr>
            <w:top w:val="none" w:sz="0" w:space="0" w:color="auto"/>
            <w:left w:val="none" w:sz="0" w:space="0" w:color="auto"/>
            <w:bottom w:val="none" w:sz="0" w:space="0" w:color="auto"/>
            <w:right w:val="none" w:sz="0" w:space="0" w:color="auto"/>
          </w:divBdr>
        </w:div>
        <w:div w:id="1555316448">
          <w:marLeft w:val="0"/>
          <w:marRight w:val="0"/>
          <w:marTop w:val="0"/>
          <w:marBottom w:val="0"/>
          <w:divBdr>
            <w:top w:val="none" w:sz="0" w:space="0" w:color="auto"/>
            <w:left w:val="none" w:sz="0" w:space="0" w:color="auto"/>
            <w:bottom w:val="none" w:sz="0" w:space="0" w:color="auto"/>
            <w:right w:val="none" w:sz="0" w:space="0" w:color="auto"/>
          </w:divBdr>
        </w:div>
        <w:div w:id="1927106335">
          <w:marLeft w:val="0"/>
          <w:marRight w:val="0"/>
          <w:marTop w:val="0"/>
          <w:marBottom w:val="0"/>
          <w:divBdr>
            <w:top w:val="none" w:sz="0" w:space="0" w:color="auto"/>
            <w:left w:val="none" w:sz="0" w:space="0" w:color="auto"/>
            <w:bottom w:val="none" w:sz="0" w:space="0" w:color="auto"/>
            <w:right w:val="none" w:sz="0" w:space="0" w:color="auto"/>
          </w:divBdr>
        </w:div>
        <w:div w:id="2111316024">
          <w:marLeft w:val="0"/>
          <w:marRight w:val="0"/>
          <w:marTop w:val="0"/>
          <w:marBottom w:val="0"/>
          <w:divBdr>
            <w:top w:val="none" w:sz="0" w:space="0" w:color="auto"/>
            <w:left w:val="none" w:sz="0" w:space="0" w:color="auto"/>
            <w:bottom w:val="none" w:sz="0" w:space="0" w:color="auto"/>
            <w:right w:val="none" w:sz="0" w:space="0" w:color="auto"/>
          </w:divBdr>
        </w:div>
        <w:div w:id="2131901698">
          <w:marLeft w:val="0"/>
          <w:marRight w:val="0"/>
          <w:marTop w:val="0"/>
          <w:marBottom w:val="0"/>
          <w:divBdr>
            <w:top w:val="none" w:sz="0" w:space="0" w:color="auto"/>
            <w:left w:val="none" w:sz="0" w:space="0" w:color="auto"/>
            <w:bottom w:val="none" w:sz="0" w:space="0" w:color="auto"/>
            <w:right w:val="none" w:sz="0" w:space="0" w:color="auto"/>
          </w:divBdr>
        </w:div>
      </w:divsChild>
    </w:div>
    <w:div w:id="366640187">
      <w:bodyDiv w:val="1"/>
      <w:marLeft w:val="0"/>
      <w:marRight w:val="0"/>
      <w:marTop w:val="0"/>
      <w:marBottom w:val="0"/>
      <w:divBdr>
        <w:top w:val="none" w:sz="0" w:space="0" w:color="auto"/>
        <w:left w:val="none" w:sz="0" w:space="0" w:color="auto"/>
        <w:bottom w:val="none" w:sz="0" w:space="0" w:color="auto"/>
        <w:right w:val="none" w:sz="0" w:space="0" w:color="auto"/>
      </w:divBdr>
    </w:div>
    <w:div w:id="367030997">
      <w:bodyDiv w:val="1"/>
      <w:marLeft w:val="0"/>
      <w:marRight w:val="0"/>
      <w:marTop w:val="0"/>
      <w:marBottom w:val="0"/>
      <w:divBdr>
        <w:top w:val="none" w:sz="0" w:space="0" w:color="auto"/>
        <w:left w:val="none" w:sz="0" w:space="0" w:color="auto"/>
        <w:bottom w:val="none" w:sz="0" w:space="0" w:color="auto"/>
        <w:right w:val="none" w:sz="0" w:space="0" w:color="auto"/>
      </w:divBdr>
    </w:div>
    <w:div w:id="380516475">
      <w:bodyDiv w:val="1"/>
      <w:marLeft w:val="0"/>
      <w:marRight w:val="0"/>
      <w:marTop w:val="0"/>
      <w:marBottom w:val="0"/>
      <w:divBdr>
        <w:top w:val="none" w:sz="0" w:space="0" w:color="auto"/>
        <w:left w:val="none" w:sz="0" w:space="0" w:color="auto"/>
        <w:bottom w:val="none" w:sz="0" w:space="0" w:color="auto"/>
        <w:right w:val="none" w:sz="0" w:space="0" w:color="auto"/>
      </w:divBdr>
    </w:div>
    <w:div w:id="381252277">
      <w:bodyDiv w:val="1"/>
      <w:marLeft w:val="0"/>
      <w:marRight w:val="0"/>
      <w:marTop w:val="0"/>
      <w:marBottom w:val="0"/>
      <w:divBdr>
        <w:top w:val="none" w:sz="0" w:space="0" w:color="auto"/>
        <w:left w:val="none" w:sz="0" w:space="0" w:color="auto"/>
        <w:bottom w:val="none" w:sz="0" w:space="0" w:color="auto"/>
        <w:right w:val="none" w:sz="0" w:space="0" w:color="auto"/>
      </w:divBdr>
    </w:div>
    <w:div w:id="385840723">
      <w:bodyDiv w:val="1"/>
      <w:marLeft w:val="0"/>
      <w:marRight w:val="0"/>
      <w:marTop w:val="0"/>
      <w:marBottom w:val="0"/>
      <w:divBdr>
        <w:top w:val="none" w:sz="0" w:space="0" w:color="auto"/>
        <w:left w:val="none" w:sz="0" w:space="0" w:color="auto"/>
        <w:bottom w:val="none" w:sz="0" w:space="0" w:color="auto"/>
        <w:right w:val="none" w:sz="0" w:space="0" w:color="auto"/>
      </w:divBdr>
    </w:div>
    <w:div w:id="389038353">
      <w:bodyDiv w:val="1"/>
      <w:marLeft w:val="0"/>
      <w:marRight w:val="0"/>
      <w:marTop w:val="0"/>
      <w:marBottom w:val="0"/>
      <w:divBdr>
        <w:top w:val="none" w:sz="0" w:space="0" w:color="auto"/>
        <w:left w:val="none" w:sz="0" w:space="0" w:color="auto"/>
        <w:bottom w:val="none" w:sz="0" w:space="0" w:color="auto"/>
        <w:right w:val="none" w:sz="0" w:space="0" w:color="auto"/>
      </w:divBdr>
    </w:div>
    <w:div w:id="418260448">
      <w:bodyDiv w:val="1"/>
      <w:marLeft w:val="0"/>
      <w:marRight w:val="0"/>
      <w:marTop w:val="0"/>
      <w:marBottom w:val="0"/>
      <w:divBdr>
        <w:top w:val="none" w:sz="0" w:space="0" w:color="auto"/>
        <w:left w:val="none" w:sz="0" w:space="0" w:color="auto"/>
        <w:bottom w:val="none" w:sz="0" w:space="0" w:color="auto"/>
        <w:right w:val="none" w:sz="0" w:space="0" w:color="auto"/>
      </w:divBdr>
    </w:div>
    <w:div w:id="423262847">
      <w:bodyDiv w:val="1"/>
      <w:marLeft w:val="0"/>
      <w:marRight w:val="0"/>
      <w:marTop w:val="0"/>
      <w:marBottom w:val="0"/>
      <w:divBdr>
        <w:top w:val="none" w:sz="0" w:space="0" w:color="auto"/>
        <w:left w:val="none" w:sz="0" w:space="0" w:color="auto"/>
        <w:bottom w:val="none" w:sz="0" w:space="0" w:color="auto"/>
        <w:right w:val="none" w:sz="0" w:space="0" w:color="auto"/>
      </w:divBdr>
    </w:div>
    <w:div w:id="425225684">
      <w:bodyDiv w:val="1"/>
      <w:marLeft w:val="0"/>
      <w:marRight w:val="0"/>
      <w:marTop w:val="0"/>
      <w:marBottom w:val="0"/>
      <w:divBdr>
        <w:top w:val="none" w:sz="0" w:space="0" w:color="auto"/>
        <w:left w:val="none" w:sz="0" w:space="0" w:color="auto"/>
        <w:bottom w:val="none" w:sz="0" w:space="0" w:color="auto"/>
        <w:right w:val="none" w:sz="0" w:space="0" w:color="auto"/>
      </w:divBdr>
    </w:div>
    <w:div w:id="445009213">
      <w:bodyDiv w:val="1"/>
      <w:marLeft w:val="0"/>
      <w:marRight w:val="0"/>
      <w:marTop w:val="0"/>
      <w:marBottom w:val="0"/>
      <w:divBdr>
        <w:top w:val="none" w:sz="0" w:space="0" w:color="auto"/>
        <w:left w:val="none" w:sz="0" w:space="0" w:color="auto"/>
        <w:bottom w:val="none" w:sz="0" w:space="0" w:color="auto"/>
        <w:right w:val="none" w:sz="0" w:space="0" w:color="auto"/>
      </w:divBdr>
      <w:divsChild>
        <w:div w:id="78412577">
          <w:marLeft w:val="0"/>
          <w:marRight w:val="0"/>
          <w:marTop w:val="0"/>
          <w:marBottom w:val="0"/>
          <w:divBdr>
            <w:top w:val="none" w:sz="0" w:space="0" w:color="auto"/>
            <w:left w:val="none" w:sz="0" w:space="0" w:color="auto"/>
            <w:bottom w:val="none" w:sz="0" w:space="0" w:color="auto"/>
            <w:right w:val="none" w:sz="0" w:space="0" w:color="auto"/>
          </w:divBdr>
        </w:div>
        <w:div w:id="247661491">
          <w:marLeft w:val="0"/>
          <w:marRight w:val="0"/>
          <w:marTop w:val="0"/>
          <w:marBottom w:val="0"/>
          <w:divBdr>
            <w:top w:val="none" w:sz="0" w:space="0" w:color="auto"/>
            <w:left w:val="none" w:sz="0" w:space="0" w:color="auto"/>
            <w:bottom w:val="none" w:sz="0" w:space="0" w:color="auto"/>
            <w:right w:val="none" w:sz="0" w:space="0" w:color="auto"/>
          </w:divBdr>
        </w:div>
        <w:div w:id="294680444">
          <w:marLeft w:val="0"/>
          <w:marRight w:val="0"/>
          <w:marTop w:val="0"/>
          <w:marBottom w:val="0"/>
          <w:divBdr>
            <w:top w:val="none" w:sz="0" w:space="0" w:color="auto"/>
            <w:left w:val="none" w:sz="0" w:space="0" w:color="auto"/>
            <w:bottom w:val="none" w:sz="0" w:space="0" w:color="auto"/>
            <w:right w:val="none" w:sz="0" w:space="0" w:color="auto"/>
          </w:divBdr>
        </w:div>
        <w:div w:id="610942728">
          <w:marLeft w:val="0"/>
          <w:marRight w:val="0"/>
          <w:marTop w:val="0"/>
          <w:marBottom w:val="0"/>
          <w:divBdr>
            <w:top w:val="none" w:sz="0" w:space="0" w:color="auto"/>
            <w:left w:val="none" w:sz="0" w:space="0" w:color="auto"/>
            <w:bottom w:val="none" w:sz="0" w:space="0" w:color="auto"/>
            <w:right w:val="none" w:sz="0" w:space="0" w:color="auto"/>
          </w:divBdr>
        </w:div>
        <w:div w:id="616915864">
          <w:marLeft w:val="0"/>
          <w:marRight w:val="0"/>
          <w:marTop w:val="0"/>
          <w:marBottom w:val="0"/>
          <w:divBdr>
            <w:top w:val="none" w:sz="0" w:space="0" w:color="auto"/>
            <w:left w:val="none" w:sz="0" w:space="0" w:color="auto"/>
            <w:bottom w:val="none" w:sz="0" w:space="0" w:color="auto"/>
            <w:right w:val="none" w:sz="0" w:space="0" w:color="auto"/>
          </w:divBdr>
        </w:div>
        <w:div w:id="652489699">
          <w:marLeft w:val="0"/>
          <w:marRight w:val="0"/>
          <w:marTop w:val="0"/>
          <w:marBottom w:val="0"/>
          <w:divBdr>
            <w:top w:val="none" w:sz="0" w:space="0" w:color="auto"/>
            <w:left w:val="none" w:sz="0" w:space="0" w:color="auto"/>
            <w:bottom w:val="none" w:sz="0" w:space="0" w:color="auto"/>
            <w:right w:val="none" w:sz="0" w:space="0" w:color="auto"/>
          </w:divBdr>
        </w:div>
        <w:div w:id="672799523">
          <w:marLeft w:val="0"/>
          <w:marRight w:val="0"/>
          <w:marTop w:val="0"/>
          <w:marBottom w:val="0"/>
          <w:divBdr>
            <w:top w:val="none" w:sz="0" w:space="0" w:color="auto"/>
            <w:left w:val="none" w:sz="0" w:space="0" w:color="auto"/>
            <w:bottom w:val="none" w:sz="0" w:space="0" w:color="auto"/>
            <w:right w:val="none" w:sz="0" w:space="0" w:color="auto"/>
          </w:divBdr>
        </w:div>
        <w:div w:id="1039402617">
          <w:marLeft w:val="0"/>
          <w:marRight w:val="0"/>
          <w:marTop w:val="0"/>
          <w:marBottom w:val="0"/>
          <w:divBdr>
            <w:top w:val="none" w:sz="0" w:space="0" w:color="auto"/>
            <w:left w:val="none" w:sz="0" w:space="0" w:color="auto"/>
            <w:bottom w:val="none" w:sz="0" w:space="0" w:color="auto"/>
            <w:right w:val="none" w:sz="0" w:space="0" w:color="auto"/>
          </w:divBdr>
        </w:div>
        <w:div w:id="1295333844">
          <w:marLeft w:val="0"/>
          <w:marRight w:val="0"/>
          <w:marTop w:val="0"/>
          <w:marBottom w:val="0"/>
          <w:divBdr>
            <w:top w:val="none" w:sz="0" w:space="0" w:color="auto"/>
            <w:left w:val="none" w:sz="0" w:space="0" w:color="auto"/>
            <w:bottom w:val="none" w:sz="0" w:space="0" w:color="auto"/>
            <w:right w:val="none" w:sz="0" w:space="0" w:color="auto"/>
          </w:divBdr>
        </w:div>
        <w:div w:id="1565094108">
          <w:marLeft w:val="0"/>
          <w:marRight w:val="0"/>
          <w:marTop w:val="0"/>
          <w:marBottom w:val="0"/>
          <w:divBdr>
            <w:top w:val="none" w:sz="0" w:space="0" w:color="auto"/>
            <w:left w:val="none" w:sz="0" w:space="0" w:color="auto"/>
            <w:bottom w:val="none" w:sz="0" w:space="0" w:color="auto"/>
            <w:right w:val="none" w:sz="0" w:space="0" w:color="auto"/>
          </w:divBdr>
        </w:div>
        <w:div w:id="1801991833">
          <w:marLeft w:val="0"/>
          <w:marRight w:val="0"/>
          <w:marTop w:val="0"/>
          <w:marBottom w:val="0"/>
          <w:divBdr>
            <w:top w:val="none" w:sz="0" w:space="0" w:color="auto"/>
            <w:left w:val="none" w:sz="0" w:space="0" w:color="auto"/>
            <w:bottom w:val="none" w:sz="0" w:space="0" w:color="auto"/>
            <w:right w:val="none" w:sz="0" w:space="0" w:color="auto"/>
          </w:divBdr>
        </w:div>
      </w:divsChild>
    </w:div>
    <w:div w:id="453714695">
      <w:bodyDiv w:val="1"/>
      <w:marLeft w:val="0"/>
      <w:marRight w:val="0"/>
      <w:marTop w:val="0"/>
      <w:marBottom w:val="0"/>
      <w:divBdr>
        <w:top w:val="none" w:sz="0" w:space="0" w:color="auto"/>
        <w:left w:val="none" w:sz="0" w:space="0" w:color="auto"/>
        <w:bottom w:val="none" w:sz="0" w:space="0" w:color="auto"/>
        <w:right w:val="none" w:sz="0" w:space="0" w:color="auto"/>
      </w:divBdr>
    </w:div>
    <w:div w:id="464127021">
      <w:bodyDiv w:val="1"/>
      <w:marLeft w:val="0"/>
      <w:marRight w:val="0"/>
      <w:marTop w:val="0"/>
      <w:marBottom w:val="0"/>
      <w:divBdr>
        <w:top w:val="none" w:sz="0" w:space="0" w:color="auto"/>
        <w:left w:val="none" w:sz="0" w:space="0" w:color="auto"/>
        <w:bottom w:val="none" w:sz="0" w:space="0" w:color="auto"/>
        <w:right w:val="none" w:sz="0" w:space="0" w:color="auto"/>
      </w:divBdr>
    </w:div>
    <w:div w:id="466554999">
      <w:bodyDiv w:val="1"/>
      <w:marLeft w:val="0"/>
      <w:marRight w:val="0"/>
      <w:marTop w:val="0"/>
      <w:marBottom w:val="0"/>
      <w:divBdr>
        <w:top w:val="none" w:sz="0" w:space="0" w:color="auto"/>
        <w:left w:val="none" w:sz="0" w:space="0" w:color="auto"/>
        <w:bottom w:val="none" w:sz="0" w:space="0" w:color="auto"/>
        <w:right w:val="none" w:sz="0" w:space="0" w:color="auto"/>
      </w:divBdr>
    </w:div>
    <w:div w:id="474027327">
      <w:bodyDiv w:val="1"/>
      <w:marLeft w:val="0"/>
      <w:marRight w:val="0"/>
      <w:marTop w:val="0"/>
      <w:marBottom w:val="0"/>
      <w:divBdr>
        <w:top w:val="none" w:sz="0" w:space="0" w:color="auto"/>
        <w:left w:val="none" w:sz="0" w:space="0" w:color="auto"/>
        <w:bottom w:val="none" w:sz="0" w:space="0" w:color="auto"/>
        <w:right w:val="none" w:sz="0" w:space="0" w:color="auto"/>
      </w:divBdr>
      <w:divsChild>
        <w:div w:id="189800906">
          <w:marLeft w:val="0"/>
          <w:marRight w:val="0"/>
          <w:marTop w:val="0"/>
          <w:marBottom w:val="0"/>
          <w:divBdr>
            <w:top w:val="none" w:sz="0" w:space="0" w:color="auto"/>
            <w:left w:val="none" w:sz="0" w:space="0" w:color="auto"/>
            <w:bottom w:val="none" w:sz="0" w:space="0" w:color="auto"/>
            <w:right w:val="none" w:sz="0" w:space="0" w:color="auto"/>
          </w:divBdr>
        </w:div>
        <w:div w:id="334694590">
          <w:marLeft w:val="0"/>
          <w:marRight w:val="0"/>
          <w:marTop w:val="0"/>
          <w:marBottom w:val="0"/>
          <w:divBdr>
            <w:top w:val="none" w:sz="0" w:space="0" w:color="auto"/>
            <w:left w:val="none" w:sz="0" w:space="0" w:color="auto"/>
            <w:bottom w:val="none" w:sz="0" w:space="0" w:color="auto"/>
            <w:right w:val="none" w:sz="0" w:space="0" w:color="auto"/>
          </w:divBdr>
        </w:div>
        <w:div w:id="524751317">
          <w:marLeft w:val="0"/>
          <w:marRight w:val="0"/>
          <w:marTop w:val="0"/>
          <w:marBottom w:val="0"/>
          <w:divBdr>
            <w:top w:val="none" w:sz="0" w:space="0" w:color="auto"/>
            <w:left w:val="none" w:sz="0" w:space="0" w:color="auto"/>
            <w:bottom w:val="none" w:sz="0" w:space="0" w:color="auto"/>
            <w:right w:val="none" w:sz="0" w:space="0" w:color="auto"/>
          </w:divBdr>
        </w:div>
        <w:div w:id="527375787">
          <w:marLeft w:val="0"/>
          <w:marRight w:val="0"/>
          <w:marTop w:val="0"/>
          <w:marBottom w:val="0"/>
          <w:divBdr>
            <w:top w:val="none" w:sz="0" w:space="0" w:color="auto"/>
            <w:left w:val="none" w:sz="0" w:space="0" w:color="auto"/>
            <w:bottom w:val="none" w:sz="0" w:space="0" w:color="auto"/>
            <w:right w:val="none" w:sz="0" w:space="0" w:color="auto"/>
          </w:divBdr>
        </w:div>
        <w:div w:id="563099839">
          <w:marLeft w:val="0"/>
          <w:marRight w:val="0"/>
          <w:marTop w:val="0"/>
          <w:marBottom w:val="0"/>
          <w:divBdr>
            <w:top w:val="none" w:sz="0" w:space="0" w:color="auto"/>
            <w:left w:val="none" w:sz="0" w:space="0" w:color="auto"/>
            <w:bottom w:val="none" w:sz="0" w:space="0" w:color="auto"/>
            <w:right w:val="none" w:sz="0" w:space="0" w:color="auto"/>
          </w:divBdr>
        </w:div>
        <w:div w:id="886717732">
          <w:marLeft w:val="0"/>
          <w:marRight w:val="0"/>
          <w:marTop w:val="0"/>
          <w:marBottom w:val="0"/>
          <w:divBdr>
            <w:top w:val="none" w:sz="0" w:space="0" w:color="auto"/>
            <w:left w:val="none" w:sz="0" w:space="0" w:color="auto"/>
            <w:bottom w:val="none" w:sz="0" w:space="0" w:color="auto"/>
            <w:right w:val="none" w:sz="0" w:space="0" w:color="auto"/>
          </w:divBdr>
        </w:div>
        <w:div w:id="904797193">
          <w:marLeft w:val="0"/>
          <w:marRight w:val="0"/>
          <w:marTop w:val="0"/>
          <w:marBottom w:val="0"/>
          <w:divBdr>
            <w:top w:val="none" w:sz="0" w:space="0" w:color="auto"/>
            <w:left w:val="none" w:sz="0" w:space="0" w:color="auto"/>
            <w:bottom w:val="none" w:sz="0" w:space="0" w:color="auto"/>
            <w:right w:val="none" w:sz="0" w:space="0" w:color="auto"/>
          </w:divBdr>
        </w:div>
        <w:div w:id="998777759">
          <w:marLeft w:val="0"/>
          <w:marRight w:val="0"/>
          <w:marTop w:val="0"/>
          <w:marBottom w:val="0"/>
          <w:divBdr>
            <w:top w:val="none" w:sz="0" w:space="0" w:color="auto"/>
            <w:left w:val="none" w:sz="0" w:space="0" w:color="auto"/>
            <w:bottom w:val="none" w:sz="0" w:space="0" w:color="auto"/>
            <w:right w:val="none" w:sz="0" w:space="0" w:color="auto"/>
          </w:divBdr>
        </w:div>
        <w:div w:id="1169441875">
          <w:marLeft w:val="0"/>
          <w:marRight w:val="0"/>
          <w:marTop w:val="0"/>
          <w:marBottom w:val="0"/>
          <w:divBdr>
            <w:top w:val="none" w:sz="0" w:space="0" w:color="auto"/>
            <w:left w:val="none" w:sz="0" w:space="0" w:color="auto"/>
            <w:bottom w:val="none" w:sz="0" w:space="0" w:color="auto"/>
            <w:right w:val="none" w:sz="0" w:space="0" w:color="auto"/>
          </w:divBdr>
        </w:div>
        <w:div w:id="1389263704">
          <w:marLeft w:val="0"/>
          <w:marRight w:val="0"/>
          <w:marTop w:val="0"/>
          <w:marBottom w:val="0"/>
          <w:divBdr>
            <w:top w:val="none" w:sz="0" w:space="0" w:color="auto"/>
            <w:left w:val="none" w:sz="0" w:space="0" w:color="auto"/>
            <w:bottom w:val="none" w:sz="0" w:space="0" w:color="auto"/>
            <w:right w:val="none" w:sz="0" w:space="0" w:color="auto"/>
          </w:divBdr>
        </w:div>
        <w:div w:id="2115398568">
          <w:marLeft w:val="0"/>
          <w:marRight w:val="0"/>
          <w:marTop w:val="0"/>
          <w:marBottom w:val="0"/>
          <w:divBdr>
            <w:top w:val="none" w:sz="0" w:space="0" w:color="auto"/>
            <w:left w:val="none" w:sz="0" w:space="0" w:color="auto"/>
            <w:bottom w:val="none" w:sz="0" w:space="0" w:color="auto"/>
            <w:right w:val="none" w:sz="0" w:space="0" w:color="auto"/>
          </w:divBdr>
        </w:div>
      </w:divsChild>
    </w:div>
    <w:div w:id="477772501">
      <w:bodyDiv w:val="1"/>
      <w:marLeft w:val="0"/>
      <w:marRight w:val="0"/>
      <w:marTop w:val="0"/>
      <w:marBottom w:val="0"/>
      <w:divBdr>
        <w:top w:val="none" w:sz="0" w:space="0" w:color="auto"/>
        <w:left w:val="none" w:sz="0" w:space="0" w:color="auto"/>
        <w:bottom w:val="none" w:sz="0" w:space="0" w:color="auto"/>
        <w:right w:val="none" w:sz="0" w:space="0" w:color="auto"/>
      </w:divBdr>
    </w:div>
    <w:div w:id="498614676">
      <w:bodyDiv w:val="1"/>
      <w:marLeft w:val="0"/>
      <w:marRight w:val="0"/>
      <w:marTop w:val="0"/>
      <w:marBottom w:val="0"/>
      <w:divBdr>
        <w:top w:val="none" w:sz="0" w:space="0" w:color="auto"/>
        <w:left w:val="none" w:sz="0" w:space="0" w:color="auto"/>
        <w:bottom w:val="none" w:sz="0" w:space="0" w:color="auto"/>
        <w:right w:val="none" w:sz="0" w:space="0" w:color="auto"/>
      </w:divBdr>
    </w:div>
    <w:div w:id="548421969">
      <w:bodyDiv w:val="1"/>
      <w:marLeft w:val="0"/>
      <w:marRight w:val="0"/>
      <w:marTop w:val="0"/>
      <w:marBottom w:val="0"/>
      <w:divBdr>
        <w:top w:val="none" w:sz="0" w:space="0" w:color="auto"/>
        <w:left w:val="none" w:sz="0" w:space="0" w:color="auto"/>
        <w:bottom w:val="none" w:sz="0" w:space="0" w:color="auto"/>
        <w:right w:val="none" w:sz="0" w:space="0" w:color="auto"/>
      </w:divBdr>
    </w:div>
    <w:div w:id="553464718">
      <w:bodyDiv w:val="1"/>
      <w:marLeft w:val="0"/>
      <w:marRight w:val="0"/>
      <w:marTop w:val="0"/>
      <w:marBottom w:val="0"/>
      <w:divBdr>
        <w:top w:val="none" w:sz="0" w:space="0" w:color="auto"/>
        <w:left w:val="none" w:sz="0" w:space="0" w:color="auto"/>
        <w:bottom w:val="none" w:sz="0" w:space="0" w:color="auto"/>
        <w:right w:val="none" w:sz="0" w:space="0" w:color="auto"/>
      </w:divBdr>
    </w:div>
    <w:div w:id="560365150">
      <w:bodyDiv w:val="1"/>
      <w:marLeft w:val="0"/>
      <w:marRight w:val="0"/>
      <w:marTop w:val="0"/>
      <w:marBottom w:val="0"/>
      <w:divBdr>
        <w:top w:val="none" w:sz="0" w:space="0" w:color="auto"/>
        <w:left w:val="none" w:sz="0" w:space="0" w:color="auto"/>
        <w:bottom w:val="none" w:sz="0" w:space="0" w:color="auto"/>
        <w:right w:val="none" w:sz="0" w:space="0" w:color="auto"/>
      </w:divBdr>
    </w:div>
    <w:div w:id="583957249">
      <w:bodyDiv w:val="1"/>
      <w:marLeft w:val="0"/>
      <w:marRight w:val="0"/>
      <w:marTop w:val="0"/>
      <w:marBottom w:val="0"/>
      <w:divBdr>
        <w:top w:val="none" w:sz="0" w:space="0" w:color="auto"/>
        <w:left w:val="none" w:sz="0" w:space="0" w:color="auto"/>
        <w:bottom w:val="none" w:sz="0" w:space="0" w:color="auto"/>
        <w:right w:val="none" w:sz="0" w:space="0" w:color="auto"/>
      </w:divBdr>
      <w:divsChild>
        <w:div w:id="379020164">
          <w:marLeft w:val="0"/>
          <w:marRight w:val="0"/>
          <w:marTop w:val="0"/>
          <w:marBottom w:val="0"/>
          <w:divBdr>
            <w:top w:val="none" w:sz="0" w:space="0" w:color="auto"/>
            <w:left w:val="none" w:sz="0" w:space="0" w:color="auto"/>
            <w:bottom w:val="none" w:sz="0" w:space="0" w:color="auto"/>
            <w:right w:val="none" w:sz="0" w:space="0" w:color="auto"/>
          </w:divBdr>
        </w:div>
        <w:div w:id="691149726">
          <w:marLeft w:val="0"/>
          <w:marRight w:val="0"/>
          <w:marTop w:val="0"/>
          <w:marBottom w:val="0"/>
          <w:divBdr>
            <w:top w:val="none" w:sz="0" w:space="0" w:color="auto"/>
            <w:left w:val="none" w:sz="0" w:space="0" w:color="auto"/>
            <w:bottom w:val="none" w:sz="0" w:space="0" w:color="auto"/>
            <w:right w:val="none" w:sz="0" w:space="0" w:color="auto"/>
          </w:divBdr>
        </w:div>
        <w:div w:id="1454710733">
          <w:marLeft w:val="0"/>
          <w:marRight w:val="0"/>
          <w:marTop w:val="0"/>
          <w:marBottom w:val="0"/>
          <w:divBdr>
            <w:top w:val="none" w:sz="0" w:space="0" w:color="auto"/>
            <w:left w:val="none" w:sz="0" w:space="0" w:color="auto"/>
            <w:bottom w:val="none" w:sz="0" w:space="0" w:color="auto"/>
            <w:right w:val="none" w:sz="0" w:space="0" w:color="auto"/>
          </w:divBdr>
        </w:div>
        <w:div w:id="1564558526">
          <w:marLeft w:val="0"/>
          <w:marRight w:val="0"/>
          <w:marTop w:val="0"/>
          <w:marBottom w:val="0"/>
          <w:divBdr>
            <w:top w:val="none" w:sz="0" w:space="0" w:color="auto"/>
            <w:left w:val="none" w:sz="0" w:space="0" w:color="auto"/>
            <w:bottom w:val="none" w:sz="0" w:space="0" w:color="auto"/>
            <w:right w:val="none" w:sz="0" w:space="0" w:color="auto"/>
          </w:divBdr>
        </w:div>
        <w:div w:id="2142378947">
          <w:marLeft w:val="0"/>
          <w:marRight w:val="0"/>
          <w:marTop w:val="0"/>
          <w:marBottom w:val="0"/>
          <w:divBdr>
            <w:top w:val="none" w:sz="0" w:space="0" w:color="auto"/>
            <w:left w:val="none" w:sz="0" w:space="0" w:color="auto"/>
            <w:bottom w:val="none" w:sz="0" w:space="0" w:color="auto"/>
            <w:right w:val="none" w:sz="0" w:space="0" w:color="auto"/>
          </w:divBdr>
        </w:div>
      </w:divsChild>
    </w:div>
    <w:div w:id="592200332">
      <w:bodyDiv w:val="1"/>
      <w:marLeft w:val="0"/>
      <w:marRight w:val="0"/>
      <w:marTop w:val="0"/>
      <w:marBottom w:val="0"/>
      <w:divBdr>
        <w:top w:val="none" w:sz="0" w:space="0" w:color="auto"/>
        <w:left w:val="none" w:sz="0" w:space="0" w:color="auto"/>
        <w:bottom w:val="none" w:sz="0" w:space="0" w:color="auto"/>
        <w:right w:val="none" w:sz="0" w:space="0" w:color="auto"/>
      </w:divBdr>
    </w:div>
    <w:div w:id="604582772">
      <w:bodyDiv w:val="1"/>
      <w:marLeft w:val="0"/>
      <w:marRight w:val="0"/>
      <w:marTop w:val="0"/>
      <w:marBottom w:val="0"/>
      <w:divBdr>
        <w:top w:val="none" w:sz="0" w:space="0" w:color="auto"/>
        <w:left w:val="none" w:sz="0" w:space="0" w:color="auto"/>
        <w:bottom w:val="none" w:sz="0" w:space="0" w:color="auto"/>
        <w:right w:val="none" w:sz="0" w:space="0" w:color="auto"/>
      </w:divBdr>
    </w:div>
    <w:div w:id="621617441">
      <w:bodyDiv w:val="1"/>
      <w:marLeft w:val="0"/>
      <w:marRight w:val="0"/>
      <w:marTop w:val="0"/>
      <w:marBottom w:val="0"/>
      <w:divBdr>
        <w:top w:val="none" w:sz="0" w:space="0" w:color="auto"/>
        <w:left w:val="none" w:sz="0" w:space="0" w:color="auto"/>
        <w:bottom w:val="none" w:sz="0" w:space="0" w:color="auto"/>
        <w:right w:val="none" w:sz="0" w:space="0" w:color="auto"/>
      </w:divBdr>
      <w:divsChild>
        <w:div w:id="277490875">
          <w:marLeft w:val="0"/>
          <w:marRight w:val="0"/>
          <w:marTop w:val="0"/>
          <w:marBottom w:val="0"/>
          <w:divBdr>
            <w:top w:val="none" w:sz="0" w:space="0" w:color="auto"/>
            <w:left w:val="none" w:sz="0" w:space="0" w:color="auto"/>
            <w:bottom w:val="none" w:sz="0" w:space="0" w:color="auto"/>
            <w:right w:val="none" w:sz="0" w:space="0" w:color="auto"/>
          </w:divBdr>
        </w:div>
        <w:div w:id="548497977">
          <w:marLeft w:val="0"/>
          <w:marRight w:val="0"/>
          <w:marTop w:val="0"/>
          <w:marBottom w:val="0"/>
          <w:divBdr>
            <w:top w:val="none" w:sz="0" w:space="0" w:color="auto"/>
            <w:left w:val="none" w:sz="0" w:space="0" w:color="auto"/>
            <w:bottom w:val="none" w:sz="0" w:space="0" w:color="auto"/>
            <w:right w:val="none" w:sz="0" w:space="0" w:color="auto"/>
          </w:divBdr>
        </w:div>
        <w:div w:id="1005592028">
          <w:marLeft w:val="0"/>
          <w:marRight w:val="0"/>
          <w:marTop w:val="0"/>
          <w:marBottom w:val="0"/>
          <w:divBdr>
            <w:top w:val="none" w:sz="0" w:space="0" w:color="auto"/>
            <w:left w:val="none" w:sz="0" w:space="0" w:color="auto"/>
            <w:bottom w:val="none" w:sz="0" w:space="0" w:color="auto"/>
            <w:right w:val="none" w:sz="0" w:space="0" w:color="auto"/>
          </w:divBdr>
        </w:div>
      </w:divsChild>
    </w:div>
    <w:div w:id="651329379">
      <w:bodyDiv w:val="1"/>
      <w:marLeft w:val="0"/>
      <w:marRight w:val="0"/>
      <w:marTop w:val="0"/>
      <w:marBottom w:val="0"/>
      <w:divBdr>
        <w:top w:val="none" w:sz="0" w:space="0" w:color="auto"/>
        <w:left w:val="none" w:sz="0" w:space="0" w:color="auto"/>
        <w:bottom w:val="none" w:sz="0" w:space="0" w:color="auto"/>
        <w:right w:val="none" w:sz="0" w:space="0" w:color="auto"/>
      </w:divBdr>
    </w:div>
    <w:div w:id="653027439">
      <w:bodyDiv w:val="1"/>
      <w:marLeft w:val="0"/>
      <w:marRight w:val="0"/>
      <w:marTop w:val="0"/>
      <w:marBottom w:val="0"/>
      <w:divBdr>
        <w:top w:val="none" w:sz="0" w:space="0" w:color="auto"/>
        <w:left w:val="none" w:sz="0" w:space="0" w:color="auto"/>
        <w:bottom w:val="none" w:sz="0" w:space="0" w:color="auto"/>
        <w:right w:val="none" w:sz="0" w:space="0" w:color="auto"/>
      </w:divBdr>
      <w:divsChild>
        <w:div w:id="226890205">
          <w:marLeft w:val="864"/>
          <w:marRight w:val="0"/>
          <w:marTop w:val="50"/>
          <w:marBottom w:val="0"/>
          <w:divBdr>
            <w:top w:val="none" w:sz="0" w:space="0" w:color="auto"/>
            <w:left w:val="none" w:sz="0" w:space="0" w:color="auto"/>
            <w:bottom w:val="none" w:sz="0" w:space="0" w:color="auto"/>
            <w:right w:val="none" w:sz="0" w:space="0" w:color="auto"/>
          </w:divBdr>
        </w:div>
        <w:div w:id="349334447">
          <w:marLeft w:val="864"/>
          <w:marRight w:val="0"/>
          <w:marTop w:val="50"/>
          <w:marBottom w:val="0"/>
          <w:divBdr>
            <w:top w:val="none" w:sz="0" w:space="0" w:color="auto"/>
            <w:left w:val="none" w:sz="0" w:space="0" w:color="auto"/>
            <w:bottom w:val="none" w:sz="0" w:space="0" w:color="auto"/>
            <w:right w:val="none" w:sz="0" w:space="0" w:color="auto"/>
          </w:divBdr>
        </w:div>
        <w:div w:id="635838990">
          <w:marLeft w:val="864"/>
          <w:marRight w:val="0"/>
          <w:marTop w:val="50"/>
          <w:marBottom w:val="0"/>
          <w:divBdr>
            <w:top w:val="none" w:sz="0" w:space="0" w:color="auto"/>
            <w:left w:val="none" w:sz="0" w:space="0" w:color="auto"/>
            <w:bottom w:val="none" w:sz="0" w:space="0" w:color="auto"/>
            <w:right w:val="none" w:sz="0" w:space="0" w:color="auto"/>
          </w:divBdr>
        </w:div>
        <w:div w:id="752355934">
          <w:marLeft w:val="864"/>
          <w:marRight w:val="0"/>
          <w:marTop w:val="50"/>
          <w:marBottom w:val="0"/>
          <w:divBdr>
            <w:top w:val="none" w:sz="0" w:space="0" w:color="auto"/>
            <w:left w:val="none" w:sz="0" w:space="0" w:color="auto"/>
            <w:bottom w:val="none" w:sz="0" w:space="0" w:color="auto"/>
            <w:right w:val="none" w:sz="0" w:space="0" w:color="auto"/>
          </w:divBdr>
        </w:div>
        <w:div w:id="788470058">
          <w:marLeft w:val="720"/>
          <w:marRight w:val="0"/>
          <w:marTop w:val="120"/>
          <w:marBottom w:val="0"/>
          <w:divBdr>
            <w:top w:val="none" w:sz="0" w:space="0" w:color="auto"/>
            <w:left w:val="none" w:sz="0" w:space="0" w:color="auto"/>
            <w:bottom w:val="none" w:sz="0" w:space="0" w:color="auto"/>
            <w:right w:val="none" w:sz="0" w:space="0" w:color="auto"/>
          </w:divBdr>
        </w:div>
        <w:div w:id="847333157">
          <w:marLeft w:val="720"/>
          <w:marRight w:val="0"/>
          <w:marTop w:val="120"/>
          <w:marBottom w:val="0"/>
          <w:divBdr>
            <w:top w:val="none" w:sz="0" w:space="0" w:color="auto"/>
            <w:left w:val="none" w:sz="0" w:space="0" w:color="auto"/>
            <w:bottom w:val="none" w:sz="0" w:space="0" w:color="auto"/>
            <w:right w:val="none" w:sz="0" w:space="0" w:color="auto"/>
          </w:divBdr>
        </w:div>
        <w:div w:id="1233739537">
          <w:marLeft w:val="864"/>
          <w:marRight w:val="0"/>
          <w:marTop w:val="50"/>
          <w:marBottom w:val="0"/>
          <w:divBdr>
            <w:top w:val="none" w:sz="0" w:space="0" w:color="auto"/>
            <w:left w:val="none" w:sz="0" w:space="0" w:color="auto"/>
            <w:bottom w:val="none" w:sz="0" w:space="0" w:color="auto"/>
            <w:right w:val="none" w:sz="0" w:space="0" w:color="auto"/>
          </w:divBdr>
        </w:div>
        <w:div w:id="1240556948">
          <w:marLeft w:val="418"/>
          <w:marRight w:val="0"/>
          <w:marTop w:val="50"/>
          <w:marBottom w:val="0"/>
          <w:divBdr>
            <w:top w:val="none" w:sz="0" w:space="0" w:color="auto"/>
            <w:left w:val="none" w:sz="0" w:space="0" w:color="auto"/>
            <w:bottom w:val="none" w:sz="0" w:space="0" w:color="auto"/>
            <w:right w:val="none" w:sz="0" w:space="0" w:color="auto"/>
          </w:divBdr>
        </w:div>
        <w:div w:id="2070108811">
          <w:marLeft w:val="864"/>
          <w:marRight w:val="0"/>
          <w:marTop w:val="50"/>
          <w:marBottom w:val="0"/>
          <w:divBdr>
            <w:top w:val="none" w:sz="0" w:space="0" w:color="auto"/>
            <w:left w:val="none" w:sz="0" w:space="0" w:color="auto"/>
            <w:bottom w:val="none" w:sz="0" w:space="0" w:color="auto"/>
            <w:right w:val="none" w:sz="0" w:space="0" w:color="auto"/>
          </w:divBdr>
        </w:div>
        <w:div w:id="2096894147">
          <w:marLeft w:val="720"/>
          <w:marRight w:val="0"/>
          <w:marTop w:val="120"/>
          <w:marBottom w:val="0"/>
          <w:divBdr>
            <w:top w:val="none" w:sz="0" w:space="0" w:color="auto"/>
            <w:left w:val="none" w:sz="0" w:space="0" w:color="auto"/>
            <w:bottom w:val="none" w:sz="0" w:space="0" w:color="auto"/>
            <w:right w:val="none" w:sz="0" w:space="0" w:color="auto"/>
          </w:divBdr>
        </w:div>
      </w:divsChild>
    </w:div>
    <w:div w:id="666713457">
      <w:bodyDiv w:val="1"/>
      <w:marLeft w:val="0"/>
      <w:marRight w:val="0"/>
      <w:marTop w:val="0"/>
      <w:marBottom w:val="0"/>
      <w:divBdr>
        <w:top w:val="none" w:sz="0" w:space="0" w:color="auto"/>
        <w:left w:val="none" w:sz="0" w:space="0" w:color="auto"/>
        <w:bottom w:val="none" w:sz="0" w:space="0" w:color="auto"/>
        <w:right w:val="none" w:sz="0" w:space="0" w:color="auto"/>
      </w:divBdr>
      <w:divsChild>
        <w:div w:id="474836036">
          <w:marLeft w:val="0"/>
          <w:marRight w:val="0"/>
          <w:marTop w:val="0"/>
          <w:marBottom w:val="0"/>
          <w:divBdr>
            <w:top w:val="none" w:sz="0" w:space="0" w:color="auto"/>
            <w:left w:val="none" w:sz="0" w:space="0" w:color="auto"/>
            <w:bottom w:val="none" w:sz="0" w:space="0" w:color="auto"/>
            <w:right w:val="none" w:sz="0" w:space="0" w:color="auto"/>
          </w:divBdr>
        </w:div>
        <w:div w:id="600987291">
          <w:marLeft w:val="0"/>
          <w:marRight w:val="0"/>
          <w:marTop w:val="0"/>
          <w:marBottom w:val="0"/>
          <w:divBdr>
            <w:top w:val="none" w:sz="0" w:space="0" w:color="auto"/>
            <w:left w:val="none" w:sz="0" w:space="0" w:color="auto"/>
            <w:bottom w:val="none" w:sz="0" w:space="0" w:color="auto"/>
            <w:right w:val="none" w:sz="0" w:space="0" w:color="auto"/>
          </w:divBdr>
        </w:div>
        <w:div w:id="1101101073">
          <w:marLeft w:val="0"/>
          <w:marRight w:val="0"/>
          <w:marTop w:val="0"/>
          <w:marBottom w:val="0"/>
          <w:divBdr>
            <w:top w:val="none" w:sz="0" w:space="0" w:color="auto"/>
            <w:left w:val="none" w:sz="0" w:space="0" w:color="auto"/>
            <w:bottom w:val="none" w:sz="0" w:space="0" w:color="auto"/>
            <w:right w:val="none" w:sz="0" w:space="0" w:color="auto"/>
          </w:divBdr>
        </w:div>
        <w:div w:id="1190340697">
          <w:marLeft w:val="0"/>
          <w:marRight w:val="0"/>
          <w:marTop w:val="0"/>
          <w:marBottom w:val="0"/>
          <w:divBdr>
            <w:top w:val="none" w:sz="0" w:space="0" w:color="auto"/>
            <w:left w:val="none" w:sz="0" w:space="0" w:color="auto"/>
            <w:bottom w:val="none" w:sz="0" w:space="0" w:color="auto"/>
            <w:right w:val="none" w:sz="0" w:space="0" w:color="auto"/>
          </w:divBdr>
        </w:div>
        <w:div w:id="1833717793">
          <w:marLeft w:val="0"/>
          <w:marRight w:val="0"/>
          <w:marTop w:val="0"/>
          <w:marBottom w:val="0"/>
          <w:divBdr>
            <w:top w:val="none" w:sz="0" w:space="0" w:color="auto"/>
            <w:left w:val="none" w:sz="0" w:space="0" w:color="auto"/>
            <w:bottom w:val="none" w:sz="0" w:space="0" w:color="auto"/>
            <w:right w:val="none" w:sz="0" w:space="0" w:color="auto"/>
          </w:divBdr>
        </w:div>
      </w:divsChild>
    </w:div>
    <w:div w:id="669144392">
      <w:bodyDiv w:val="1"/>
      <w:marLeft w:val="0"/>
      <w:marRight w:val="0"/>
      <w:marTop w:val="0"/>
      <w:marBottom w:val="0"/>
      <w:divBdr>
        <w:top w:val="none" w:sz="0" w:space="0" w:color="auto"/>
        <w:left w:val="none" w:sz="0" w:space="0" w:color="auto"/>
        <w:bottom w:val="none" w:sz="0" w:space="0" w:color="auto"/>
        <w:right w:val="none" w:sz="0" w:space="0" w:color="auto"/>
      </w:divBdr>
      <w:divsChild>
        <w:div w:id="31804551">
          <w:marLeft w:val="0"/>
          <w:marRight w:val="0"/>
          <w:marTop w:val="0"/>
          <w:marBottom w:val="0"/>
          <w:divBdr>
            <w:top w:val="none" w:sz="0" w:space="0" w:color="auto"/>
            <w:left w:val="none" w:sz="0" w:space="0" w:color="auto"/>
            <w:bottom w:val="none" w:sz="0" w:space="0" w:color="auto"/>
            <w:right w:val="none" w:sz="0" w:space="0" w:color="auto"/>
          </w:divBdr>
        </w:div>
        <w:div w:id="258804835">
          <w:marLeft w:val="0"/>
          <w:marRight w:val="0"/>
          <w:marTop w:val="0"/>
          <w:marBottom w:val="0"/>
          <w:divBdr>
            <w:top w:val="none" w:sz="0" w:space="0" w:color="auto"/>
            <w:left w:val="none" w:sz="0" w:space="0" w:color="auto"/>
            <w:bottom w:val="none" w:sz="0" w:space="0" w:color="auto"/>
            <w:right w:val="none" w:sz="0" w:space="0" w:color="auto"/>
          </w:divBdr>
        </w:div>
        <w:div w:id="460418818">
          <w:marLeft w:val="0"/>
          <w:marRight w:val="0"/>
          <w:marTop w:val="0"/>
          <w:marBottom w:val="0"/>
          <w:divBdr>
            <w:top w:val="none" w:sz="0" w:space="0" w:color="auto"/>
            <w:left w:val="none" w:sz="0" w:space="0" w:color="auto"/>
            <w:bottom w:val="none" w:sz="0" w:space="0" w:color="auto"/>
            <w:right w:val="none" w:sz="0" w:space="0" w:color="auto"/>
          </w:divBdr>
        </w:div>
        <w:div w:id="677923319">
          <w:marLeft w:val="0"/>
          <w:marRight w:val="0"/>
          <w:marTop w:val="0"/>
          <w:marBottom w:val="0"/>
          <w:divBdr>
            <w:top w:val="none" w:sz="0" w:space="0" w:color="auto"/>
            <w:left w:val="none" w:sz="0" w:space="0" w:color="auto"/>
            <w:bottom w:val="none" w:sz="0" w:space="0" w:color="auto"/>
            <w:right w:val="none" w:sz="0" w:space="0" w:color="auto"/>
          </w:divBdr>
        </w:div>
        <w:div w:id="876896481">
          <w:marLeft w:val="0"/>
          <w:marRight w:val="0"/>
          <w:marTop w:val="0"/>
          <w:marBottom w:val="0"/>
          <w:divBdr>
            <w:top w:val="none" w:sz="0" w:space="0" w:color="auto"/>
            <w:left w:val="none" w:sz="0" w:space="0" w:color="auto"/>
            <w:bottom w:val="none" w:sz="0" w:space="0" w:color="auto"/>
            <w:right w:val="none" w:sz="0" w:space="0" w:color="auto"/>
          </w:divBdr>
        </w:div>
        <w:div w:id="1120025703">
          <w:marLeft w:val="0"/>
          <w:marRight w:val="0"/>
          <w:marTop w:val="0"/>
          <w:marBottom w:val="0"/>
          <w:divBdr>
            <w:top w:val="none" w:sz="0" w:space="0" w:color="auto"/>
            <w:left w:val="none" w:sz="0" w:space="0" w:color="auto"/>
            <w:bottom w:val="none" w:sz="0" w:space="0" w:color="auto"/>
            <w:right w:val="none" w:sz="0" w:space="0" w:color="auto"/>
          </w:divBdr>
        </w:div>
        <w:div w:id="1143234033">
          <w:marLeft w:val="0"/>
          <w:marRight w:val="0"/>
          <w:marTop w:val="0"/>
          <w:marBottom w:val="0"/>
          <w:divBdr>
            <w:top w:val="none" w:sz="0" w:space="0" w:color="auto"/>
            <w:left w:val="none" w:sz="0" w:space="0" w:color="auto"/>
            <w:bottom w:val="none" w:sz="0" w:space="0" w:color="auto"/>
            <w:right w:val="none" w:sz="0" w:space="0" w:color="auto"/>
          </w:divBdr>
        </w:div>
        <w:div w:id="1492984628">
          <w:marLeft w:val="0"/>
          <w:marRight w:val="0"/>
          <w:marTop w:val="0"/>
          <w:marBottom w:val="0"/>
          <w:divBdr>
            <w:top w:val="none" w:sz="0" w:space="0" w:color="auto"/>
            <w:left w:val="none" w:sz="0" w:space="0" w:color="auto"/>
            <w:bottom w:val="none" w:sz="0" w:space="0" w:color="auto"/>
            <w:right w:val="none" w:sz="0" w:space="0" w:color="auto"/>
          </w:divBdr>
        </w:div>
        <w:div w:id="1539049350">
          <w:marLeft w:val="0"/>
          <w:marRight w:val="0"/>
          <w:marTop w:val="0"/>
          <w:marBottom w:val="0"/>
          <w:divBdr>
            <w:top w:val="none" w:sz="0" w:space="0" w:color="auto"/>
            <w:left w:val="none" w:sz="0" w:space="0" w:color="auto"/>
            <w:bottom w:val="none" w:sz="0" w:space="0" w:color="auto"/>
            <w:right w:val="none" w:sz="0" w:space="0" w:color="auto"/>
          </w:divBdr>
        </w:div>
        <w:div w:id="1677073648">
          <w:marLeft w:val="0"/>
          <w:marRight w:val="0"/>
          <w:marTop w:val="0"/>
          <w:marBottom w:val="0"/>
          <w:divBdr>
            <w:top w:val="none" w:sz="0" w:space="0" w:color="auto"/>
            <w:left w:val="none" w:sz="0" w:space="0" w:color="auto"/>
            <w:bottom w:val="none" w:sz="0" w:space="0" w:color="auto"/>
            <w:right w:val="none" w:sz="0" w:space="0" w:color="auto"/>
          </w:divBdr>
        </w:div>
        <w:div w:id="1988775158">
          <w:marLeft w:val="0"/>
          <w:marRight w:val="0"/>
          <w:marTop w:val="0"/>
          <w:marBottom w:val="0"/>
          <w:divBdr>
            <w:top w:val="none" w:sz="0" w:space="0" w:color="auto"/>
            <w:left w:val="none" w:sz="0" w:space="0" w:color="auto"/>
            <w:bottom w:val="none" w:sz="0" w:space="0" w:color="auto"/>
            <w:right w:val="none" w:sz="0" w:space="0" w:color="auto"/>
          </w:divBdr>
        </w:div>
      </w:divsChild>
    </w:div>
    <w:div w:id="679703757">
      <w:bodyDiv w:val="1"/>
      <w:marLeft w:val="0"/>
      <w:marRight w:val="0"/>
      <w:marTop w:val="0"/>
      <w:marBottom w:val="0"/>
      <w:divBdr>
        <w:top w:val="none" w:sz="0" w:space="0" w:color="auto"/>
        <w:left w:val="none" w:sz="0" w:space="0" w:color="auto"/>
        <w:bottom w:val="none" w:sz="0" w:space="0" w:color="auto"/>
        <w:right w:val="none" w:sz="0" w:space="0" w:color="auto"/>
      </w:divBdr>
      <w:divsChild>
        <w:div w:id="302269765">
          <w:marLeft w:val="0"/>
          <w:marRight w:val="0"/>
          <w:marTop w:val="0"/>
          <w:marBottom w:val="0"/>
          <w:divBdr>
            <w:top w:val="none" w:sz="0" w:space="0" w:color="auto"/>
            <w:left w:val="none" w:sz="0" w:space="0" w:color="auto"/>
            <w:bottom w:val="none" w:sz="0" w:space="0" w:color="auto"/>
            <w:right w:val="none" w:sz="0" w:space="0" w:color="auto"/>
          </w:divBdr>
        </w:div>
        <w:div w:id="793789496">
          <w:marLeft w:val="0"/>
          <w:marRight w:val="0"/>
          <w:marTop w:val="0"/>
          <w:marBottom w:val="0"/>
          <w:divBdr>
            <w:top w:val="none" w:sz="0" w:space="0" w:color="auto"/>
            <w:left w:val="none" w:sz="0" w:space="0" w:color="auto"/>
            <w:bottom w:val="none" w:sz="0" w:space="0" w:color="auto"/>
            <w:right w:val="none" w:sz="0" w:space="0" w:color="auto"/>
          </w:divBdr>
        </w:div>
        <w:div w:id="1949317245">
          <w:marLeft w:val="0"/>
          <w:marRight w:val="0"/>
          <w:marTop w:val="0"/>
          <w:marBottom w:val="0"/>
          <w:divBdr>
            <w:top w:val="none" w:sz="0" w:space="0" w:color="auto"/>
            <w:left w:val="none" w:sz="0" w:space="0" w:color="auto"/>
            <w:bottom w:val="none" w:sz="0" w:space="0" w:color="auto"/>
            <w:right w:val="none" w:sz="0" w:space="0" w:color="auto"/>
          </w:divBdr>
        </w:div>
        <w:div w:id="2046904104">
          <w:marLeft w:val="0"/>
          <w:marRight w:val="0"/>
          <w:marTop w:val="0"/>
          <w:marBottom w:val="0"/>
          <w:divBdr>
            <w:top w:val="none" w:sz="0" w:space="0" w:color="auto"/>
            <w:left w:val="none" w:sz="0" w:space="0" w:color="auto"/>
            <w:bottom w:val="none" w:sz="0" w:space="0" w:color="auto"/>
            <w:right w:val="none" w:sz="0" w:space="0" w:color="auto"/>
          </w:divBdr>
        </w:div>
      </w:divsChild>
    </w:div>
    <w:div w:id="695353439">
      <w:bodyDiv w:val="1"/>
      <w:marLeft w:val="0"/>
      <w:marRight w:val="0"/>
      <w:marTop w:val="0"/>
      <w:marBottom w:val="0"/>
      <w:divBdr>
        <w:top w:val="none" w:sz="0" w:space="0" w:color="auto"/>
        <w:left w:val="none" w:sz="0" w:space="0" w:color="auto"/>
        <w:bottom w:val="none" w:sz="0" w:space="0" w:color="auto"/>
        <w:right w:val="none" w:sz="0" w:space="0" w:color="auto"/>
      </w:divBdr>
    </w:div>
    <w:div w:id="699623338">
      <w:bodyDiv w:val="1"/>
      <w:marLeft w:val="0"/>
      <w:marRight w:val="0"/>
      <w:marTop w:val="0"/>
      <w:marBottom w:val="0"/>
      <w:divBdr>
        <w:top w:val="none" w:sz="0" w:space="0" w:color="auto"/>
        <w:left w:val="none" w:sz="0" w:space="0" w:color="auto"/>
        <w:bottom w:val="none" w:sz="0" w:space="0" w:color="auto"/>
        <w:right w:val="none" w:sz="0" w:space="0" w:color="auto"/>
      </w:divBdr>
    </w:div>
    <w:div w:id="710615367">
      <w:bodyDiv w:val="1"/>
      <w:marLeft w:val="0"/>
      <w:marRight w:val="0"/>
      <w:marTop w:val="0"/>
      <w:marBottom w:val="0"/>
      <w:divBdr>
        <w:top w:val="none" w:sz="0" w:space="0" w:color="auto"/>
        <w:left w:val="none" w:sz="0" w:space="0" w:color="auto"/>
        <w:bottom w:val="none" w:sz="0" w:space="0" w:color="auto"/>
        <w:right w:val="none" w:sz="0" w:space="0" w:color="auto"/>
      </w:divBdr>
    </w:div>
    <w:div w:id="717436273">
      <w:bodyDiv w:val="1"/>
      <w:marLeft w:val="0"/>
      <w:marRight w:val="0"/>
      <w:marTop w:val="0"/>
      <w:marBottom w:val="0"/>
      <w:divBdr>
        <w:top w:val="none" w:sz="0" w:space="0" w:color="auto"/>
        <w:left w:val="none" w:sz="0" w:space="0" w:color="auto"/>
        <w:bottom w:val="none" w:sz="0" w:space="0" w:color="auto"/>
        <w:right w:val="none" w:sz="0" w:space="0" w:color="auto"/>
      </w:divBdr>
      <w:divsChild>
        <w:div w:id="167256094">
          <w:marLeft w:val="0"/>
          <w:marRight w:val="0"/>
          <w:marTop w:val="0"/>
          <w:marBottom w:val="0"/>
          <w:divBdr>
            <w:top w:val="none" w:sz="0" w:space="0" w:color="auto"/>
            <w:left w:val="none" w:sz="0" w:space="0" w:color="auto"/>
            <w:bottom w:val="none" w:sz="0" w:space="0" w:color="auto"/>
            <w:right w:val="none" w:sz="0" w:space="0" w:color="auto"/>
          </w:divBdr>
        </w:div>
        <w:div w:id="517697365">
          <w:marLeft w:val="0"/>
          <w:marRight w:val="0"/>
          <w:marTop w:val="0"/>
          <w:marBottom w:val="0"/>
          <w:divBdr>
            <w:top w:val="none" w:sz="0" w:space="0" w:color="auto"/>
            <w:left w:val="none" w:sz="0" w:space="0" w:color="auto"/>
            <w:bottom w:val="none" w:sz="0" w:space="0" w:color="auto"/>
            <w:right w:val="none" w:sz="0" w:space="0" w:color="auto"/>
          </w:divBdr>
        </w:div>
        <w:div w:id="526410139">
          <w:marLeft w:val="0"/>
          <w:marRight w:val="0"/>
          <w:marTop w:val="0"/>
          <w:marBottom w:val="0"/>
          <w:divBdr>
            <w:top w:val="none" w:sz="0" w:space="0" w:color="auto"/>
            <w:left w:val="none" w:sz="0" w:space="0" w:color="auto"/>
            <w:bottom w:val="none" w:sz="0" w:space="0" w:color="auto"/>
            <w:right w:val="none" w:sz="0" w:space="0" w:color="auto"/>
          </w:divBdr>
        </w:div>
        <w:div w:id="952903308">
          <w:marLeft w:val="0"/>
          <w:marRight w:val="0"/>
          <w:marTop w:val="0"/>
          <w:marBottom w:val="0"/>
          <w:divBdr>
            <w:top w:val="none" w:sz="0" w:space="0" w:color="auto"/>
            <w:left w:val="none" w:sz="0" w:space="0" w:color="auto"/>
            <w:bottom w:val="none" w:sz="0" w:space="0" w:color="auto"/>
            <w:right w:val="none" w:sz="0" w:space="0" w:color="auto"/>
          </w:divBdr>
        </w:div>
        <w:div w:id="1726175619">
          <w:marLeft w:val="0"/>
          <w:marRight w:val="0"/>
          <w:marTop w:val="0"/>
          <w:marBottom w:val="0"/>
          <w:divBdr>
            <w:top w:val="none" w:sz="0" w:space="0" w:color="auto"/>
            <w:left w:val="none" w:sz="0" w:space="0" w:color="auto"/>
            <w:bottom w:val="none" w:sz="0" w:space="0" w:color="auto"/>
            <w:right w:val="none" w:sz="0" w:space="0" w:color="auto"/>
          </w:divBdr>
        </w:div>
      </w:divsChild>
    </w:div>
    <w:div w:id="717782451">
      <w:bodyDiv w:val="1"/>
      <w:marLeft w:val="0"/>
      <w:marRight w:val="0"/>
      <w:marTop w:val="0"/>
      <w:marBottom w:val="0"/>
      <w:divBdr>
        <w:top w:val="none" w:sz="0" w:space="0" w:color="auto"/>
        <w:left w:val="none" w:sz="0" w:space="0" w:color="auto"/>
        <w:bottom w:val="none" w:sz="0" w:space="0" w:color="auto"/>
        <w:right w:val="none" w:sz="0" w:space="0" w:color="auto"/>
      </w:divBdr>
    </w:div>
    <w:div w:id="747002586">
      <w:bodyDiv w:val="1"/>
      <w:marLeft w:val="0"/>
      <w:marRight w:val="0"/>
      <w:marTop w:val="0"/>
      <w:marBottom w:val="0"/>
      <w:divBdr>
        <w:top w:val="none" w:sz="0" w:space="0" w:color="auto"/>
        <w:left w:val="none" w:sz="0" w:space="0" w:color="auto"/>
        <w:bottom w:val="none" w:sz="0" w:space="0" w:color="auto"/>
        <w:right w:val="none" w:sz="0" w:space="0" w:color="auto"/>
      </w:divBdr>
    </w:div>
    <w:div w:id="768551562">
      <w:bodyDiv w:val="1"/>
      <w:marLeft w:val="0"/>
      <w:marRight w:val="0"/>
      <w:marTop w:val="0"/>
      <w:marBottom w:val="0"/>
      <w:divBdr>
        <w:top w:val="none" w:sz="0" w:space="0" w:color="auto"/>
        <w:left w:val="none" w:sz="0" w:space="0" w:color="auto"/>
        <w:bottom w:val="none" w:sz="0" w:space="0" w:color="auto"/>
        <w:right w:val="none" w:sz="0" w:space="0" w:color="auto"/>
      </w:divBdr>
      <w:divsChild>
        <w:div w:id="1496342696">
          <w:marLeft w:val="0"/>
          <w:marRight w:val="0"/>
          <w:marTop w:val="0"/>
          <w:marBottom w:val="0"/>
          <w:divBdr>
            <w:top w:val="none" w:sz="0" w:space="0" w:color="auto"/>
            <w:left w:val="none" w:sz="0" w:space="0" w:color="auto"/>
            <w:bottom w:val="none" w:sz="0" w:space="0" w:color="auto"/>
            <w:right w:val="none" w:sz="0" w:space="0" w:color="auto"/>
          </w:divBdr>
        </w:div>
        <w:div w:id="1818722102">
          <w:marLeft w:val="0"/>
          <w:marRight w:val="0"/>
          <w:marTop w:val="0"/>
          <w:marBottom w:val="0"/>
          <w:divBdr>
            <w:top w:val="none" w:sz="0" w:space="0" w:color="auto"/>
            <w:left w:val="none" w:sz="0" w:space="0" w:color="auto"/>
            <w:bottom w:val="none" w:sz="0" w:space="0" w:color="auto"/>
            <w:right w:val="none" w:sz="0" w:space="0" w:color="auto"/>
          </w:divBdr>
        </w:div>
      </w:divsChild>
    </w:div>
    <w:div w:id="769086884">
      <w:bodyDiv w:val="1"/>
      <w:marLeft w:val="0"/>
      <w:marRight w:val="0"/>
      <w:marTop w:val="0"/>
      <w:marBottom w:val="0"/>
      <w:divBdr>
        <w:top w:val="none" w:sz="0" w:space="0" w:color="auto"/>
        <w:left w:val="none" w:sz="0" w:space="0" w:color="auto"/>
        <w:bottom w:val="none" w:sz="0" w:space="0" w:color="auto"/>
        <w:right w:val="none" w:sz="0" w:space="0" w:color="auto"/>
      </w:divBdr>
    </w:div>
    <w:div w:id="780075122">
      <w:bodyDiv w:val="1"/>
      <w:marLeft w:val="0"/>
      <w:marRight w:val="0"/>
      <w:marTop w:val="0"/>
      <w:marBottom w:val="0"/>
      <w:divBdr>
        <w:top w:val="none" w:sz="0" w:space="0" w:color="auto"/>
        <w:left w:val="none" w:sz="0" w:space="0" w:color="auto"/>
        <w:bottom w:val="none" w:sz="0" w:space="0" w:color="auto"/>
        <w:right w:val="none" w:sz="0" w:space="0" w:color="auto"/>
      </w:divBdr>
      <w:divsChild>
        <w:div w:id="464466123">
          <w:marLeft w:val="0"/>
          <w:marRight w:val="0"/>
          <w:marTop w:val="0"/>
          <w:marBottom w:val="0"/>
          <w:divBdr>
            <w:top w:val="none" w:sz="0" w:space="0" w:color="auto"/>
            <w:left w:val="none" w:sz="0" w:space="0" w:color="auto"/>
            <w:bottom w:val="none" w:sz="0" w:space="0" w:color="auto"/>
            <w:right w:val="none" w:sz="0" w:space="0" w:color="auto"/>
          </w:divBdr>
        </w:div>
        <w:div w:id="1174339952">
          <w:marLeft w:val="0"/>
          <w:marRight w:val="0"/>
          <w:marTop w:val="0"/>
          <w:marBottom w:val="0"/>
          <w:divBdr>
            <w:top w:val="none" w:sz="0" w:space="0" w:color="auto"/>
            <w:left w:val="none" w:sz="0" w:space="0" w:color="auto"/>
            <w:bottom w:val="none" w:sz="0" w:space="0" w:color="auto"/>
            <w:right w:val="none" w:sz="0" w:space="0" w:color="auto"/>
          </w:divBdr>
        </w:div>
        <w:div w:id="1270506793">
          <w:marLeft w:val="0"/>
          <w:marRight w:val="0"/>
          <w:marTop w:val="0"/>
          <w:marBottom w:val="0"/>
          <w:divBdr>
            <w:top w:val="none" w:sz="0" w:space="0" w:color="auto"/>
            <w:left w:val="none" w:sz="0" w:space="0" w:color="auto"/>
            <w:bottom w:val="none" w:sz="0" w:space="0" w:color="auto"/>
            <w:right w:val="none" w:sz="0" w:space="0" w:color="auto"/>
          </w:divBdr>
        </w:div>
        <w:div w:id="1740907010">
          <w:marLeft w:val="0"/>
          <w:marRight w:val="0"/>
          <w:marTop w:val="0"/>
          <w:marBottom w:val="0"/>
          <w:divBdr>
            <w:top w:val="none" w:sz="0" w:space="0" w:color="auto"/>
            <w:left w:val="none" w:sz="0" w:space="0" w:color="auto"/>
            <w:bottom w:val="none" w:sz="0" w:space="0" w:color="auto"/>
            <w:right w:val="none" w:sz="0" w:space="0" w:color="auto"/>
          </w:divBdr>
        </w:div>
        <w:div w:id="1923105048">
          <w:marLeft w:val="0"/>
          <w:marRight w:val="0"/>
          <w:marTop w:val="0"/>
          <w:marBottom w:val="0"/>
          <w:divBdr>
            <w:top w:val="none" w:sz="0" w:space="0" w:color="auto"/>
            <w:left w:val="none" w:sz="0" w:space="0" w:color="auto"/>
            <w:bottom w:val="none" w:sz="0" w:space="0" w:color="auto"/>
            <w:right w:val="none" w:sz="0" w:space="0" w:color="auto"/>
          </w:divBdr>
        </w:div>
      </w:divsChild>
    </w:div>
    <w:div w:id="782068351">
      <w:bodyDiv w:val="1"/>
      <w:marLeft w:val="0"/>
      <w:marRight w:val="0"/>
      <w:marTop w:val="0"/>
      <w:marBottom w:val="0"/>
      <w:divBdr>
        <w:top w:val="none" w:sz="0" w:space="0" w:color="auto"/>
        <w:left w:val="none" w:sz="0" w:space="0" w:color="auto"/>
        <w:bottom w:val="none" w:sz="0" w:space="0" w:color="auto"/>
        <w:right w:val="none" w:sz="0" w:space="0" w:color="auto"/>
      </w:divBdr>
    </w:div>
    <w:div w:id="797186608">
      <w:bodyDiv w:val="1"/>
      <w:marLeft w:val="0"/>
      <w:marRight w:val="0"/>
      <w:marTop w:val="0"/>
      <w:marBottom w:val="0"/>
      <w:divBdr>
        <w:top w:val="none" w:sz="0" w:space="0" w:color="auto"/>
        <w:left w:val="none" w:sz="0" w:space="0" w:color="auto"/>
        <w:bottom w:val="none" w:sz="0" w:space="0" w:color="auto"/>
        <w:right w:val="none" w:sz="0" w:space="0" w:color="auto"/>
      </w:divBdr>
    </w:div>
    <w:div w:id="798375918">
      <w:bodyDiv w:val="1"/>
      <w:marLeft w:val="0"/>
      <w:marRight w:val="0"/>
      <w:marTop w:val="0"/>
      <w:marBottom w:val="0"/>
      <w:divBdr>
        <w:top w:val="none" w:sz="0" w:space="0" w:color="auto"/>
        <w:left w:val="none" w:sz="0" w:space="0" w:color="auto"/>
        <w:bottom w:val="none" w:sz="0" w:space="0" w:color="auto"/>
        <w:right w:val="none" w:sz="0" w:space="0" w:color="auto"/>
      </w:divBdr>
    </w:div>
    <w:div w:id="805129151">
      <w:bodyDiv w:val="1"/>
      <w:marLeft w:val="0"/>
      <w:marRight w:val="0"/>
      <w:marTop w:val="0"/>
      <w:marBottom w:val="0"/>
      <w:divBdr>
        <w:top w:val="none" w:sz="0" w:space="0" w:color="auto"/>
        <w:left w:val="none" w:sz="0" w:space="0" w:color="auto"/>
        <w:bottom w:val="none" w:sz="0" w:space="0" w:color="auto"/>
        <w:right w:val="none" w:sz="0" w:space="0" w:color="auto"/>
      </w:divBdr>
      <w:divsChild>
        <w:div w:id="145367616">
          <w:marLeft w:val="0"/>
          <w:marRight w:val="0"/>
          <w:marTop w:val="0"/>
          <w:marBottom w:val="0"/>
          <w:divBdr>
            <w:top w:val="none" w:sz="0" w:space="0" w:color="auto"/>
            <w:left w:val="none" w:sz="0" w:space="0" w:color="auto"/>
            <w:bottom w:val="none" w:sz="0" w:space="0" w:color="auto"/>
            <w:right w:val="none" w:sz="0" w:space="0" w:color="auto"/>
          </w:divBdr>
        </w:div>
        <w:div w:id="252587716">
          <w:marLeft w:val="0"/>
          <w:marRight w:val="0"/>
          <w:marTop w:val="0"/>
          <w:marBottom w:val="0"/>
          <w:divBdr>
            <w:top w:val="none" w:sz="0" w:space="0" w:color="auto"/>
            <w:left w:val="none" w:sz="0" w:space="0" w:color="auto"/>
            <w:bottom w:val="none" w:sz="0" w:space="0" w:color="auto"/>
            <w:right w:val="none" w:sz="0" w:space="0" w:color="auto"/>
          </w:divBdr>
        </w:div>
        <w:div w:id="666789199">
          <w:marLeft w:val="0"/>
          <w:marRight w:val="0"/>
          <w:marTop w:val="0"/>
          <w:marBottom w:val="0"/>
          <w:divBdr>
            <w:top w:val="none" w:sz="0" w:space="0" w:color="auto"/>
            <w:left w:val="none" w:sz="0" w:space="0" w:color="auto"/>
            <w:bottom w:val="none" w:sz="0" w:space="0" w:color="auto"/>
            <w:right w:val="none" w:sz="0" w:space="0" w:color="auto"/>
          </w:divBdr>
        </w:div>
        <w:div w:id="772824058">
          <w:marLeft w:val="0"/>
          <w:marRight w:val="0"/>
          <w:marTop w:val="0"/>
          <w:marBottom w:val="0"/>
          <w:divBdr>
            <w:top w:val="none" w:sz="0" w:space="0" w:color="auto"/>
            <w:left w:val="none" w:sz="0" w:space="0" w:color="auto"/>
            <w:bottom w:val="none" w:sz="0" w:space="0" w:color="auto"/>
            <w:right w:val="none" w:sz="0" w:space="0" w:color="auto"/>
          </w:divBdr>
        </w:div>
        <w:div w:id="858084159">
          <w:marLeft w:val="0"/>
          <w:marRight w:val="0"/>
          <w:marTop w:val="0"/>
          <w:marBottom w:val="0"/>
          <w:divBdr>
            <w:top w:val="none" w:sz="0" w:space="0" w:color="auto"/>
            <w:left w:val="none" w:sz="0" w:space="0" w:color="auto"/>
            <w:bottom w:val="none" w:sz="0" w:space="0" w:color="auto"/>
            <w:right w:val="none" w:sz="0" w:space="0" w:color="auto"/>
          </w:divBdr>
        </w:div>
        <w:div w:id="1440490165">
          <w:marLeft w:val="0"/>
          <w:marRight w:val="0"/>
          <w:marTop w:val="0"/>
          <w:marBottom w:val="0"/>
          <w:divBdr>
            <w:top w:val="none" w:sz="0" w:space="0" w:color="auto"/>
            <w:left w:val="none" w:sz="0" w:space="0" w:color="auto"/>
            <w:bottom w:val="none" w:sz="0" w:space="0" w:color="auto"/>
            <w:right w:val="none" w:sz="0" w:space="0" w:color="auto"/>
          </w:divBdr>
        </w:div>
      </w:divsChild>
    </w:div>
    <w:div w:id="820581498">
      <w:bodyDiv w:val="1"/>
      <w:marLeft w:val="0"/>
      <w:marRight w:val="0"/>
      <w:marTop w:val="0"/>
      <w:marBottom w:val="0"/>
      <w:divBdr>
        <w:top w:val="none" w:sz="0" w:space="0" w:color="auto"/>
        <w:left w:val="none" w:sz="0" w:space="0" w:color="auto"/>
        <w:bottom w:val="none" w:sz="0" w:space="0" w:color="auto"/>
        <w:right w:val="none" w:sz="0" w:space="0" w:color="auto"/>
      </w:divBdr>
    </w:div>
    <w:div w:id="827014272">
      <w:bodyDiv w:val="1"/>
      <w:marLeft w:val="0"/>
      <w:marRight w:val="0"/>
      <w:marTop w:val="0"/>
      <w:marBottom w:val="0"/>
      <w:divBdr>
        <w:top w:val="none" w:sz="0" w:space="0" w:color="auto"/>
        <w:left w:val="none" w:sz="0" w:space="0" w:color="auto"/>
        <w:bottom w:val="none" w:sz="0" w:space="0" w:color="auto"/>
        <w:right w:val="none" w:sz="0" w:space="0" w:color="auto"/>
      </w:divBdr>
      <w:divsChild>
        <w:div w:id="1996914240">
          <w:marLeft w:val="0"/>
          <w:marRight w:val="0"/>
          <w:marTop w:val="0"/>
          <w:marBottom w:val="0"/>
          <w:divBdr>
            <w:top w:val="none" w:sz="0" w:space="0" w:color="auto"/>
            <w:left w:val="none" w:sz="0" w:space="0" w:color="auto"/>
            <w:bottom w:val="none" w:sz="0" w:space="0" w:color="auto"/>
            <w:right w:val="none" w:sz="0" w:space="0" w:color="auto"/>
          </w:divBdr>
        </w:div>
        <w:div w:id="287709550">
          <w:marLeft w:val="0"/>
          <w:marRight w:val="0"/>
          <w:marTop w:val="0"/>
          <w:marBottom w:val="0"/>
          <w:divBdr>
            <w:top w:val="none" w:sz="0" w:space="0" w:color="auto"/>
            <w:left w:val="none" w:sz="0" w:space="0" w:color="auto"/>
            <w:bottom w:val="none" w:sz="0" w:space="0" w:color="auto"/>
            <w:right w:val="none" w:sz="0" w:space="0" w:color="auto"/>
          </w:divBdr>
        </w:div>
        <w:div w:id="504368640">
          <w:marLeft w:val="0"/>
          <w:marRight w:val="0"/>
          <w:marTop w:val="0"/>
          <w:marBottom w:val="0"/>
          <w:divBdr>
            <w:top w:val="none" w:sz="0" w:space="0" w:color="auto"/>
            <w:left w:val="none" w:sz="0" w:space="0" w:color="auto"/>
            <w:bottom w:val="none" w:sz="0" w:space="0" w:color="auto"/>
            <w:right w:val="none" w:sz="0" w:space="0" w:color="auto"/>
          </w:divBdr>
        </w:div>
      </w:divsChild>
    </w:div>
    <w:div w:id="834685316">
      <w:bodyDiv w:val="1"/>
      <w:marLeft w:val="0"/>
      <w:marRight w:val="0"/>
      <w:marTop w:val="0"/>
      <w:marBottom w:val="0"/>
      <w:divBdr>
        <w:top w:val="none" w:sz="0" w:space="0" w:color="auto"/>
        <w:left w:val="none" w:sz="0" w:space="0" w:color="auto"/>
        <w:bottom w:val="none" w:sz="0" w:space="0" w:color="auto"/>
        <w:right w:val="none" w:sz="0" w:space="0" w:color="auto"/>
      </w:divBdr>
    </w:div>
    <w:div w:id="836001232">
      <w:bodyDiv w:val="1"/>
      <w:marLeft w:val="0"/>
      <w:marRight w:val="0"/>
      <w:marTop w:val="0"/>
      <w:marBottom w:val="0"/>
      <w:divBdr>
        <w:top w:val="none" w:sz="0" w:space="0" w:color="auto"/>
        <w:left w:val="none" w:sz="0" w:space="0" w:color="auto"/>
        <w:bottom w:val="none" w:sz="0" w:space="0" w:color="auto"/>
        <w:right w:val="none" w:sz="0" w:space="0" w:color="auto"/>
      </w:divBdr>
    </w:div>
    <w:div w:id="837159220">
      <w:bodyDiv w:val="1"/>
      <w:marLeft w:val="0"/>
      <w:marRight w:val="0"/>
      <w:marTop w:val="0"/>
      <w:marBottom w:val="0"/>
      <w:divBdr>
        <w:top w:val="none" w:sz="0" w:space="0" w:color="auto"/>
        <w:left w:val="none" w:sz="0" w:space="0" w:color="auto"/>
        <w:bottom w:val="none" w:sz="0" w:space="0" w:color="auto"/>
        <w:right w:val="none" w:sz="0" w:space="0" w:color="auto"/>
      </w:divBdr>
    </w:div>
    <w:div w:id="850726387">
      <w:bodyDiv w:val="1"/>
      <w:marLeft w:val="0"/>
      <w:marRight w:val="0"/>
      <w:marTop w:val="0"/>
      <w:marBottom w:val="0"/>
      <w:divBdr>
        <w:top w:val="none" w:sz="0" w:space="0" w:color="auto"/>
        <w:left w:val="none" w:sz="0" w:space="0" w:color="auto"/>
        <w:bottom w:val="none" w:sz="0" w:space="0" w:color="auto"/>
        <w:right w:val="none" w:sz="0" w:space="0" w:color="auto"/>
      </w:divBdr>
    </w:div>
    <w:div w:id="856575163">
      <w:bodyDiv w:val="1"/>
      <w:marLeft w:val="0"/>
      <w:marRight w:val="0"/>
      <w:marTop w:val="0"/>
      <w:marBottom w:val="0"/>
      <w:divBdr>
        <w:top w:val="none" w:sz="0" w:space="0" w:color="auto"/>
        <w:left w:val="none" w:sz="0" w:space="0" w:color="auto"/>
        <w:bottom w:val="none" w:sz="0" w:space="0" w:color="auto"/>
        <w:right w:val="none" w:sz="0" w:space="0" w:color="auto"/>
      </w:divBdr>
    </w:div>
    <w:div w:id="883298768">
      <w:bodyDiv w:val="1"/>
      <w:marLeft w:val="0"/>
      <w:marRight w:val="0"/>
      <w:marTop w:val="0"/>
      <w:marBottom w:val="0"/>
      <w:divBdr>
        <w:top w:val="none" w:sz="0" w:space="0" w:color="auto"/>
        <w:left w:val="none" w:sz="0" w:space="0" w:color="auto"/>
        <w:bottom w:val="none" w:sz="0" w:space="0" w:color="auto"/>
        <w:right w:val="none" w:sz="0" w:space="0" w:color="auto"/>
      </w:divBdr>
    </w:div>
    <w:div w:id="907227852">
      <w:bodyDiv w:val="1"/>
      <w:marLeft w:val="0"/>
      <w:marRight w:val="0"/>
      <w:marTop w:val="0"/>
      <w:marBottom w:val="0"/>
      <w:divBdr>
        <w:top w:val="none" w:sz="0" w:space="0" w:color="auto"/>
        <w:left w:val="none" w:sz="0" w:space="0" w:color="auto"/>
        <w:bottom w:val="none" w:sz="0" w:space="0" w:color="auto"/>
        <w:right w:val="none" w:sz="0" w:space="0" w:color="auto"/>
      </w:divBdr>
    </w:div>
    <w:div w:id="909340189">
      <w:bodyDiv w:val="1"/>
      <w:marLeft w:val="0"/>
      <w:marRight w:val="0"/>
      <w:marTop w:val="0"/>
      <w:marBottom w:val="0"/>
      <w:divBdr>
        <w:top w:val="none" w:sz="0" w:space="0" w:color="auto"/>
        <w:left w:val="none" w:sz="0" w:space="0" w:color="auto"/>
        <w:bottom w:val="none" w:sz="0" w:space="0" w:color="auto"/>
        <w:right w:val="none" w:sz="0" w:space="0" w:color="auto"/>
      </w:divBdr>
    </w:div>
    <w:div w:id="924265528">
      <w:bodyDiv w:val="1"/>
      <w:marLeft w:val="0"/>
      <w:marRight w:val="0"/>
      <w:marTop w:val="0"/>
      <w:marBottom w:val="0"/>
      <w:divBdr>
        <w:top w:val="none" w:sz="0" w:space="0" w:color="auto"/>
        <w:left w:val="none" w:sz="0" w:space="0" w:color="auto"/>
        <w:bottom w:val="none" w:sz="0" w:space="0" w:color="auto"/>
        <w:right w:val="none" w:sz="0" w:space="0" w:color="auto"/>
      </w:divBdr>
    </w:div>
    <w:div w:id="938610702">
      <w:bodyDiv w:val="1"/>
      <w:marLeft w:val="0"/>
      <w:marRight w:val="0"/>
      <w:marTop w:val="0"/>
      <w:marBottom w:val="0"/>
      <w:divBdr>
        <w:top w:val="none" w:sz="0" w:space="0" w:color="auto"/>
        <w:left w:val="none" w:sz="0" w:space="0" w:color="auto"/>
        <w:bottom w:val="none" w:sz="0" w:space="0" w:color="auto"/>
        <w:right w:val="none" w:sz="0" w:space="0" w:color="auto"/>
      </w:divBdr>
    </w:div>
    <w:div w:id="942224391">
      <w:bodyDiv w:val="1"/>
      <w:marLeft w:val="0"/>
      <w:marRight w:val="0"/>
      <w:marTop w:val="0"/>
      <w:marBottom w:val="0"/>
      <w:divBdr>
        <w:top w:val="none" w:sz="0" w:space="0" w:color="auto"/>
        <w:left w:val="none" w:sz="0" w:space="0" w:color="auto"/>
        <w:bottom w:val="none" w:sz="0" w:space="0" w:color="auto"/>
        <w:right w:val="none" w:sz="0" w:space="0" w:color="auto"/>
      </w:divBdr>
    </w:div>
    <w:div w:id="953293853">
      <w:bodyDiv w:val="1"/>
      <w:marLeft w:val="0"/>
      <w:marRight w:val="0"/>
      <w:marTop w:val="0"/>
      <w:marBottom w:val="0"/>
      <w:divBdr>
        <w:top w:val="none" w:sz="0" w:space="0" w:color="auto"/>
        <w:left w:val="none" w:sz="0" w:space="0" w:color="auto"/>
        <w:bottom w:val="none" w:sz="0" w:space="0" w:color="auto"/>
        <w:right w:val="none" w:sz="0" w:space="0" w:color="auto"/>
      </w:divBdr>
    </w:div>
    <w:div w:id="1055277821">
      <w:bodyDiv w:val="1"/>
      <w:marLeft w:val="0"/>
      <w:marRight w:val="0"/>
      <w:marTop w:val="0"/>
      <w:marBottom w:val="0"/>
      <w:divBdr>
        <w:top w:val="none" w:sz="0" w:space="0" w:color="auto"/>
        <w:left w:val="none" w:sz="0" w:space="0" w:color="auto"/>
        <w:bottom w:val="none" w:sz="0" w:space="0" w:color="auto"/>
        <w:right w:val="none" w:sz="0" w:space="0" w:color="auto"/>
      </w:divBdr>
    </w:div>
    <w:div w:id="1059748040">
      <w:bodyDiv w:val="1"/>
      <w:marLeft w:val="0"/>
      <w:marRight w:val="0"/>
      <w:marTop w:val="0"/>
      <w:marBottom w:val="0"/>
      <w:divBdr>
        <w:top w:val="none" w:sz="0" w:space="0" w:color="auto"/>
        <w:left w:val="none" w:sz="0" w:space="0" w:color="auto"/>
        <w:bottom w:val="none" w:sz="0" w:space="0" w:color="auto"/>
        <w:right w:val="none" w:sz="0" w:space="0" w:color="auto"/>
      </w:divBdr>
    </w:div>
    <w:div w:id="1063405015">
      <w:bodyDiv w:val="1"/>
      <w:marLeft w:val="0"/>
      <w:marRight w:val="0"/>
      <w:marTop w:val="0"/>
      <w:marBottom w:val="0"/>
      <w:divBdr>
        <w:top w:val="none" w:sz="0" w:space="0" w:color="auto"/>
        <w:left w:val="none" w:sz="0" w:space="0" w:color="auto"/>
        <w:bottom w:val="none" w:sz="0" w:space="0" w:color="auto"/>
        <w:right w:val="none" w:sz="0" w:space="0" w:color="auto"/>
      </w:divBdr>
      <w:divsChild>
        <w:div w:id="1152285953">
          <w:marLeft w:val="0"/>
          <w:marRight w:val="0"/>
          <w:marTop w:val="0"/>
          <w:marBottom w:val="0"/>
          <w:divBdr>
            <w:top w:val="none" w:sz="0" w:space="0" w:color="auto"/>
            <w:left w:val="none" w:sz="0" w:space="0" w:color="auto"/>
            <w:bottom w:val="none" w:sz="0" w:space="0" w:color="auto"/>
            <w:right w:val="none" w:sz="0" w:space="0" w:color="auto"/>
          </w:divBdr>
          <w:divsChild>
            <w:div w:id="644551072">
              <w:marLeft w:val="0"/>
              <w:marRight w:val="0"/>
              <w:marTop w:val="0"/>
              <w:marBottom w:val="0"/>
              <w:divBdr>
                <w:top w:val="none" w:sz="0" w:space="0" w:color="auto"/>
                <w:left w:val="none" w:sz="0" w:space="0" w:color="auto"/>
                <w:bottom w:val="none" w:sz="0" w:space="0" w:color="auto"/>
                <w:right w:val="none" w:sz="0" w:space="0" w:color="auto"/>
              </w:divBdr>
              <w:divsChild>
                <w:div w:id="803157060">
                  <w:marLeft w:val="0"/>
                  <w:marRight w:val="0"/>
                  <w:marTop w:val="0"/>
                  <w:marBottom w:val="0"/>
                  <w:divBdr>
                    <w:top w:val="none" w:sz="0" w:space="0" w:color="auto"/>
                    <w:left w:val="none" w:sz="0" w:space="0" w:color="auto"/>
                    <w:bottom w:val="none" w:sz="0" w:space="0" w:color="auto"/>
                    <w:right w:val="none" w:sz="0" w:space="0" w:color="auto"/>
                  </w:divBdr>
                  <w:divsChild>
                    <w:div w:id="36587311">
                      <w:marLeft w:val="0"/>
                      <w:marRight w:val="0"/>
                      <w:marTop w:val="0"/>
                      <w:marBottom w:val="0"/>
                      <w:divBdr>
                        <w:top w:val="none" w:sz="0" w:space="0" w:color="auto"/>
                        <w:left w:val="none" w:sz="0" w:space="0" w:color="auto"/>
                        <w:bottom w:val="none" w:sz="0" w:space="0" w:color="auto"/>
                        <w:right w:val="none" w:sz="0" w:space="0" w:color="auto"/>
                      </w:divBdr>
                    </w:div>
                    <w:div w:id="59327002">
                      <w:marLeft w:val="0"/>
                      <w:marRight w:val="0"/>
                      <w:marTop w:val="0"/>
                      <w:marBottom w:val="0"/>
                      <w:divBdr>
                        <w:top w:val="none" w:sz="0" w:space="0" w:color="auto"/>
                        <w:left w:val="none" w:sz="0" w:space="0" w:color="auto"/>
                        <w:bottom w:val="none" w:sz="0" w:space="0" w:color="auto"/>
                        <w:right w:val="none" w:sz="0" w:space="0" w:color="auto"/>
                      </w:divBdr>
                    </w:div>
                    <w:div w:id="1851793645">
                      <w:marLeft w:val="0"/>
                      <w:marRight w:val="0"/>
                      <w:marTop w:val="0"/>
                      <w:marBottom w:val="0"/>
                      <w:divBdr>
                        <w:top w:val="none" w:sz="0" w:space="0" w:color="auto"/>
                        <w:left w:val="none" w:sz="0" w:space="0" w:color="auto"/>
                        <w:bottom w:val="none" w:sz="0" w:space="0" w:color="auto"/>
                        <w:right w:val="none" w:sz="0" w:space="0" w:color="auto"/>
                      </w:divBdr>
                    </w:div>
                    <w:div w:id="205287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521318">
      <w:bodyDiv w:val="1"/>
      <w:marLeft w:val="0"/>
      <w:marRight w:val="0"/>
      <w:marTop w:val="0"/>
      <w:marBottom w:val="0"/>
      <w:divBdr>
        <w:top w:val="none" w:sz="0" w:space="0" w:color="auto"/>
        <w:left w:val="none" w:sz="0" w:space="0" w:color="auto"/>
        <w:bottom w:val="none" w:sz="0" w:space="0" w:color="auto"/>
        <w:right w:val="none" w:sz="0" w:space="0" w:color="auto"/>
      </w:divBdr>
      <w:divsChild>
        <w:div w:id="591863625">
          <w:marLeft w:val="0"/>
          <w:marRight w:val="0"/>
          <w:marTop w:val="0"/>
          <w:marBottom w:val="0"/>
          <w:divBdr>
            <w:top w:val="none" w:sz="0" w:space="0" w:color="auto"/>
            <w:left w:val="none" w:sz="0" w:space="0" w:color="auto"/>
            <w:bottom w:val="none" w:sz="0" w:space="0" w:color="auto"/>
            <w:right w:val="none" w:sz="0" w:space="0" w:color="auto"/>
          </w:divBdr>
        </w:div>
        <w:div w:id="1236744614">
          <w:marLeft w:val="0"/>
          <w:marRight w:val="0"/>
          <w:marTop w:val="0"/>
          <w:marBottom w:val="0"/>
          <w:divBdr>
            <w:top w:val="none" w:sz="0" w:space="0" w:color="auto"/>
            <w:left w:val="none" w:sz="0" w:space="0" w:color="auto"/>
            <w:bottom w:val="none" w:sz="0" w:space="0" w:color="auto"/>
            <w:right w:val="none" w:sz="0" w:space="0" w:color="auto"/>
          </w:divBdr>
        </w:div>
        <w:div w:id="1929654781">
          <w:marLeft w:val="0"/>
          <w:marRight w:val="0"/>
          <w:marTop w:val="0"/>
          <w:marBottom w:val="0"/>
          <w:divBdr>
            <w:top w:val="none" w:sz="0" w:space="0" w:color="auto"/>
            <w:left w:val="none" w:sz="0" w:space="0" w:color="auto"/>
            <w:bottom w:val="none" w:sz="0" w:space="0" w:color="auto"/>
            <w:right w:val="none" w:sz="0" w:space="0" w:color="auto"/>
          </w:divBdr>
        </w:div>
      </w:divsChild>
    </w:div>
    <w:div w:id="1081558677">
      <w:bodyDiv w:val="1"/>
      <w:marLeft w:val="0"/>
      <w:marRight w:val="0"/>
      <w:marTop w:val="0"/>
      <w:marBottom w:val="0"/>
      <w:divBdr>
        <w:top w:val="none" w:sz="0" w:space="0" w:color="auto"/>
        <w:left w:val="none" w:sz="0" w:space="0" w:color="auto"/>
        <w:bottom w:val="none" w:sz="0" w:space="0" w:color="auto"/>
        <w:right w:val="none" w:sz="0" w:space="0" w:color="auto"/>
      </w:divBdr>
    </w:div>
    <w:div w:id="1090656552">
      <w:bodyDiv w:val="1"/>
      <w:marLeft w:val="0"/>
      <w:marRight w:val="0"/>
      <w:marTop w:val="0"/>
      <w:marBottom w:val="0"/>
      <w:divBdr>
        <w:top w:val="none" w:sz="0" w:space="0" w:color="auto"/>
        <w:left w:val="none" w:sz="0" w:space="0" w:color="auto"/>
        <w:bottom w:val="none" w:sz="0" w:space="0" w:color="auto"/>
        <w:right w:val="none" w:sz="0" w:space="0" w:color="auto"/>
      </w:divBdr>
    </w:div>
    <w:div w:id="1092164398">
      <w:bodyDiv w:val="1"/>
      <w:marLeft w:val="0"/>
      <w:marRight w:val="0"/>
      <w:marTop w:val="0"/>
      <w:marBottom w:val="0"/>
      <w:divBdr>
        <w:top w:val="none" w:sz="0" w:space="0" w:color="auto"/>
        <w:left w:val="none" w:sz="0" w:space="0" w:color="auto"/>
        <w:bottom w:val="none" w:sz="0" w:space="0" w:color="auto"/>
        <w:right w:val="none" w:sz="0" w:space="0" w:color="auto"/>
      </w:divBdr>
    </w:div>
    <w:div w:id="1156651119">
      <w:bodyDiv w:val="1"/>
      <w:marLeft w:val="0"/>
      <w:marRight w:val="0"/>
      <w:marTop w:val="0"/>
      <w:marBottom w:val="0"/>
      <w:divBdr>
        <w:top w:val="none" w:sz="0" w:space="0" w:color="auto"/>
        <w:left w:val="none" w:sz="0" w:space="0" w:color="auto"/>
        <w:bottom w:val="none" w:sz="0" w:space="0" w:color="auto"/>
        <w:right w:val="none" w:sz="0" w:space="0" w:color="auto"/>
      </w:divBdr>
    </w:div>
    <w:div w:id="1158885355">
      <w:bodyDiv w:val="1"/>
      <w:marLeft w:val="0"/>
      <w:marRight w:val="0"/>
      <w:marTop w:val="0"/>
      <w:marBottom w:val="0"/>
      <w:divBdr>
        <w:top w:val="none" w:sz="0" w:space="0" w:color="auto"/>
        <w:left w:val="none" w:sz="0" w:space="0" w:color="auto"/>
        <w:bottom w:val="none" w:sz="0" w:space="0" w:color="auto"/>
        <w:right w:val="none" w:sz="0" w:space="0" w:color="auto"/>
      </w:divBdr>
    </w:div>
    <w:div w:id="1168709287">
      <w:bodyDiv w:val="1"/>
      <w:marLeft w:val="0"/>
      <w:marRight w:val="0"/>
      <w:marTop w:val="0"/>
      <w:marBottom w:val="0"/>
      <w:divBdr>
        <w:top w:val="none" w:sz="0" w:space="0" w:color="auto"/>
        <w:left w:val="none" w:sz="0" w:space="0" w:color="auto"/>
        <w:bottom w:val="none" w:sz="0" w:space="0" w:color="auto"/>
        <w:right w:val="none" w:sz="0" w:space="0" w:color="auto"/>
      </w:divBdr>
    </w:div>
    <w:div w:id="1179928464">
      <w:bodyDiv w:val="1"/>
      <w:marLeft w:val="0"/>
      <w:marRight w:val="0"/>
      <w:marTop w:val="0"/>
      <w:marBottom w:val="0"/>
      <w:divBdr>
        <w:top w:val="none" w:sz="0" w:space="0" w:color="auto"/>
        <w:left w:val="none" w:sz="0" w:space="0" w:color="auto"/>
        <w:bottom w:val="none" w:sz="0" w:space="0" w:color="auto"/>
        <w:right w:val="none" w:sz="0" w:space="0" w:color="auto"/>
      </w:divBdr>
    </w:div>
    <w:div w:id="1195581882">
      <w:bodyDiv w:val="1"/>
      <w:marLeft w:val="0"/>
      <w:marRight w:val="0"/>
      <w:marTop w:val="0"/>
      <w:marBottom w:val="0"/>
      <w:divBdr>
        <w:top w:val="none" w:sz="0" w:space="0" w:color="auto"/>
        <w:left w:val="none" w:sz="0" w:space="0" w:color="auto"/>
        <w:bottom w:val="none" w:sz="0" w:space="0" w:color="auto"/>
        <w:right w:val="none" w:sz="0" w:space="0" w:color="auto"/>
      </w:divBdr>
    </w:div>
    <w:div w:id="1216426976">
      <w:bodyDiv w:val="1"/>
      <w:marLeft w:val="0"/>
      <w:marRight w:val="0"/>
      <w:marTop w:val="0"/>
      <w:marBottom w:val="0"/>
      <w:divBdr>
        <w:top w:val="none" w:sz="0" w:space="0" w:color="auto"/>
        <w:left w:val="none" w:sz="0" w:space="0" w:color="auto"/>
        <w:bottom w:val="none" w:sz="0" w:space="0" w:color="auto"/>
        <w:right w:val="none" w:sz="0" w:space="0" w:color="auto"/>
      </w:divBdr>
    </w:div>
    <w:div w:id="1218130800">
      <w:bodyDiv w:val="1"/>
      <w:marLeft w:val="0"/>
      <w:marRight w:val="0"/>
      <w:marTop w:val="0"/>
      <w:marBottom w:val="0"/>
      <w:divBdr>
        <w:top w:val="none" w:sz="0" w:space="0" w:color="auto"/>
        <w:left w:val="none" w:sz="0" w:space="0" w:color="auto"/>
        <w:bottom w:val="none" w:sz="0" w:space="0" w:color="auto"/>
        <w:right w:val="none" w:sz="0" w:space="0" w:color="auto"/>
      </w:divBdr>
    </w:div>
    <w:div w:id="1224177755">
      <w:bodyDiv w:val="1"/>
      <w:marLeft w:val="0"/>
      <w:marRight w:val="0"/>
      <w:marTop w:val="0"/>
      <w:marBottom w:val="0"/>
      <w:divBdr>
        <w:top w:val="none" w:sz="0" w:space="0" w:color="auto"/>
        <w:left w:val="none" w:sz="0" w:space="0" w:color="auto"/>
        <w:bottom w:val="none" w:sz="0" w:space="0" w:color="auto"/>
        <w:right w:val="none" w:sz="0" w:space="0" w:color="auto"/>
      </w:divBdr>
      <w:divsChild>
        <w:div w:id="1998194003">
          <w:marLeft w:val="965"/>
          <w:marRight w:val="0"/>
          <w:marTop w:val="77"/>
          <w:marBottom w:val="0"/>
          <w:divBdr>
            <w:top w:val="none" w:sz="0" w:space="0" w:color="auto"/>
            <w:left w:val="none" w:sz="0" w:space="0" w:color="auto"/>
            <w:bottom w:val="none" w:sz="0" w:space="0" w:color="auto"/>
            <w:right w:val="none" w:sz="0" w:space="0" w:color="auto"/>
          </w:divBdr>
        </w:div>
      </w:divsChild>
    </w:div>
    <w:div w:id="1251738853">
      <w:bodyDiv w:val="1"/>
      <w:marLeft w:val="0"/>
      <w:marRight w:val="0"/>
      <w:marTop w:val="0"/>
      <w:marBottom w:val="0"/>
      <w:divBdr>
        <w:top w:val="none" w:sz="0" w:space="0" w:color="auto"/>
        <w:left w:val="none" w:sz="0" w:space="0" w:color="auto"/>
        <w:bottom w:val="none" w:sz="0" w:space="0" w:color="auto"/>
        <w:right w:val="none" w:sz="0" w:space="0" w:color="auto"/>
      </w:divBdr>
      <w:divsChild>
        <w:div w:id="1843230336">
          <w:marLeft w:val="547"/>
          <w:marRight w:val="0"/>
          <w:marTop w:val="0"/>
          <w:marBottom w:val="0"/>
          <w:divBdr>
            <w:top w:val="none" w:sz="0" w:space="0" w:color="auto"/>
            <w:left w:val="none" w:sz="0" w:space="0" w:color="auto"/>
            <w:bottom w:val="none" w:sz="0" w:space="0" w:color="auto"/>
            <w:right w:val="none" w:sz="0" w:space="0" w:color="auto"/>
          </w:divBdr>
        </w:div>
      </w:divsChild>
    </w:div>
    <w:div w:id="1301690413">
      <w:bodyDiv w:val="1"/>
      <w:marLeft w:val="0"/>
      <w:marRight w:val="0"/>
      <w:marTop w:val="0"/>
      <w:marBottom w:val="0"/>
      <w:divBdr>
        <w:top w:val="none" w:sz="0" w:space="0" w:color="auto"/>
        <w:left w:val="none" w:sz="0" w:space="0" w:color="auto"/>
        <w:bottom w:val="none" w:sz="0" w:space="0" w:color="auto"/>
        <w:right w:val="none" w:sz="0" w:space="0" w:color="auto"/>
      </w:divBdr>
    </w:div>
    <w:div w:id="1354842511">
      <w:bodyDiv w:val="1"/>
      <w:marLeft w:val="0"/>
      <w:marRight w:val="0"/>
      <w:marTop w:val="0"/>
      <w:marBottom w:val="0"/>
      <w:divBdr>
        <w:top w:val="none" w:sz="0" w:space="0" w:color="auto"/>
        <w:left w:val="none" w:sz="0" w:space="0" w:color="auto"/>
        <w:bottom w:val="none" w:sz="0" w:space="0" w:color="auto"/>
        <w:right w:val="none" w:sz="0" w:space="0" w:color="auto"/>
      </w:divBdr>
    </w:div>
    <w:div w:id="1359041589">
      <w:bodyDiv w:val="1"/>
      <w:marLeft w:val="0"/>
      <w:marRight w:val="0"/>
      <w:marTop w:val="0"/>
      <w:marBottom w:val="0"/>
      <w:divBdr>
        <w:top w:val="none" w:sz="0" w:space="0" w:color="auto"/>
        <w:left w:val="none" w:sz="0" w:space="0" w:color="auto"/>
        <w:bottom w:val="none" w:sz="0" w:space="0" w:color="auto"/>
        <w:right w:val="none" w:sz="0" w:space="0" w:color="auto"/>
      </w:divBdr>
    </w:div>
    <w:div w:id="1369144312">
      <w:bodyDiv w:val="1"/>
      <w:marLeft w:val="0"/>
      <w:marRight w:val="0"/>
      <w:marTop w:val="0"/>
      <w:marBottom w:val="0"/>
      <w:divBdr>
        <w:top w:val="none" w:sz="0" w:space="0" w:color="auto"/>
        <w:left w:val="none" w:sz="0" w:space="0" w:color="auto"/>
        <w:bottom w:val="none" w:sz="0" w:space="0" w:color="auto"/>
        <w:right w:val="none" w:sz="0" w:space="0" w:color="auto"/>
      </w:divBdr>
      <w:divsChild>
        <w:div w:id="24450932">
          <w:marLeft w:val="0"/>
          <w:marRight w:val="0"/>
          <w:marTop w:val="0"/>
          <w:marBottom w:val="0"/>
          <w:divBdr>
            <w:top w:val="none" w:sz="0" w:space="0" w:color="auto"/>
            <w:left w:val="none" w:sz="0" w:space="0" w:color="auto"/>
            <w:bottom w:val="none" w:sz="0" w:space="0" w:color="auto"/>
            <w:right w:val="none" w:sz="0" w:space="0" w:color="auto"/>
          </w:divBdr>
        </w:div>
        <w:div w:id="52701528">
          <w:marLeft w:val="0"/>
          <w:marRight w:val="0"/>
          <w:marTop w:val="0"/>
          <w:marBottom w:val="0"/>
          <w:divBdr>
            <w:top w:val="none" w:sz="0" w:space="0" w:color="auto"/>
            <w:left w:val="none" w:sz="0" w:space="0" w:color="auto"/>
            <w:bottom w:val="none" w:sz="0" w:space="0" w:color="auto"/>
            <w:right w:val="none" w:sz="0" w:space="0" w:color="auto"/>
          </w:divBdr>
        </w:div>
        <w:div w:id="79715812">
          <w:marLeft w:val="0"/>
          <w:marRight w:val="0"/>
          <w:marTop w:val="0"/>
          <w:marBottom w:val="0"/>
          <w:divBdr>
            <w:top w:val="none" w:sz="0" w:space="0" w:color="auto"/>
            <w:left w:val="none" w:sz="0" w:space="0" w:color="auto"/>
            <w:bottom w:val="none" w:sz="0" w:space="0" w:color="auto"/>
            <w:right w:val="none" w:sz="0" w:space="0" w:color="auto"/>
          </w:divBdr>
        </w:div>
        <w:div w:id="95831944">
          <w:marLeft w:val="0"/>
          <w:marRight w:val="0"/>
          <w:marTop w:val="0"/>
          <w:marBottom w:val="0"/>
          <w:divBdr>
            <w:top w:val="none" w:sz="0" w:space="0" w:color="auto"/>
            <w:left w:val="none" w:sz="0" w:space="0" w:color="auto"/>
            <w:bottom w:val="none" w:sz="0" w:space="0" w:color="auto"/>
            <w:right w:val="none" w:sz="0" w:space="0" w:color="auto"/>
          </w:divBdr>
        </w:div>
        <w:div w:id="165826410">
          <w:marLeft w:val="0"/>
          <w:marRight w:val="0"/>
          <w:marTop w:val="0"/>
          <w:marBottom w:val="0"/>
          <w:divBdr>
            <w:top w:val="none" w:sz="0" w:space="0" w:color="auto"/>
            <w:left w:val="none" w:sz="0" w:space="0" w:color="auto"/>
            <w:bottom w:val="none" w:sz="0" w:space="0" w:color="auto"/>
            <w:right w:val="none" w:sz="0" w:space="0" w:color="auto"/>
          </w:divBdr>
        </w:div>
        <w:div w:id="191383251">
          <w:marLeft w:val="0"/>
          <w:marRight w:val="0"/>
          <w:marTop w:val="0"/>
          <w:marBottom w:val="0"/>
          <w:divBdr>
            <w:top w:val="none" w:sz="0" w:space="0" w:color="auto"/>
            <w:left w:val="none" w:sz="0" w:space="0" w:color="auto"/>
            <w:bottom w:val="none" w:sz="0" w:space="0" w:color="auto"/>
            <w:right w:val="none" w:sz="0" w:space="0" w:color="auto"/>
          </w:divBdr>
        </w:div>
        <w:div w:id="256015469">
          <w:marLeft w:val="0"/>
          <w:marRight w:val="0"/>
          <w:marTop w:val="0"/>
          <w:marBottom w:val="0"/>
          <w:divBdr>
            <w:top w:val="none" w:sz="0" w:space="0" w:color="auto"/>
            <w:left w:val="none" w:sz="0" w:space="0" w:color="auto"/>
            <w:bottom w:val="none" w:sz="0" w:space="0" w:color="auto"/>
            <w:right w:val="none" w:sz="0" w:space="0" w:color="auto"/>
          </w:divBdr>
        </w:div>
        <w:div w:id="273749079">
          <w:marLeft w:val="0"/>
          <w:marRight w:val="0"/>
          <w:marTop w:val="0"/>
          <w:marBottom w:val="0"/>
          <w:divBdr>
            <w:top w:val="none" w:sz="0" w:space="0" w:color="auto"/>
            <w:left w:val="none" w:sz="0" w:space="0" w:color="auto"/>
            <w:bottom w:val="none" w:sz="0" w:space="0" w:color="auto"/>
            <w:right w:val="none" w:sz="0" w:space="0" w:color="auto"/>
          </w:divBdr>
        </w:div>
        <w:div w:id="330107659">
          <w:marLeft w:val="0"/>
          <w:marRight w:val="0"/>
          <w:marTop w:val="0"/>
          <w:marBottom w:val="0"/>
          <w:divBdr>
            <w:top w:val="none" w:sz="0" w:space="0" w:color="auto"/>
            <w:left w:val="none" w:sz="0" w:space="0" w:color="auto"/>
            <w:bottom w:val="none" w:sz="0" w:space="0" w:color="auto"/>
            <w:right w:val="none" w:sz="0" w:space="0" w:color="auto"/>
          </w:divBdr>
        </w:div>
        <w:div w:id="341248334">
          <w:marLeft w:val="0"/>
          <w:marRight w:val="0"/>
          <w:marTop w:val="0"/>
          <w:marBottom w:val="0"/>
          <w:divBdr>
            <w:top w:val="none" w:sz="0" w:space="0" w:color="auto"/>
            <w:left w:val="none" w:sz="0" w:space="0" w:color="auto"/>
            <w:bottom w:val="none" w:sz="0" w:space="0" w:color="auto"/>
            <w:right w:val="none" w:sz="0" w:space="0" w:color="auto"/>
          </w:divBdr>
        </w:div>
        <w:div w:id="387336734">
          <w:marLeft w:val="0"/>
          <w:marRight w:val="0"/>
          <w:marTop w:val="0"/>
          <w:marBottom w:val="0"/>
          <w:divBdr>
            <w:top w:val="none" w:sz="0" w:space="0" w:color="auto"/>
            <w:left w:val="none" w:sz="0" w:space="0" w:color="auto"/>
            <w:bottom w:val="none" w:sz="0" w:space="0" w:color="auto"/>
            <w:right w:val="none" w:sz="0" w:space="0" w:color="auto"/>
          </w:divBdr>
        </w:div>
        <w:div w:id="404227391">
          <w:marLeft w:val="0"/>
          <w:marRight w:val="0"/>
          <w:marTop w:val="0"/>
          <w:marBottom w:val="0"/>
          <w:divBdr>
            <w:top w:val="none" w:sz="0" w:space="0" w:color="auto"/>
            <w:left w:val="none" w:sz="0" w:space="0" w:color="auto"/>
            <w:bottom w:val="none" w:sz="0" w:space="0" w:color="auto"/>
            <w:right w:val="none" w:sz="0" w:space="0" w:color="auto"/>
          </w:divBdr>
        </w:div>
        <w:div w:id="429475007">
          <w:marLeft w:val="0"/>
          <w:marRight w:val="0"/>
          <w:marTop w:val="0"/>
          <w:marBottom w:val="0"/>
          <w:divBdr>
            <w:top w:val="none" w:sz="0" w:space="0" w:color="auto"/>
            <w:left w:val="none" w:sz="0" w:space="0" w:color="auto"/>
            <w:bottom w:val="none" w:sz="0" w:space="0" w:color="auto"/>
            <w:right w:val="none" w:sz="0" w:space="0" w:color="auto"/>
          </w:divBdr>
        </w:div>
        <w:div w:id="436414280">
          <w:marLeft w:val="0"/>
          <w:marRight w:val="0"/>
          <w:marTop w:val="0"/>
          <w:marBottom w:val="0"/>
          <w:divBdr>
            <w:top w:val="none" w:sz="0" w:space="0" w:color="auto"/>
            <w:left w:val="none" w:sz="0" w:space="0" w:color="auto"/>
            <w:bottom w:val="none" w:sz="0" w:space="0" w:color="auto"/>
            <w:right w:val="none" w:sz="0" w:space="0" w:color="auto"/>
          </w:divBdr>
        </w:div>
        <w:div w:id="455415300">
          <w:marLeft w:val="0"/>
          <w:marRight w:val="0"/>
          <w:marTop w:val="0"/>
          <w:marBottom w:val="0"/>
          <w:divBdr>
            <w:top w:val="none" w:sz="0" w:space="0" w:color="auto"/>
            <w:left w:val="none" w:sz="0" w:space="0" w:color="auto"/>
            <w:bottom w:val="none" w:sz="0" w:space="0" w:color="auto"/>
            <w:right w:val="none" w:sz="0" w:space="0" w:color="auto"/>
          </w:divBdr>
        </w:div>
        <w:div w:id="463691711">
          <w:marLeft w:val="0"/>
          <w:marRight w:val="0"/>
          <w:marTop w:val="0"/>
          <w:marBottom w:val="0"/>
          <w:divBdr>
            <w:top w:val="none" w:sz="0" w:space="0" w:color="auto"/>
            <w:left w:val="none" w:sz="0" w:space="0" w:color="auto"/>
            <w:bottom w:val="none" w:sz="0" w:space="0" w:color="auto"/>
            <w:right w:val="none" w:sz="0" w:space="0" w:color="auto"/>
          </w:divBdr>
        </w:div>
        <w:div w:id="464349173">
          <w:marLeft w:val="0"/>
          <w:marRight w:val="0"/>
          <w:marTop w:val="0"/>
          <w:marBottom w:val="0"/>
          <w:divBdr>
            <w:top w:val="none" w:sz="0" w:space="0" w:color="auto"/>
            <w:left w:val="none" w:sz="0" w:space="0" w:color="auto"/>
            <w:bottom w:val="none" w:sz="0" w:space="0" w:color="auto"/>
            <w:right w:val="none" w:sz="0" w:space="0" w:color="auto"/>
          </w:divBdr>
        </w:div>
        <w:div w:id="493380596">
          <w:marLeft w:val="0"/>
          <w:marRight w:val="0"/>
          <w:marTop w:val="0"/>
          <w:marBottom w:val="0"/>
          <w:divBdr>
            <w:top w:val="none" w:sz="0" w:space="0" w:color="auto"/>
            <w:left w:val="none" w:sz="0" w:space="0" w:color="auto"/>
            <w:bottom w:val="none" w:sz="0" w:space="0" w:color="auto"/>
            <w:right w:val="none" w:sz="0" w:space="0" w:color="auto"/>
          </w:divBdr>
        </w:div>
        <w:div w:id="516697920">
          <w:marLeft w:val="0"/>
          <w:marRight w:val="0"/>
          <w:marTop w:val="0"/>
          <w:marBottom w:val="0"/>
          <w:divBdr>
            <w:top w:val="none" w:sz="0" w:space="0" w:color="auto"/>
            <w:left w:val="none" w:sz="0" w:space="0" w:color="auto"/>
            <w:bottom w:val="none" w:sz="0" w:space="0" w:color="auto"/>
            <w:right w:val="none" w:sz="0" w:space="0" w:color="auto"/>
          </w:divBdr>
        </w:div>
        <w:div w:id="558976590">
          <w:marLeft w:val="0"/>
          <w:marRight w:val="0"/>
          <w:marTop w:val="0"/>
          <w:marBottom w:val="0"/>
          <w:divBdr>
            <w:top w:val="none" w:sz="0" w:space="0" w:color="auto"/>
            <w:left w:val="none" w:sz="0" w:space="0" w:color="auto"/>
            <w:bottom w:val="none" w:sz="0" w:space="0" w:color="auto"/>
            <w:right w:val="none" w:sz="0" w:space="0" w:color="auto"/>
          </w:divBdr>
        </w:div>
        <w:div w:id="566188624">
          <w:marLeft w:val="0"/>
          <w:marRight w:val="0"/>
          <w:marTop w:val="0"/>
          <w:marBottom w:val="0"/>
          <w:divBdr>
            <w:top w:val="none" w:sz="0" w:space="0" w:color="auto"/>
            <w:left w:val="none" w:sz="0" w:space="0" w:color="auto"/>
            <w:bottom w:val="none" w:sz="0" w:space="0" w:color="auto"/>
            <w:right w:val="none" w:sz="0" w:space="0" w:color="auto"/>
          </w:divBdr>
        </w:div>
        <w:div w:id="612325988">
          <w:marLeft w:val="0"/>
          <w:marRight w:val="0"/>
          <w:marTop w:val="0"/>
          <w:marBottom w:val="0"/>
          <w:divBdr>
            <w:top w:val="none" w:sz="0" w:space="0" w:color="auto"/>
            <w:left w:val="none" w:sz="0" w:space="0" w:color="auto"/>
            <w:bottom w:val="none" w:sz="0" w:space="0" w:color="auto"/>
            <w:right w:val="none" w:sz="0" w:space="0" w:color="auto"/>
          </w:divBdr>
        </w:div>
        <w:div w:id="639044260">
          <w:marLeft w:val="0"/>
          <w:marRight w:val="0"/>
          <w:marTop w:val="0"/>
          <w:marBottom w:val="0"/>
          <w:divBdr>
            <w:top w:val="none" w:sz="0" w:space="0" w:color="auto"/>
            <w:left w:val="none" w:sz="0" w:space="0" w:color="auto"/>
            <w:bottom w:val="none" w:sz="0" w:space="0" w:color="auto"/>
            <w:right w:val="none" w:sz="0" w:space="0" w:color="auto"/>
          </w:divBdr>
        </w:div>
        <w:div w:id="639846007">
          <w:marLeft w:val="0"/>
          <w:marRight w:val="0"/>
          <w:marTop w:val="0"/>
          <w:marBottom w:val="0"/>
          <w:divBdr>
            <w:top w:val="none" w:sz="0" w:space="0" w:color="auto"/>
            <w:left w:val="none" w:sz="0" w:space="0" w:color="auto"/>
            <w:bottom w:val="none" w:sz="0" w:space="0" w:color="auto"/>
            <w:right w:val="none" w:sz="0" w:space="0" w:color="auto"/>
          </w:divBdr>
        </w:div>
        <w:div w:id="639920297">
          <w:marLeft w:val="0"/>
          <w:marRight w:val="0"/>
          <w:marTop w:val="0"/>
          <w:marBottom w:val="0"/>
          <w:divBdr>
            <w:top w:val="none" w:sz="0" w:space="0" w:color="auto"/>
            <w:left w:val="none" w:sz="0" w:space="0" w:color="auto"/>
            <w:bottom w:val="none" w:sz="0" w:space="0" w:color="auto"/>
            <w:right w:val="none" w:sz="0" w:space="0" w:color="auto"/>
          </w:divBdr>
        </w:div>
        <w:div w:id="650331533">
          <w:marLeft w:val="0"/>
          <w:marRight w:val="0"/>
          <w:marTop w:val="0"/>
          <w:marBottom w:val="0"/>
          <w:divBdr>
            <w:top w:val="none" w:sz="0" w:space="0" w:color="auto"/>
            <w:left w:val="none" w:sz="0" w:space="0" w:color="auto"/>
            <w:bottom w:val="none" w:sz="0" w:space="0" w:color="auto"/>
            <w:right w:val="none" w:sz="0" w:space="0" w:color="auto"/>
          </w:divBdr>
        </w:div>
        <w:div w:id="650908057">
          <w:marLeft w:val="0"/>
          <w:marRight w:val="0"/>
          <w:marTop w:val="0"/>
          <w:marBottom w:val="0"/>
          <w:divBdr>
            <w:top w:val="none" w:sz="0" w:space="0" w:color="auto"/>
            <w:left w:val="none" w:sz="0" w:space="0" w:color="auto"/>
            <w:bottom w:val="none" w:sz="0" w:space="0" w:color="auto"/>
            <w:right w:val="none" w:sz="0" w:space="0" w:color="auto"/>
          </w:divBdr>
        </w:div>
        <w:div w:id="685904172">
          <w:marLeft w:val="0"/>
          <w:marRight w:val="0"/>
          <w:marTop w:val="0"/>
          <w:marBottom w:val="0"/>
          <w:divBdr>
            <w:top w:val="none" w:sz="0" w:space="0" w:color="auto"/>
            <w:left w:val="none" w:sz="0" w:space="0" w:color="auto"/>
            <w:bottom w:val="none" w:sz="0" w:space="0" w:color="auto"/>
            <w:right w:val="none" w:sz="0" w:space="0" w:color="auto"/>
          </w:divBdr>
        </w:div>
        <w:div w:id="714932692">
          <w:marLeft w:val="0"/>
          <w:marRight w:val="0"/>
          <w:marTop w:val="0"/>
          <w:marBottom w:val="0"/>
          <w:divBdr>
            <w:top w:val="none" w:sz="0" w:space="0" w:color="auto"/>
            <w:left w:val="none" w:sz="0" w:space="0" w:color="auto"/>
            <w:bottom w:val="none" w:sz="0" w:space="0" w:color="auto"/>
            <w:right w:val="none" w:sz="0" w:space="0" w:color="auto"/>
          </w:divBdr>
        </w:div>
        <w:div w:id="723874996">
          <w:marLeft w:val="0"/>
          <w:marRight w:val="0"/>
          <w:marTop w:val="0"/>
          <w:marBottom w:val="0"/>
          <w:divBdr>
            <w:top w:val="none" w:sz="0" w:space="0" w:color="auto"/>
            <w:left w:val="none" w:sz="0" w:space="0" w:color="auto"/>
            <w:bottom w:val="none" w:sz="0" w:space="0" w:color="auto"/>
            <w:right w:val="none" w:sz="0" w:space="0" w:color="auto"/>
          </w:divBdr>
        </w:div>
        <w:div w:id="744183174">
          <w:marLeft w:val="0"/>
          <w:marRight w:val="0"/>
          <w:marTop w:val="0"/>
          <w:marBottom w:val="0"/>
          <w:divBdr>
            <w:top w:val="none" w:sz="0" w:space="0" w:color="auto"/>
            <w:left w:val="none" w:sz="0" w:space="0" w:color="auto"/>
            <w:bottom w:val="none" w:sz="0" w:space="0" w:color="auto"/>
            <w:right w:val="none" w:sz="0" w:space="0" w:color="auto"/>
          </w:divBdr>
        </w:div>
        <w:div w:id="786193351">
          <w:marLeft w:val="0"/>
          <w:marRight w:val="0"/>
          <w:marTop w:val="0"/>
          <w:marBottom w:val="0"/>
          <w:divBdr>
            <w:top w:val="none" w:sz="0" w:space="0" w:color="auto"/>
            <w:left w:val="none" w:sz="0" w:space="0" w:color="auto"/>
            <w:bottom w:val="none" w:sz="0" w:space="0" w:color="auto"/>
            <w:right w:val="none" w:sz="0" w:space="0" w:color="auto"/>
          </w:divBdr>
        </w:div>
        <w:div w:id="832842944">
          <w:marLeft w:val="0"/>
          <w:marRight w:val="0"/>
          <w:marTop w:val="0"/>
          <w:marBottom w:val="0"/>
          <w:divBdr>
            <w:top w:val="none" w:sz="0" w:space="0" w:color="auto"/>
            <w:left w:val="none" w:sz="0" w:space="0" w:color="auto"/>
            <w:bottom w:val="none" w:sz="0" w:space="0" w:color="auto"/>
            <w:right w:val="none" w:sz="0" w:space="0" w:color="auto"/>
          </w:divBdr>
        </w:div>
        <w:div w:id="850216055">
          <w:marLeft w:val="0"/>
          <w:marRight w:val="0"/>
          <w:marTop w:val="0"/>
          <w:marBottom w:val="0"/>
          <w:divBdr>
            <w:top w:val="none" w:sz="0" w:space="0" w:color="auto"/>
            <w:left w:val="none" w:sz="0" w:space="0" w:color="auto"/>
            <w:bottom w:val="none" w:sz="0" w:space="0" w:color="auto"/>
            <w:right w:val="none" w:sz="0" w:space="0" w:color="auto"/>
          </w:divBdr>
        </w:div>
        <w:div w:id="862355220">
          <w:marLeft w:val="0"/>
          <w:marRight w:val="0"/>
          <w:marTop w:val="0"/>
          <w:marBottom w:val="0"/>
          <w:divBdr>
            <w:top w:val="none" w:sz="0" w:space="0" w:color="auto"/>
            <w:left w:val="none" w:sz="0" w:space="0" w:color="auto"/>
            <w:bottom w:val="none" w:sz="0" w:space="0" w:color="auto"/>
            <w:right w:val="none" w:sz="0" w:space="0" w:color="auto"/>
          </w:divBdr>
        </w:div>
        <w:div w:id="888150670">
          <w:marLeft w:val="0"/>
          <w:marRight w:val="0"/>
          <w:marTop w:val="0"/>
          <w:marBottom w:val="0"/>
          <w:divBdr>
            <w:top w:val="none" w:sz="0" w:space="0" w:color="auto"/>
            <w:left w:val="none" w:sz="0" w:space="0" w:color="auto"/>
            <w:bottom w:val="none" w:sz="0" w:space="0" w:color="auto"/>
            <w:right w:val="none" w:sz="0" w:space="0" w:color="auto"/>
          </w:divBdr>
        </w:div>
        <w:div w:id="920334177">
          <w:marLeft w:val="0"/>
          <w:marRight w:val="0"/>
          <w:marTop w:val="0"/>
          <w:marBottom w:val="0"/>
          <w:divBdr>
            <w:top w:val="none" w:sz="0" w:space="0" w:color="auto"/>
            <w:left w:val="none" w:sz="0" w:space="0" w:color="auto"/>
            <w:bottom w:val="none" w:sz="0" w:space="0" w:color="auto"/>
            <w:right w:val="none" w:sz="0" w:space="0" w:color="auto"/>
          </w:divBdr>
        </w:div>
        <w:div w:id="929585934">
          <w:marLeft w:val="0"/>
          <w:marRight w:val="0"/>
          <w:marTop w:val="0"/>
          <w:marBottom w:val="0"/>
          <w:divBdr>
            <w:top w:val="none" w:sz="0" w:space="0" w:color="auto"/>
            <w:left w:val="none" w:sz="0" w:space="0" w:color="auto"/>
            <w:bottom w:val="none" w:sz="0" w:space="0" w:color="auto"/>
            <w:right w:val="none" w:sz="0" w:space="0" w:color="auto"/>
          </w:divBdr>
        </w:div>
        <w:div w:id="939920601">
          <w:marLeft w:val="0"/>
          <w:marRight w:val="0"/>
          <w:marTop w:val="0"/>
          <w:marBottom w:val="0"/>
          <w:divBdr>
            <w:top w:val="none" w:sz="0" w:space="0" w:color="auto"/>
            <w:left w:val="none" w:sz="0" w:space="0" w:color="auto"/>
            <w:bottom w:val="none" w:sz="0" w:space="0" w:color="auto"/>
            <w:right w:val="none" w:sz="0" w:space="0" w:color="auto"/>
          </w:divBdr>
        </w:div>
        <w:div w:id="945305805">
          <w:marLeft w:val="0"/>
          <w:marRight w:val="0"/>
          <w:marTop w:val="0"/>
          <w:marBottom w:val="0"/>
          <w:divBdr>
            <w:top w:val="none" w:sz="0" w:space="0" w:color="auto"/>
            <w:left w:val="none" w:sz="0" w:space="0" w:color="auto"/>
            <w:bottom w:val="none" w:sz="0" w:space="0" w:color="auto"/>
            <w:right w:val="none" w:sz="0" w:space="0" w:color="auto"/>
          </w:divBdr>
        </w:div>
        <w:div w:id="946814721">
          <w:marLeft w:val="0"/>
          <w:marRight w:val="0"/>
          <w:marTop w:val="0"/>
          <w:marBottom w:val="0"/>
          <w:divBdr>
            <w:top w:val="none" w:sz="0" w:space="0" w:color="auto"/>
            <w:left w:val="none" w:sz="0" w:space="0" w:color="auto"/>
            <w:bottom w:val="none" w:sz="0" w:space="0" w:color="auto"/>
            <w:right w:val="none" w:sz="0" w:space="0" w:color="auto"/>
          </w:divBdr>
        </w:div>
        <w:div w:id="951788397">
          <w:marLeft w:val="0"/>
          <w:marRight w:val="0"/>
          <w:marTop w:val="0"/>
          <w:marBottom w:val="0"/>
          <w:divBdr>
            <w:top w:val="none" w:sz="0" w:space="0" w:color="auto"/>
            <w:left w:val="none" w:sz="0" w:space="0" w:color="auto"/>
            <w:bottom w:val="none" w:sz="0" w:space="0" w:color="auto"/>
            <w:right w:val="none" w:sz="0" w:space="0" w:color="auto"/>
          </w:divBdr>
        </w:div>
        <w:div w:id="962615716">
          <w:marLeft w:val="0"/>
          <w:marRight w:val="0"/>
          <w:marTop w:val="0"/>
          <w:marBottom w:val="0"/>
          <w:divBdr>
            <w:top w:val="none" w:sz="0" w:space="0" w:color="auto"/>
            <w:left w:val="none" w:sz="0" w:space="0" w:color="auto"/>
            <w:bottom w:val="none" w:sz="0" w:space="0" w:color="auto"/>
            <w:right w:val="none" w:sz="0" w:space="0" w:color="auto"/>
          </w:divBdr>
        </w:div>
        <w:div w:id="979072020">
          <w:marLeft w:val="0"/>
          <w:marRight w:val="0"/>
          <w:marTop w:val="0"/>
          <w:marBottom w:val="0"/>
          <w:divBdr>
            <w:top w:val="none" w:sz="0" w:space="0" w:color="auto"/>
            <w:left w:val="none" w:sz="0" w:space="0" w:color="auto"/>
            <w:bottom w:val="none" w:sz="0" w:space="0" w:color="auto"/>
            <w:right w:val="none" w:sz="0" w:space="0" w:color="auto"/>
          </w:divBdr>
        </w:div>
        <w:div w:id="989600003">
          <w:marLeft w:val="0"/>
          <w:marRight w:val="0"/>
          <w:marTop w:val="0"/>
          <w:marBottom w:val="0"/>
          <w:divBdr>
            <w:top w:val="none" w:sz="0" w:space="0" w:color="auto"/>
            <w:left w:val="none" w:sz="0" w:space="0" w:color="auto"/>
            <w:bottom w:val="none" w:sz="0" w:space="0" w:color="auto"/>
            <w:right w:val="none" w:sz="0" w:space="0" w:color="auto"/>
          </w:divBdr>
        </w:div>
        <w:div w:id="1001815554">
          <w:marLeft w:val="0"/>
          <w:marRight w:val="0"/>
          <w:marTop w:val="0"/>
          <w:marBottom w:val="0"/>
          <w:divBdr>
            <w:top w:val="none" w:sz="0" w:space="0" w:color="auto"/>
            <w:left w:val="none" w:sz="0" w:space="0" w:color="auto"/>
            <w:bottom w:val="none" w:sz="0" w:space="0" w:color="auto"/>
            <w:right w:val="none" w:sz="0" w:space="0" w:color="auto"/>
          </w:divBdr>
        </w:div>
        <w:div w:id="1046682037">
          <w:marLeft w:val="0"/>
          <w:marRight w:val="0"/>
          <w:marTop w:val="0"/>
          <w:marBottom w:val="0"/>
          <w:divBdr>
            <w:top w:val="none" w:sz="0" w:space="0" w:color="auto"/>
            <w:left w:val="none" w:sz="0" w:space="0" w:color="auto"/>
            <w:bottom w:val="none" w:sz="0" w:space="0" w:color="auto"/>
            <w:right w:val="none" w:sz="0" w:space="0" w:color="auto"/>
          </w:divBdr>
        </w:div>
        <w:div w:id="1049919083">
          <w:marLeft w:val="0"/>
          <w:marRight w:val="0"/>
          <w:marTop w:val="0"/>
          <w:marBottom w:val="0"/>
          <w:divBdr>
            <w:top w:val="none" w:sz="0" w:space="0" w:color="auto"/>
            <w:left w:val="none" w:sz="0" w:space="0" w:color="auto"/>
            <w:bottom w:val="none" w:sz="0" w:space="0" w:color="auto"/>
            <w:right w:val="none" w:sz="0" w:space="0" w:color="auto"/>
          </w:divBdr>
        </w:div>
        <w:div w:id="1051736441">
          <w:marLeft w:val="0"/>
          <w:marRight w:val="0"/>
          <w:marTop w:val="0"/>
          <w:marBottom w:val="0"/>
          <w:divBdr>
            <w:top w:val="none" w:sz="0" w:space="0" w:color="auto"/>
            <w:left w:val="none" w:sz="0" w:space="0" w:color="auto"/>
            <w:bottom w:val="none" w:sz="0" w:space="0" w:color="auto"/>
            <w:right w:val="none" w:sz="0" w:space="0" w:color="auto"/>
          </w:divBdr>
        </w:div>
        <w:div w:id="1081412884">
          <w:marLeft w:val="0"/>
          <w:marRight w:val="0"/>
          <w:marTop w:val="0"/>
          <w:marBottom w:val="0"/>
          <w:divBdr>
            <w:top w:val="none" w:sz="0" w:space="0" w:color="auto"/>
            <w:left w:val="none" w:sz="0" w:space="0" w:color="auto"/>
            <w:bottom w:val="none" w:sz="0" w:space="0" w:color="auto"/>
            <w:right w:val="none" w:sz="0" w:space="0" w:color="auto"/>
          </w:divBdr>
        </w:div>
        <w:div w:id="1094596747">
          <w:marLeft w:val="0"/>
          <w:marRight w:val="0"/>
          <w:marTop w:val="0"/>
          <w:marBottom w:val="0"/>
          <w:divBdr>
            <w:top w:val="none" w:sz="0" w:space="0" w:color="auto"/>
            <w:left w:val="none" w:sz="0" w:space="0" w:color="auto"/>
            <w:bottom w:val="none" w:sz="0" w:space="0" w:color="auto"/>
            <w:right w:val="none" w:sz="0" w:space="0" w:color="auto"/>
          </w:divBdr>
        </w:div>
        <w:div w:id="1098795477">
          <w:marLeft w:val="0"/>
          <w:marRight w:val="0"/>
          <w:marTop w:val="0"/>
          <w:marBottom w:val="0"/>
          <w:divBdr>
            <w:top w:val="none" w:sz="0" w:space="0" w:color="auto"/>
            <w:left w:val="none" w:sz="0" w:space="0" w:color="auto"/>
            <w:bottom w:val="none" w:sz="0" w:space="0" w:color="auto"/>
            <w:right w:val="none" w:sz="0" w:space="0" w:color="auto"/>
          </w:divBdr>
        </w:div>
        <w:div w:id="1099789365">
          <w:marLeft w:val="0"/>
          <w:marRight w:val="0"/>
          <w:marTop w:val="0"/>
          <w:marBottom w:val="0"/>
          <w:divBdr>
            <w:top w:val="none" w:sz="0" w:space="0" w:color="auto"/>
            <w:left w:val="none" w:sz="0" w:space="0" w:color="auto"/>
            <w:bottom w:val="none" w:sz="0" w:space="0" w:color="auto"/>
            <w:right w:val="none" w:sz="0" w:space="0" w:color="auto"/>
          </w:divBdr>
        </w:div>
        <w:div w:id="1109010781">
          <w:marLeft w:val="0"/>
          <w:marRight w:val="0"/>
          <w:marTop w:val="0"/>
          <w:marBottom w:val="0"/>
          <w:divBdr>
            <w:top w:val="none" w:sz="0" w:space="0" w:color="auto"/>
            <w:left w:val="none" w:sz="0" w:space="0" w:color="auto"/>
            <w:bottom w:val="none" w:sz="0" w:space="0" w:color="auto"/>
            <w:right w:val="none" w:sz="0" w:space="0" w:color="auto"/>
          </w:divBdr>
        </w:div>
        <w:div w:id="1120876045">
          <w:marLeft w:val="0"/>
          <w:marRight w:val="0"/>
          <w:marTop w:val="0"/>
          <w:marBottom w:val="0"/>
          <w:divBdr>
            <w:top w:val="none" w:sz="0" w:space="0" w:color="auto"/>
            <w:left w:val="none" w:sz="0" w:space="0" w:color="auto"/>
            <w:bottom w:val="none" w:sz="0" w:space="0" w:color="auto"/>
            <w:right w:val="none" w:sz="0" w:space="0" w:color="auto"/>
          </w:divBdr>
        </w:div>
        <w:div w:id="1132331231">
          <w:marLeft w:val="0"/>
          <w:marRight w:val="0"/>
          <w:marTop w:val="0"/>
          <w:marBottom w:val="0"/>
          <w:divBdr>
            <w:top w:val="none" w:sz="0" w:space="0" w:color="auto"/>
            <w:left w:val="none" w:sz="0" w:space="0" w:color="auto"/>
            <w:bottom w:val="none" w:sz="0" w:space="0" w:color="auto"/>
            <w:right w:val="none" w:sz="0" w:space="0" w:color="auto"/>
          </w:divBdr>
        </w:div>
        <w:div w:id="1160199983">
          <w:marLeft w:val="0"/>
          <w:marRight w:val="0"/>
          <w:marTop w:val="0"/>
          <w:marBottom w:val="0"/>
          <w:divBdr>
            <w:top w:val="none" w:sz="0" w:space="0" w:color="auto"/>
            <w:left w:val="none" w:sz="0" w:space="0" w:color="auto"/>
            <w:bottom w:val="none" w:sz="0" w:space="0" w:color="auto"/>
            <w:right w:val="none" w:sz="0" w:space="0" w:color="auto"/>
          </w:divBdr>
        </w:div>
        <w:div w:id="1175265614">
          <w:marLeft w:val="0"/>
          <w:marRight w:val="0"/>
          <w:marTop w:val="0"/>
          <w:marBottom w:val="0"/>
          <w:divBdr>
            <w:top w:val="none" w:sz="0" w:space="0" w:color="auto"/>
            <w:left w:val="none" w:sz="0" w:space="0" w:color="auto"/>
            <w:bottom w:val="none" w:sz="0" w:space="0" w:color="auto"/>
            <w:right w:val="none" w:sz="0" w:space="0" w:color="auto"/>
          </w:divBdr>
        </w:div>
        <w:div w:id="1179391107">
          <w:marLeft w:val="0"/>
          <w:marRight w:val="0"/>
          <w:marTop w:val="0"/>
          <w:marBottom w:val="0"/>
          <w:divBdr>
            <w:top w:val="none" w:sz="0" w:space="0" w:color="auto"/>
            <w:left w:val="none" w:sz="0" w:space="0" w:color="auto"/>
            <w:bottom w:val="none" w:sz="0" w:space="0" w:color="auto"/>
            <w:right w:val="none" w:sz="0" w:space="0" w:color="auto"/>
          </w:divBdr>
        </w:div>
        <w:div w:id="1199586686">
          <w:marLeft w:val="0"/>
          <w:marRight w:val="0"/>
          <w:marTop w:val="0"/>
          <w:marBottom w:val="0"/>
          <w:divBdr>
            <w:top w:val="none" w:sz="0" w:space="0" w:color="auto"/>
            <w:left w:val="none" w:sz="0" w:space="0" w:color="auto"/>
            <w:bottom w:val="none" w:sz="0" w:space="0" w:color="auto"/>
            <w:right w:val="none" w:sz="0" w:space="0" w:color="auto"/>
          </w:divBdr>
        </w:div>
        <w:div w:id="1209956816">
          <w:marLeft w:val="0"/>
          <w:marRight w:val="0"/>
          <w:marTop w:val="0"/>
          <w:marBottom w:val="0"/>
          <w:divBdr>
            <w:top w:val="none" w:sz="0" w:space="0" w:color="auto"/>
            <w:left w:val="none" w:sz="0" w:space="0" w:color="auto"/>
            <w:bottom w:val="none" w:sz="0" w:space="0" w:color="auto"/>
            <w:right w:val="none" w:sz="0" w:space="0" w:color="auto"/>
          </w:divBdr>
        </w:div>
        <w:div w:id="1221939388">
          <w:marLeft w:val="0"/>
          <w:marRight w:val="0"/>
          <w:marTop w:val="0"/>
          <w:marBottom w:val="0"/>
          <w:divBdr>
            <w:top w:val="none" w:sz="0" w:space="0" w:color="auto"/>
            <w:left w:val="none" w:sz="0" w:space="0" w:color="auto"/>
            <w:bottom w:val="none" w:sz="0" w:space="0" w:color="auto"/>
            <w:right w:val="none" w:sz="0" w:space="0" w:color="auto"/>
          </w:divBdr>
        </w:div>
        <w:div w:id="1227835950">
          <w:marLeft w:val="0"/>
          <w:marRight w:val="0"/>
          <w:marTop w:val="0"/>
          <w:marBottom w:val="0"/>
          <w:divBdr>
            <w:top w:val="none" w:sz="0" w:space="0" w:color="auto"/>
            <w:left w:val="none" w:sz="0" w:space="0" w:color="auto"/>
            <w:bottom w:val="none" w:sz="0" w:space="0" w:color="auto"/>
            <w:right w:val="none" w:sz="0" w:space="0" w:color="auto"/>
          </w:divBdr>
        </w:div>
        <w:div w:id="1233465331">
          <w:marLeft w:val="0"/>
          <w:marRight w:val="0"/>
          <w:marTop w:val="0"/>
          <w:marBottom w:val="0"/>
          <w:divBdr>
            <w:top w:val="none" w:sz="0" w:space="0" w:color="auto"/>
            <w:left w:val="none" w:sz="0" w:space="0" w:color="auto"/>
            <w:bottom w:val="none" w:sz="0" w:space="0" w:color="auto"/>
            <w:right w:val="none" w:sz="0" w:space="0" w:color="auto"/>
          </w:divBdr>
        </w:div>
        <w:div w:id="1264262624">
          <w:marLeft w:val="0"/>
          <w:marRight w:val="0"/>
          <w:marTop w:val="0"/>
          <w:marBottom w:val="0"/>
          <w:divBdr>
            <w:top w:val="none" w:sz="0" w:space="0" w:color="auto"/>
            <w:left w:val="none" w:sz="0" w:space="0" w:color="auto"/>
            <w:bottom w:val="none" w:sz="0" w:space="0" w:color="auto"/>
            <w:right w:val="none" w:sz="0" w:space="0" w:color="auto"/>
          </w:divBdr>
        </w:div>
        <w:div w:id="1265724191">
          <w:marLeft w:val="0"/>
          <w:marRight w:val="0"/>
          <w:marTop w:val="0"/>
          <w:marBottom w:val="0"/>
          <w:divBdr>
            <w:top w:val="none" w:sz="0" w:space="0" w:color="auto"/>
            <w:left w:val="none" w:sz="0" w:space="0" w:color="auto"/>
            <w:bottom w:val="none" w:sz="0" w:space="0" w:color="auto"/>
            <w:right w:val="none" w:sz="0" w:space="0" w:color="auto"/>
          </w:divBdr>
        </w:div>
        <w:div w:id="1290277663">
          <w:marLeft w:val="0"/>
          <w:marRight w:val="0"/>
          <w:marTop w:val="0"/>
          <w:marBottom w:val="0"/>
          <w:divBdr>
            <w:top w:val="none" w:sz="0" w:space="0" w:color="auto"/>
            <w:left w:val="none" w:sz="0" w:space="0" w:color="auto"/>
            <w:bottom w:val="none" w:sz="0" w:space="0" w:color="auto"/>
            <w:right w:val="none" w:sz="0" w:space="0" w:color="auto"/>
          </w:divBdr>
        </w:div>
        <w:div w:id="1307467425">
          <w:marLeft w:val="0"/>
          <w:marRight w:val="0"/>
          <w:marTop w:val="0"/>
          <w:marBottom w:val="0"/>
          <w:divBdr>
            <w:top w:val="none" w:sz="0" w:space="0" w:color="auto"/>
            <w:left w:val="none" w:sz="0" w:space="0" w:color="auto"/>
            <w:bottom w:val="none" w:sz="0" w:space="0" w:color="auto"/>
            <w:right w:val="none" w:sz="0" w:space="0" w:color="auto"/>
          </w:divBdr>
        </w:div>
        <w:div w:id="1307590113">
          <w:marLeft w:val="0"/>
          <w:marRight w:val="0"/>
          <w:marTop w:val="0"/>
          <w:marBottom w:val="0"/>
          <w:divBdr>
            <w:top w:val="none" w:sz="0" w:space="0" w:color="auto"/>
            <w:left w:val="none" w:sz="0" w:space="0" w:color="auto"/>
            <w:bottom w:val="none" w:sz="0" w:space="0" w:color="auto"/>
            <w:right w:val="none" w:sz="0" w:space="0" w:color="auto"/>
          </w:divBdr>
        </w:div>
        <w:div w:id="1325015884">
          <w:marLeft w:val="0"/>
          <w:marRight w:val="0"/>
          <w:marTop w:val="0"/>
          <w:marBottom w:val="0"/>
          <w:divBdr>
            <w:top w:val="none" w:sz="0" w:space="0" w:color="auto"/>
            <w:left w:val="none" w:sz="0" w:space="0" w:color="auto"/>
            <w:bottom w:val="none" w:sz="0" w:space="0" w:color="auto"/>
            <w:right w:val="none" w:sz="0" w:space="0" w:color="auto"/>
          </w:divBdr>
        </w:div>
        <w:div w:id="1332828020">
          <w:marLeft w:val="0"/>
          <w:marRight w:val="0"/>
          <w:marTop w:val="0"/>
          <w:marBottom w:val="0"/>
          <w:divBdr>
            <w:top w:val="none" w:sz="0" w:space="0" w:color="auto"/>
            <w:left w:val="none" w:sz="0" w:space="0" w:color="auto"/>
            <w:bottom w:val="none" w:sz="0" w:space="0" w:color="auto"/>
            <w:right w:val="none" w:sz="0" w:space="0" w:color="auto"/>
          </w:divBdr>
        </w:div>
        <w:div w:id="1340155891">
          <w:marLeft w:val="0"/>
          <w:marRight w:val="0"/>
          <w:marTop w:val="0"/>
          <w:marBottom w:val="0"/>
          <w:divBdr>
            <w:top w:val="none" w:sz="0" w:space="0" w:color="auto"/>
            <w:left w:val="none" w:sz="0" w:space="0" w:color="auto"/>
            <w:bottom w:val="none" w:sz="0" w:space="0" w:color="auto"/>
            <w:right w:val="none" w:sz="0" w:space="0" w:color="auto"/>
          </w:divBdr>
        </w:div>
        <w:div w:id="1350529371">
          <w:marLeft w:val="0"/>
          <w:marRight w:val="0"/>
          <w:marTop w:val="0"/>
          <w:marBottom w:val="0"/>
          <w:divBdr>
            <w:top w:val="none" w:sz="0" w:space="0" w:color="auto"/>
            <w:left w:val="none" w:sz="0" w:space="0" w:color="auto"/>
            <w:bottom w:val="none" w:sz="0" w:space="0" w:color="auto"/>
            <w:right w:val="none" w:sz="0" w:space="0" w:color="auto"/>
          </w:divBdr>
        </w:div>
        <w:div w:id="1351377779">
          <w:marLeft w:val="0"/>
          <w:marRight w:val="0"/>
          <w:marTop w:val="0"/>
          <w:marBottom w:val="0"/>
          <w:divBdr>
            <w:top w:val="none" w:sz="0" w:space="0" w:color="auto"/>
            <w:left w:val="none" w:sz="0" w:space="0" w:color="auto"/>
            <w:bottom w:val="none" w:sz="0" w:space="0" w:color="auto"/>
            <w:right w:val="none" w:sz="0" w:space="0" w:color="auto"/>
          </w:divBdr>
        </w:div>
        <w:div w:id="1406992921">
          <w:marLeft w:val="0"/>
          <w:marRight w:val="0"/>
          <w:marTop w:val="0"/>
          <w:marBottom w:val="0"/>
          <w:divBdr>
            <w:top w:val="none" w:sz="0" w:space="0" w:color="auto"/>
            <w:left w:val="none" w:sz="0" w:space="0" w:color="auto"/>
            <w:bottom w:val="none" w:sz="0" w:space="0" w:color="auto"/>
            <w:right w:val="none" w:sz="0" w:space="0" w:color="auto"/>
          </w:divBdr>
        </w:div>
        <w:div w:id="1414204286">
          <w:marLeft w:val="0"/>
          <w:marRight w:val="0"/>
          <w:marTop w:val="0"/>
          <w:marBottom w:val="0"/>
          <w:divBdr>
            <w:top w:val="none" w:sz="0" w:space="0" w:color="auto"/>
            <w:left w:val="none" w:sz="0" w:space="0" w:color="auto"/>
            <w:bottom w:val="none" w:sz="0" w:space="0" w:color="auto"/>
            <w:right w:val="none" w:sz="0" w:space="0" w:color="auto"/>
          </w:divBdr>
        </w:div>
        <w:div w:id="1435705369">
          <w:marLeft w:val="0"/>
          <w:marRight w:val="0"/>
          <w:marTop w:val="0"/>
          <w:marBottom w:val="0"/>
          <w:divBdr>
            <w:top w:val="none" w:sz="0" w:space="0" w:color="auto"/>
            <w:left w:val="none" w:sz="0" w:space="0" w:color="auto"/>
            <w:bottom w:val="none" w:sz="0" w:space="0" w:color="auto"/>
            <w:right w:val="none" w:sz="0" w:space="0" w:color="auto"/>
          </w:divBdr>
        </w:div>
        <w:div w:id="1469736703">
          <w:marLeft w:val="0"/>
          <w:marRight w:val="0"/>
          <w:marTop w:val="0"/>
          <w:marBottom w:val="0"/>
          <w:divBdr>
            <w:top w:val="none" w:sz="0" w:space="0" w:color="auto"/>
            <w:left w:val="none" w:sz="0" w:space="0" w:color="auto"/>
            <w:bottom w:val="none" w:sz="0" w:space="0" w:color="auto"/>
            <w:right w:val="none" w:sz="0" w:space="0" w:color="auto"/>
          </w:divBdr>
        </w:div>
        <w:div w:id="1491825990">
          <w:marLeft w:val="0"/>
          <w:marRight w:val="0"/>
          <w:marTop w:val="0"/>
          <w:marBottom w:val="0"/>
          <w:divBdr>
            <w:top w:val="none" w:sz="0" w:space="0" w:color="auto"/>
            <w:left w:val="none" w:sz="0" w:space="0" w:color="auto"/>
            <w:bottom w:val="none" w:sz="0" w:space="0" w:color="auto"/>
            <w:right w:val="none" w:sz="0" w:space="0" w:color="auto"/>
          </w:divBdr>
        </w:div>
        <w:div w:id="1504470350">
          <w:marLeft w:val="0"/>
          <w:marRight w:val="0"/>
          <w:marTop w:val="0"/>
          <w:marBottom w:val="0"/>
          <w:divBdr>
            <w:top w:val="none" w:sz="0" w:space="0" w:color="auto"/>
            <w:left w:val="none" w:sz="0" w:space="0" w:color="auto"/>
            <w:bottom w:val="none" w:sz="0" w:space="0" w:color="auto"/>
            <w:right w:val="none" w:sz="0" w:space="0" w:color="auto"/>
          </w:divBdr>
        </w:div>
        <w:div w:id="1521043275">
          <w:marLeft w:val="0"/>
          <w:marRight w:val="0"/>
          <w:marTop w:val="0"/>
          <w:marBottom w:val="0"/>
          <w:divBdr>
            <w:top w:val="none" w:sz="0" w:space="0" w:color="auto"/>
            <w:left w:val="none" w:sz="0" w:space="0" w:color="auto"/>
            <w:bottom w:val="none" w:sz="0" w:space="0" w:color="auto"/>
            <w:right w:val="none" w:sz="0" w:space="0" w:color="auto"/>
          </w:divBdr>
        </w:div>
        <w:div w:id="1530221029">
          <w:marLeft w:val="0"/>
          <w:marRight w:val="0"/>
          <w:marTop w:val="0"/>
          <w:marBottom w:val="0"/>
          <w:divBdr>
            <w:top w:val="none" w:sz="0" w:space="0" w:color="auto"/>
            <w:left w:val="none" w:sz="0" w:space="0" w:color="auto"/>
            <w:bottom w:val="none" w:sz="0" w:space="0" w:color="auto"/>
            <w:right w:val="none" w:sz="0" w:space="0" w:color="auto"/>
          </w:divBdr>
        </w:div>
        <w:div w:id="1608654956">
          <w:marLeft w:val="0"/>
          <w:marRight w:val="0"/>
          <w:marTop w:val="0"/>
          <w:marBottom w:val="0"/>
          <w:divBdr>
            <w:top w:val="none" w:sz="0" w:space="0" w:color="auto"/>
            <w:left w:val="none" w:sz="0" w:space="0" w:color="auto"/>
            <w:bottom w:val="none" w:sz="0" w:space="0" w:color="auto"/>
            <w:right w:val="none" w:sz="0" w:space="0" w:color="auto"/>
          </w:divBdr>
        </w:div>
        <w:div w:id="1612124790">
          <w:marLeft w:val="0"/>
          <w:marRight w:val="0"/>
          <w:marTop w:val="0"/>
          <w:marBottom w:val="0"/>
          <w:divBdr>
            <w:top w:val="none" w:sz="0" w:space="0" w:color="auto"/>
            <w:left w:val="none" w:sz="0" w:space="0" w:color="auto"/>
            <w:bottom w:val="none" w:sz="0" w:space="0" w:color="auto"/>
            <w:right w:val="none" w:sz="0" w:space="0" w:color="auto"/>
          </w:divBdr>
        </w:div>
        <w:div w:id="1665938164">
          <w:marLeft w:val="0"/>
          <w:marRight w:val="0"/>
          <w:marTop w:val="0"/>
          <w:marBottom w:val="0"/>
          <w:divBdr>
            <w:top w:val="none" w:sz="0" w:space="0" w:color="auto"/>
            <w:left w:val="none" w:sz="0" w:space="0" w:color="auto"/>
            <w:bottom w:val="none" w:sz="0" w:space="0" w:color="auto"/>
            <w:right w:val="none" w:sz="0" w:space="0" w:color="auto"/>
          </w:divBdr>
        </w:div>
        <w:div w:id="1691100724">
          <w:marLeft w:val="0"/>
          <w:marRight w:val="0"/>
          <w:marTop w:val="0"/>
          <w:marBottom w:val="0"/>
          <w:divBdr>
            <w:top w:val="none" w:sz="0" w:space="0" w:color="auto"/>
            <w:left w:val="none" w:sz="0" w:space="0" w:color="auto"/>
            <w:bottom w:val="none" w:sz="0" w:space="0" w:color="auto"/>
            <w:right w:val="none" w:sz="0" w:space="0" w:color="auto"/>
          </w:divBdr>
        </w:div>
        <w:div w:id="1707829842">
          <w:marLeft w:val="0"/>
          <w:marRight w:val="0"/>
          <w:marTop w:val="0"/>
          <w:marBottom w:val="0"/>
          <w:divBdr>
            <w:top w:val="none" w:sz="0" w:space="0" w:color="auto"/>
            <w:left w:val="none" w:sz="0" w:space="0" w:color="auto"/>
            <w:bottom w:val="none" w:sz="0" w:space="0" w:color="auto"/>
            <w:right w:val="none" w:sz="0" w:space="0" w:color="auto"/>
          </w:divBdr>
        </w:div>
        <w:div w:id="1712223635">
          <w:marLeft w:val="0"/>
          <w:marRight w:val="0"/>
          <w:marTop w:val="0"/>
          <w:marBottom w:val="0"/>
          <w:divBdr>
            <w:top w:val="none" w:sz="0" w:space="0" w:color="auto"/>
            <w:left w:val="none" w:sz="0" w:space="0" w:color="auto"/>
            <w:bottom w:val="none" w:sz="0" w:space="0" w:color="auto"/>
            <w:right w:val="none" w:sz="0" w:space="0" w:color="auto"/>
          </w:divBdr>
        </w:div>
        <w:div w:id="1749382904">
          <w:marLeft w:val="0"/>
          <w:marRight w:val="0"/>
          <w:marTop w:val="0"/>
          <w:marBottom w:val="0"/>
          <w:divBdr>
            <w:top w:val="none" w:sz="0" w:space="0" w:color="auto"/>
            <w:left w:val="none" w:sz="0" w:space="0" w:color="auto"/>
            <w:bottom w:val="none" w:sz="0" w:space="0" w:color="auto"/>
            <w:right w:val="none" w:sz="0" w:space="0" w:color="auto"/>
          </w:divBdr>
        </w:div>
        <w:div w:id="1761172274">
          <w:marLeft w:val="0"/>
          <w:marRight w:val="0"/>
          <w:marTop w:val="0"/>
          <w:marBottom w:val="0"/>
          <w:divBdr>
            <w:top w:val="none" w:sz="0" w:space="0" w:color="auto"/>
            <w:left w:val="none" w:sz="0" w:space="0" w:color="auto"/>
            <w:bottom w:val="none" w:sz="0" w:space="0" w:color="auto"/>
            <w:right w:val="none" w:sz="0" w:space="0" w:color="auto"/>
          </w:divBdr>
        </w:div>
        <w:div w:id="1792673390">
          <w:marLeft w:val="0"/>
          <w:marRight w:val="0"/>
          <w:marTop w:val="0"/>
          <w:marBottom w:val="0"/>
          <w:divBdr>
            <w:top w:val="none" w:sz="0" w:space="0" w:color="auto"/>
            <w:left w:val="none" w:sz="0" w:space="0" w:color="auto"/>
            <w:bottom w:val="none" w:sz="0" w:space="0" w:color="auto"/>
            <w:right w:val="none" w:sz="0" w:space="0" w:color="auto"/>
          </w:divBdr>
        </w:div>
        <w:div w:id="1795323912">
          <w:marLeft w:val="0"/>
          <w:marRight w:val="0"/>
          <w:marTop w:val="0"/>
          <w:marBottom w:val="0"/>
          <w:divBdr>
            <w:top w:val="none" w:sz="0" w:space="0" w:color="auto"/>
            <w:left w:val="none" w:sz="0" w:space="0" w:color="auto"/>
            <w:bottom w:val="none" w:sz="0" w:space="0" w:color="auto"/>
            <w:right w:val="none" w:sz="0" w:space="0" w:color="auto"/>
          </w:divBdr>
        </w:div>
        <w:div w:id="1806197242">
          <w:marLeft w:val="0"/>
          <w:marRight w:val="0"/>
          <w:marTop w:val="0"/>
          <w:marBottom w:val="0"/>
          <w:divBdr>
            <w:top w:val="none" w:sz="0" w:space="0" w:color="auto"/>
            <w:left w:val="none" w:sz="0" w:space="0" w:color="auto"/>
            <w:bottom w:val="none" w:sz="0" w:space="0" w:color="auto"/>
            <w:right w:val="none" w:sz="0" w:space="0" w:color="auto"/>
          </w:divBdr>
        </w:div>
        <w:div w:id="1866475418">
          <w:marLeft w:val="0"/>
          <w:marRight w:val="0"/>
          <w:marTop w:val="0"/>
          <w:marBottom w:val="0"/>
          <w:divBdr>
            <w:top w:val="none" w:sz="0" w:space="0" w:color="auto"/>
            <w:left w:val="none" w:sz="0" w:space="0" w:color="auto"/>
            <w:bottom w:val="none" w:sz="0" w:space="0" w:color="auto"/>
            <w:right w:val="none" w:sz="0" w:space="0" w:color="auto"/>
          </w:divBdr>
        </w:div>
        <w:div w:id="1869177334">
          <w:marLeft w:val="0"/>
          <w:marRight w:val="0"/>
          <w:marTop w:val="0"/>
          <w:marBottom w:val="0"/>
          <w:divBdr>
            <w:top w:val="none" w:sz="0" w:space="0" w:color="auto"/>
            <w:left w:val="none" w:sz="0" w:space="0" w:color="auto"/>
            <w:bottom w:val="none" w:sz="0" w:space="0" w:color="auto"/>
            <w:right w:val="none" w:sz="0" w:space="0" w:color="auto"/>
          </w:divBdr>
        </w:div>
        <w:div w:id="1909151423">
          <w:marLeft w:val="0"/>
          <w:marRight w:val="0"/>
          <w:marTop w:val="0"/>
          <w:marBottom w:val="0"/>
          <w:divBdr>
            <w:top w:val="none" w:sz="0" w:space="0" w:color="auto"/>
            <w:left w:val="none" w:sz="0" w:space="0" w:color="auto"/>
            <w:bottom w:val="none" w:sz="0" w:space="0" w:color="auto"/>
            <w:right w:val="none" w:sz="0" w:space="0" w:color="auto"/>
          </w:divBdr>
        </w:div>
        <w:div w:id="1915507182">
          <w:marLeft w:val="0"/>
          <w:marRight w:val="0"/>
          <w:marTop w:val="0"/>
          <w:marBottom w:val="0"/>
          <w:divBdr>
            <w:top w:val="none" w:sz="0" w:space="0" w:color="auto"/>
            <w:left w:val="none" w:sz="0" w:space="0" w:color="auto"/>
            <w:bottom w:val="none" w:sz="0" w:space="0" w:color="auto"/>
            <w:right w:val="none" w:sz="0" w:space="0" w:color="auto"/>
          </w:divBdr>
        </w:div>
        <w:div w:id="1929923731">
          <w:marLeft w:val="0"/>
          <w:marRight w:val="0"/>
          <w:marTop w:val="0"/>
          <w:marBottom w:val="0"/>
          <w:divBdr>
            <w:top w:val="none" w:sz="0" w:space="0" w:color="auto"/>
            <w:left w:val="none" w:sz="0" w:space="0" w:color="auto"/>
            <w:bottom w:val="none" w:sz="0" w:space="0" w:color="auto"/>
            <w:right w:val="none" w:sz="0" w:space="0" w:color="auto"/>
          </w:divBdr>
        </w:div>
        <w:div w:id="1939946055">
          <w:marLeft w:val="0"/>
          <w:marRight w:val="0"/>
          <w:marTop w:val="0"/>
          <w:marBottom w:val="0"/>
          <w:divBdr>
            <w:top w:val="none" w:sz="0" w:space="0" w:color="auto"/>
            <w:left w:val="none" w:sz="0" w:space="0" w:color="auto"/>
            <w:bottom w:val="none" w:sz="0" w:space="0" w:color="auto"/>
            <w:right w:val="none" w:sz="0" w:space="0" w:color="auto"/>
          </w:divBdr>
        </w:div>
        <w:div w:id="1945841102">
          <w:marLeft w:val="0"/>
          <w:marRight w:val="0"/>
          <w:marTop w:val="0"/>
          <w:marBottom w:val="0"/>
          <w:divBdr>
            <w:top w:val="none" w:sz="0" w:space="0" w:color="auto"/>
            <w:left w:val="none" w:sz="0" w:space="0" w:color="auto"/>
            <w:bottom w:val="none" w:sz="0" w:space="0" w:color="auto"/>
            <w:right w:val="none" w:sz="0" w:space="0" w:color="auto"/>
          </w:divBdr>
        </w:div>
        <w:div w:id="1952589932">
          <w:marLeft w:val="0"/>
          <w:marRight w:val="0"/>
          <w:marTop w:val="0"/>
          <w:marBottom w:val="0"/>
          <w:divBdr>
            <w:top w:val="none" w:sz="0" w:space="0" w:color="auto"/>
            <w:left w:val="none" w:sz="0" w:space="0" w:color="auto"/>
            <w:bottom w:val="none" w:sz="0" w:space="0" w:color="auto"/>
            <w:right w:val="none" w:sz="0" w:space="0" w:color="auto"/>
          </w:divBdr>
        </w:div>
        <w:div w:id="1989438084">
          <w:marLeft w:val="0"/>
          <w:marRight w:val="0"/>
          <w:marTop w:val="0"/>
          <w:marBottom w:val="0"/>
          <w:divBdr>
            <w:top w:val="none" w:sz="0" w:space="0" w:color="auto"/>
            <w:left w:val="none" w:sz="0" w:space="0" w:color="auto"/>
            <w:bottom w:val="none" w:sz="0" w:space="0" w:color="auto"/>
            <w:right w:val="none" w:sz="0" w:space="0" w:color="auto"/>
          </w:divBdr>
        </w:div>
        <w:div w:id="2044163766">
          <w:marLeft w:val="0"/>
          <w:marRight w:val="0"/>
          <w:marTop w:val="0"/>
          <w:marBottom w:val="0"/>
          <w:divBdr>
            <w:top w:val="none" w:sz="0" w:space="0" w:color="auto"/>
            <w:left w:val="none" w:sz="0" w:space="0" w:color="auto"/>
            <w:bottom w:val="none" w:sz="0" w:space="0" w:color="auto"/>
            <w:right w:val="none" w:sz="0" w:space="0" w:color="auto"/>
          </w:divBdr>
        </w:div>
        <w:div w:id="2088914106">
          <w:marLeft w:val="0"/>
          <w:marRight w:val="0"/>
          <w:marTop w:val="0"/>
          <w:marBottom w:val="0"/>
          <w:divBdr>
            <w:top w:val="none" w:sz="0" w:space="0" w:color="auto"/>
            <w:left w:val="none" w:sz="0" w:space="0" w:color="auto"/>
            <w:bottom w:val="none" w:sz="0" w:space="0" w:color="auto"/>
            <w:right w:val="none" w:sz="0" w:space="0" w:color="auto"/>
          </w:divBdr>
        </w:div>
        <w:div w:id="2090736586">
          <w:marLeft w:val="0"/>
          <w:marRight w:val="0"/>
          <w:marTop w:val="0"/>
          <w:marBottom w:val="0"/>
          <w:divBdr>
            <w:top w:val="none" w:sz="0" w:space="0" w:color="auto"/>
            <w:left w:val="none" w:sz="0" w:space="0" w:color="auto"/>
            <w:bottom w:val="none" w:sz="0" w:space="0" w:color="auto"/>
            <w:right w:val="none" w:sz="0" w:space="0" w:color="auto"/>
          </w:divBdr>
        </w:div>
        <w:div w:id="2130778851">
          <w:marLeft w:val="0"/>
          <w:marRight w:val="0"/>
          <w:marTop w:val="0"/>
          <w:marBottom w:val="0"/>
          <w:divBdr>
            <w:top w:val="none" w:sz="0" w:space="0" w:color="auto"/>
            <w:left w:val="none" w:sz="0" w:space="0" w:color="auto"/>
            <w:bottom w:val="none" w:sz="0" w:space="0" w:color="auto"/>
            <w:right w:val="none" w:sz="0" w:space="0" w:color="auto"/>
          </w:divBdr>
        </w:div>
      </w:divsChild>
    </w:div>
    <w:div w:id="1376465117">
      <w:bodyDiv w:val="1"/>
      <w:marLeft w:val="0"/>
      <w:marRight w:val="0"/>
      <w:marTop w:val="0"/>
      <w:marBottom w:val="0"/>
      <w:divBdr>
        <w:top w:val="none" w:sz="0" w:space="0" w:color="auto"/>
        <w:left w:val="none" w:sz="0" w:space="0" w:color="auto"/>
        <w:bottom w:val="none" w:sz="0" w:space="0" w:color="auto"/>
        <w:right w:val="none" w:sz="0" w:space="0" w:color="auto"/>
      </w:divBdr>
    </w:div>
    <w:div w:id="1407268855">
      <w:bodyDiv w:val="1"/>
      <w:marLeft w:val="0"/>
      <w:marRight w:val="0"/>
      <w:marTop w:val="0"/>
      <w:marBottom w:val="0"/>
      <w:divBdr>
        <w:top w:val="none" w:sz="0" w:space="0" w:color="auto"/>
        <w:left w:val="none" w:sz="0" w:space="0" w:color="auto"/>
        <w:bottom w:val="none" w:sz="0" w:space="0" w:color="auto"/>
        <w:right w:val="none" w:sz="0" w:space="0" w:color="auto"/>
      </w:divBdr>
      <w:divsChild>
        <w:div w:id="646396507">
          <w:marLeft w:val="0"/>
          <w:marRight w:val="0"/>
          <w:marTop w:val="0"/>
          <w:marBottom w:val="0"/>
          <w:divBdr>
            <w:top w:val="none" w:sz="0" w:space="0" w:color="auto"/>
            <w:left w:val="none" w:sz="0" w:space="0" w:color="auto"/>
            <w:bottom w:val="none" w:sz="0" w:space="0" w:color="auto"/>
            <w:right w:val="none" w:sz="0" w:space="0" w:color="auto"/>
          </w:divBdr>
        </w:div>
        <w:div w:id="1381712525">
          <w:marLeft w:val="0"/>
          <w:marRight w:val="0"/>
          <w:marTop w:val="0"/>
          <w:marBottom w:val="0"/>
          <w:divBdr>
            <w:top w:val="none" w:sz="0" w:space="0" w:color="auto"/>
            <w:left w:val="none" w:sz="0" w:space="0" w:color="auto"/>
            <w:bottom w:val="none" w:sz="0" w:space="0" w:color="auto"/>
            <w:right w:val="none" w:sz="0" w:space="0" w:color="auto"/>
          </w:divBdr>
        </w:div>
        <w:div w:id="1399326790">
          <w:marLeft w:val="0"/>
          <w:marRight w:val="0"/>
          <w:marTop w:val="0"/>
          <w:marBottom w:val="0"/>
          <w:divBdr>
            <w:top w:val="none" w:sz="0" w:space="0" w:color="auto"/>
            <w:left w:val="none" w:sz="0" w:space="0" w:color="auto"/>
            <w:bottom w:val="none" w:sz="0" w:space="0" w:color="auto"/>
            <w:right w:val="none" w:sz="0" w:space="0" w:color="auto"/>
          </w:divBdr>
        </w:div>
        <w:div w:id="1563832075">
          <w:marLeft w:val="0"/>
          <w:marRight w:val="0"/>
          <w:marTop w:val="0"/>
          <w:marBottom w:val="0"/>
          <w:divBdr>
            <w:top w:val="none" w:sz="0" w:space="0" w:color="auto"/>
            <w:left w:val="none" w:sz="0" w:space="0" w:color="auto"/>
            <w:bottom w:val="none" w:sz="0" w:space="0" w:color="auto"/>
            <w:right w:val="none" w:sz="0" w:space="0" w:color="auto"/>
          </w:divBdr>
        </w:div>
        <w:div w:id="1727605772">
          <w:marLeft w:val="0"/>
          <w:marRight w:val="0"/>
          <w:marTop w:val="0"/>
          <w:marBottom w:val="0"/>
          <w:divBdr>
            <w:top w:val="none" w:sz="0" w:space="0" w:color="auto"/>
            <w:left w:val="none" w:sz="0" w:space="0" w:color="auto"/>
            <w:bottom w:val="none" w:sz="0" w:space="0" w:color="auto"/>
            <w:right w:val="none" w:sz="0" w:space="0" w:color="auto"/>
          </w:divBdr>
        </w:div>
      </w:divsChild>
    </w:div>
    <w:div w:id="1415585747">
      <w:bodyDiv w:val="1"/>
      <w:marLeft w:val="0"/>
      <w:marRight w:val="0"/>
      <w:marTop w:val="0"/>
      <w:marBottom w:val="0"/>
      <w:divBdr>
        <w:top w:val="none" w:sz="0" w:space="0" w:color="auto"/>
        <w:left w:val="none" w:sz="0" w:space="0" w:color="auto"/>
        <w:bottom w:val="none" w:sz="0" w:space="0" w:color="auto"/>
        <w:right w:val="none" w:sz="0" w:space="0" w:color="auto"/>
      </w:divBdr>
    </w:div>
    <w:div w:id="1419253260">
      <w:bodyDiv w:val="1"/>
      <w:marLeft w:val="0"/>
      <w:marRight w:val="0"/>
      <w:marTop w:val="0"/>
      <w:marBottom w:val="0"/>
      <w:divBdr>
        <w:top w:val="none" w:sz="0" w:space="0" w:color="auto"/>
        <w:left w:val="none" w:sz="0" w:space="0" w:color="auto"/>
        <w:bottom w:val="none" w:sz="0" w:space="0" w:color="auto"/>
        <w:right w:val="none" w:sz="0" w:space="0" w:color="auto"/>
      </w:divBdr>
      <w:divsChild>
        <w:div w:id="538519770">
          <w:marLeft w:val="0"/>
          <w:marRight w:val="0"/>
          <w:marTop w:val="0"/>
          <w:marBottom w:val="0"/>
          <w:divBdr>
            <w:top w:val="none" w:sz="0" w:space="0" w:color="auto"/>
            <w:left w:val="none" w:sz="0" w:space="0" w:color="auto"/>
            <w:bottom w:val="none" w:sz="0" w:space="0" w:color="auto"/>
            <w:right w:val="none" w:sz="0" w:space="0" w:color="auto"/>
          </w:divBdr>
        </w:div>
        <w:div w:id="885147014">
          <w:marLeft w:val="0"/>
          <w:marRight w:val="0"/>
          <w:marTop w:val="0"/>
          <w:marBottom w:val="0"/>
          <w:divBdr>
            <w:top w:val="none" w:sz="0" w:space="0" w:color="auto"/>
            <w:left w:val="none" w:sz="0" w:space="0" w:color="auto"/>
            <w:bottom w:val="none" w:sz="0" w:space="0" w:color="auto"/>
            <w:right w:val="none" w:sz="0" w:space="0" w:color="auto"/>
          </w:divBdr>
        </w:div>
      </w:divsChild>
    </w:div>
    <w:div w:id="1432163461">
      <w:bodyDiv w:val="1"/>
      <w:marLeft w:val="0"/>
      <w:marRight w:val="0"/>
      <w:marTop w:val="0"/>
      <w:marBottom w:val="0"/>
      <w:divBdr>
        <w:top w:val="none" w:sz="0" w:space="0" w:color="auto"/>
        <w:left w:val="none" w:sz="0" w:space="0" w:color="auto"/>
        <w:bottom w:val="none" w:sz="0" w:space="0" w:color="auto"/>
        <w:right w:val="none" w:sz="0" w:space="0" w:color="auto"/>
      </w:divBdr>
    </w:div>
    <w:div w:id="1435981268">
      <w:bodyDiv w:val="1"/>
      <w:marLeft w:val="0"/>
      <w:marRight w:val="0"/>
      <w:marTop w:val="0"/>
      <w:marBottom w:val="0"/>
      <w:divBdr>
        <w:top w:val="none" w:sz="0" w:space="0" w:color="auto"/>
        <w:left w:val="none" w:sz="0" w:space="0" w:color="auto"/>
        <w:bottom w:val="none" w:sz="0" w:space="0" w:color="auto"/>
        <w:right w:val="none" w:sz="0" w:space="0" w:color="auto"/>
      </w:divBdr>
    </w:div>
    <w:div w:id="1437359273">
      <w:bodyDiv w:val="1"/>
      <w:marLeft w:val="0"/>
      <w:marRight w:val="0"/>
      <w:marTop w:val="0"/>
      <w:marBottom w:val="0"/>
      <w:divBdr>
        <w:top w:val="none" w:sz="0" w:space="0" w:color="auto"/>
        <w:left w:val="none" w:sz="0" w:space="0" w:color="auto"/>
        <w:bottom w:val="none" w:sz="0" w:space="0" w:color="auto"/>
        <w:right w:val="none" w:sz="0" w:space="0" w:color="auto"/>
      </w:divBdr>
    </w:div>
    <w:div w:id="1447625631">
      <w:bodyDiv w:val="1"/>
      <w:marLeft w:val="0"/>
      <w:marRight w:val="0"/>
      <w:marTop w:val="0"/>
      <w:marBottom w:val="0"/>
      <w:divBdr>
        <w:top w:val="none" w:sz="0" w:space="0" w:color="auto"/>
        <w:left w:val="none" w:sz="0" w:space="0" w:color="auto"/>
        <w:bottom w:val="none" w:sz="0" w:space="0" w:color="auto"/>
        <w:right w:val="none" w:sz="0" w:space="0" w:color="auto"/>
      </w:divBdr>
    </w:div>
    <w:div w:id="1458644919">
      <w:bodyDiv w:val="1"/>
      <w:marLeft w:val="0"/>
      <w:marRight w:val="0"/>
      <w:marTop w:val="0"/>
      <w:marBottom w:val="0"/>
      <w:divBdr>
        <w:top w:val="none" w:sz="0" w:space="0" w:color="auto"/>
        <w:left w:val="none" w:sz="0" w:space="0" w:color="auto"/>
        <w:bottom w:val="none" w:sz="0" w:space="0" w:color="auto"/>
        <w:right w:val="none" w:sz="0" w:space="0" w:color="auto"/>
      </w:divBdr>
      <w:divsChild>
        <w:div w:id="12734524">
          <w:marLeft w:val="0"/>
          <w:marRight w:val="0"/>
          <w:marTop w:val="0"/>
          <w:marBottom w:val="0"/>
          <w:divBdr>
            <w:top w:val="none" w:sz="0" w:space="0" w:color="auto"/>
            <w:left w:val="none" w:sz="0" w:space="0" w:color="auto"/>
            <w:bottom w:val="none" w:sz="0" w:space="0" w:color="auto"/>
            <w:right w:val="none" w:sz="0" w:space="0" w:color="auto"/>
          </w:divBdr>
        </w:div>
        <w:div w:id="97214444">
          <w:marLeft w:val="0"/>
          <w:marRight w:val="0"/>
          <w:marTop w:val="0"/>
          <w:marBottom w:val="0"/>
          <w:divBdr>
            <w:top w:val="none" w:sz="0" w:space="0" w:color="auto"/>
            <w:left w:val="none" w:sz="0" w:space="0" w:color="auto"/>
            <w:bottom w:val="none" w:sz="0" w:space="0" w:color="auto"/>
            <w:right w:val="none" w:sz="0" w:space="0" w:color="auto"/>
          </w:divBdr>
        </w:div>
        <w:div w:id="458691917">
          <w:marLeft w:val="0"/>
          <w:marRight w:val="0"/>
          <w:marTop w:val="0"/>
          <w:marBottom w:val="0"/>
          <w:divBdr>
            <w:top w:val="none" w:sz="0" w:space="0" w:color="auto"/>
            <w:left w:val="none" w:sz="0" w:space="0" w:color="auto"/>
            <w:bottom w:val="none" w:sz="0" w:space="0" w:color="auto"/>
            <w:right w:val="none" w:sz="0" w:space="0" w:color="auto"/>
          </w:divBdr>
        </w:div>
        <w:div w:id="1021052188">
          <w:marLeft w:val="0"/>
          <w:marRight w:val="0"/>
          <w:marTop w:val="0"/>
          <w:marBottom w:val="0"/>
          <w:divBdr>
            <w:top w:val="none" w:sz="0" w:space="0" w:color="auto"/>
            <w:left w:val="none" w:sz="0" w:space="0" w:color="auto"/>
            <w:bottom w:val="none" w:sz="0" w:space="0" w:color="auto"/>
            <w:right w:val="none" w:sz="0" w:space="0" w:color="auto"/>
          </w:divBdr>
        </w:div>
        <w:div w:id="1092362822">
          <w:marLeft w:val="0"/>
          <w:marRight w:val="0"/>
          <w:marTop w:val="0"/>
          <w:marBottom w:val="0"/>
          <w:divBdr>
            <w:top w:val="none" w:sz="0" w:space="0" w:color="auto"/>
            <w:left w:val="none" w:sz="0" w:space="0" w:color="auto"/>
            <w:bottom w:val="none" w:sz="0" w:space="0" w:color="auto"/>
            <w:right w:val="none" w:sz="0" w:space="0" w:color="auto"/>
          </w:divBdr>
        </w:div>
        <w:div w:id="1731418314">
          <w:marLeft w:val="0"/>
          <w:marRight w:val="0"/>
          <w:marTop w:val="0"/>
          <w:marBottom w:val="0"/>
          <w:divBdr>
            <w:top w:val="none" w:sz="0" w:space="0" w:color="auto"/>
            <w:left w:val="none" w:sz="0" w:space="0" w:color="auto"/>
            <w:bottom w:val="none" w:sz="0" w:space="0" w:color="auto"/>
            <w:right w:val="none" w:sz="0" w:space="0" w:color="auto"/>
          </w:divBdr>
        </w:div>
        <w:div w:id="1990207710">
          <w:marLeft w:val="0"/>
          <w:marRight w:val="0"/>
          <w:marTop w:val="0"/>
          <w:marBottom w:val="0"/>
          <w:divBdr>
            <w:top w:val="none" w:sz="0" w:space="0" w:color="auto"/>
            <w:left w:val="none" w:sz="0" w:space="0" w:color="auto"/>
            <w:bottom w:val="none" w:sz="0" w:space="0" w:color="auto"/>
            <w:right w:val="none" w:sz="0" w:space="0" w:color="auto"/>
          </w:divBdr>
        </w:div>
        <w:div w:id="2012755752">
          <w:marLeft w:val="0"/>
          <w:marRight w:val="0"/>
          <w:marTop w:val="0"/>
          <w:marBottom w:val="0"/>
          <w:divBdr>
            <w:top w:val="none" w:sz="0" w:space="0" w:color="auto"/>
            <w:left w:val="none" w:sz="0" w:space="0" w:color="auto"/>
            <w:bottom w:val="none" w:sz="0" w:space="0" w:color="auto"/>
            <w:right w:val="none" w:sz="0" w:space="0" w:color="auto"/>
          </w:divBdr>
        </w:div>
        <w:div w:id="2038507507">
          <w:marLeft w:val="0"/>
          <w:marRight w:val="0"/>
          <w:marTop w:val="0"/>
          <w:marBottom w:val="0"/>
          <w:divBdr>
            <w:top w:val="none" w:sz="0" w:space="0" w:color="auto"/>
            <w:left w:val="none" w:sz="0" w:space="0" w:color="auto"/>
            <w:bottom w:val="none" w:sz="0" w:space="0" w:color="auto"/>
            <w:right w:val="none" w:sz="0" w:space="0" w:color="auto"/>
          </w:divBdr>
        </w:div>
      </w:divsChild>
    </w:div>
    <w:div w:id="1459881592">
      <w:bodyDiv w:val="1"/>
      <w:marLeft w:val="0"/>
      <w:marRight w:val="0"/>
      <w:marTop w:val="0"/>
      <w:marBottom w:val="0"/>
      <w:divBdr>
        <w:top w:val="none" w:sz="0" w:space="0" w:color="auto"/>
        <w:left w:val="none" w:sz="0" w:space="0" w:color="auto"/>
        <w:bottom w:val="none" w:sz="0" w:space="0" w:color="auto"/>
        <w:right w:val="none" w:sz="0" w:space="0" w:color="auto"/>
      </w:divBdr>
    </w:div>
    <w:div w:id="1467042859">
      <w:bodyDiv w:val="1"/>
      <w:marLeft w:val="0"/>
      <w:marRight w:val="0"/>
      <w:marTop w:val="0"/>
      <w:marBottom w:val="0"/>
      <w:divBdr>
        <w:top w:val="none" w:sz="0" w:space="0" w:color="auto"/>
        <w:left w:val="none" w:sz="0" w:space="0" w:color="auto"/>
        <w:bottom w:val="none" w:sz="0" w:space="0" w:color="auto"/>
        <w:right w:val="none" w:sz="0" w:space="0" w:color="auto"/>
      </w:divBdr>
    </w:div>
    <w:div w:id="1472136045">
      <w:bodyDiv w:val="1"/>
      <w:marLeft w:val="0"/>
      <w:marRight w:val="0"/>
      <w:marTop w:val="0"/>
      <w:marBottom w:val="0"/>
      <w:divBdr>
        <w:top w:val="none" w:sz="0" w:space="0" w:color="auto"/>
        <w:left w:val="none" w:sz="0" w:space="0" w:color="auto"/>
        <w:bottom w:val="none" w:sz="0" w:space="0" w:color="auto"/>
        <w:right w:val="none" w:sz="0" w:space="0" w:color="auto"/>
      </w:divBdr>
    </w:div>
    <w:div w:id="1512988264">
      <w:bodyDiv w:val="1"/>
      <w:marLeft w:val="0"/>
      <w:marRight w:val="0"/>
      <w:marTop w:val="0"/>
      <w:marBottom w:val="0"/>
      <w:divBdr>
        <w:top w:val="none" w:sz="0" w:space="0" w:color="auto"/>
        <w:left w:val="none" w:sz="0" w:space="0" w:color="auto"/>
        <w:bottom w:val="none" w:sz="0" w:space="0" w:color="auto"/>
        <w:right w:val="none" w:sz="0" w:space="0" w:color="auto"/>
      </w:divBdr>
    </w:div>
    <w:div w:id="1547831683">
      <w:bodyDiv w:val="1"/>
      <w:marLeft w:val="0"/>
      <w:marRight w:val="0"/>
      <w:marTop w:val="0"/>
      <w:marBottom w:val="0"/>
      <w:divBdr>
        <w:top w:val="none" w:sz="0" w:space="0" w:color="auto"/>
        <w:left w:val="none" w:sz="0" w:space="0" w:color="auto"/>
        <w:bottom w:val="none" w:sz="0" w:space="0" w:color="auto"/>
        <w:right w:val="none" w:sz="0" w:space="0" w:color="auto"/>
      </w:divBdr>
    </w:div>
    <w:div w:id="1573278195">
      <w:bodyDiv w:val="1"/>
      <w:marLeft w:val="0"/>
      <w:marRight w:val="0"/>
      <w:marTop w:val="0"/>
      <w:marBottom w:val="0"/>
      <w:divBdr>
        <w:top w:val="none" w:sz="0" w:space="0" w:color="auto"/>
        <w:left w:val="none" w:sz="0" w:space="0" w:color="auto"/>
        <w:bottom w:val="none" w:sz="0" w:space="0" w:color="auto"/>
        <w:right w:val="none" w:sz="0" w:space="0" w:color="auto"/>
      </w:divBdr>
    </w:div>
    <w:div w:id="1579513241">
      <w:bodyDiv w:val="1"/>
      <w:marLeft w:val="0"/>
      <w:marRight w:val="0"/>
      <w:marTop w:val="0"/>
      <w:marBottom w:val="0"/>
      <w:divBdr>
        <w:top w:val="none" w:sz="0" w:space="0" w:color="auto"/>
        <w:left w:val="none" w:sz="0" w:space="0" w:color="auto"/>
        <w:bottom w:val="none" w:sz="0" w:space="0" w:color="auto"/>
        <w:right w:val="none" w:sz="0" w:space="0" w:color="auto"/>
      </w:divBdr>
    </w:div>
    <w:div w:id="1590043604">
      <w:bodyDiv w:val="1"/>
      <w:marLeft w:val="0"/>
      <w:marRight w:val="0"/>
      <w:marTop w:val="0"/>
      <w:marBottom w:val="0"/>
      <w:divBdr>
        <w:top w:val="none" w:sz="0" w:space="0" w:color="auto"/>
        <w:left w:val="none" w:sz="0" w:space="0" w:color="auto"/>
        <w:bottom w:val="none" w:sz="0" w:space="0" w:color="auto"/>
        <w:right w:val="none" w:sz="0" w:space="0" w:color="auto"/>
      </w:divBdr>
      <w:divsChild>
        <w:div w:id="143470837">
          <w:marLeft w:val="0"/>
          <w:marRight w:val="0"/>
          <w:marTop w:val="0"/>
          <w:marBottom w:val="0"/>
          <w:divBdr>
            <w:top w:val="none" w:sz="0" w:space="0" w:color="auto"/>
            <w:left w:val="none" w:sz="0" w:space="0" w:color="auto"/>
            <w:bottom w:val="none" w:sz="0" w:space="0" w:color="auto"/>
            <w:right w:val="none" w:sz="0" w:space="0" w:color="auto"/>
          </w:divBdr>
        </w:div>
        <w:div w:id="344286523">
          <w:marLeft w:val="0"/>
          <w:marRight w:val="0"/>
          <w:marTop w:val="0"/>
          <w:marBottom w:val="0"/>
          <w:divBdr>
            <w:top w:val="none" w:sz="0" w:space="0" w:color="auto"/>
            <w:left w:val="none" w:sz="0" w:space="0" w:color="auto"/>
            <w:bottom w:val="none" w:sz="0" w:space="0" w:color="auto"/>
            <w:right w:val="none" w:sz="0" w:space="0" w:color="auto"/>
          </w:divBdr>
        </w:div>
        <w:div w:id="1103378839">
          <w:marLeft w:val="0"/>
          <w:marRight w:val="0"/>
          <w:marTop w:val="0"/>
          <w:marBottom w:val="0"/>
          <w:divBdr>
            <w:top w:val="none" w:sz="0" w:space="0" w:color="auto"/>
            <w:left w:val="none" w:sz="0" w:space="0" w:color="auto"/>
            <w:bottom w:val="none" w:sz="0" w:space="0" w:color="auto"/>
            <w:right w:val="none" w:sz="0" w:space="0" w:color="auto"/>
          </w:divBdr>
        </w:div>
        <w:div w:id="1147623766">
          <w:marLeft w:val="0"/>
          <w:marRight w:val="0"/>
          <w:marTop w:val="0"/>
          <w:marBottom w:val="0"/>
          <w:divBdr>
            <w:top w:val="none" w:sz="0" w:space="0" w:color="auto"/>
            <w:left w:val="none" w:sz="0" w:space="0" w:color="auto"/>
            <w:bottom w:val="none" w:sz="0" w:space="0" w:color="auto"/>
            <w:right w:val="none" w:sz="0" w:space="0" w:color="auto"/>
          </w:divBdr>
        </w:div>
        <w:div w:id="1529873956">
          <w:marLeft w:val="0"/>
          <w:marRight w:val="0"/>
          <w:marTop w:val="0"/>
          <w:marBottom w:val="0"/>
          <w:divBdr>
            <w:top w:val="none" w:sz="0" w:space="0" w:color="auto"/>
            <w:left w:val="none" w:sz="0" w:space="0" w:color="auto"/>
            <w:bottom w:val="none" w:sz="0" w:space="0" w:color="auto"/>
            <w:right w:val="none" w:sz="0" w:space="0" w:color="auto"/>
          </w:divBdr>
        </w:div>
      </w:divsChild>
    </w:div>
    <w:div w:id="1593973524">
      <w:bodyDiv w:val="1"/>
      <w:marLeft w:val="0"/>
      <w:marRight w:val="0"/>
      <w:marTop w:val="0"/>
      <w:marBottom w:val="0"/>
      <w:divBdr>
        <w:top w:val="none" w:sz="0" w:space="0" w:color="auto"/>
        <w:left w:val="none" w:sz="0" w:space="0" w:color="auto"/>
        <w:bottom w:val="none" w:sz="0" w:space="0" w:color="auto"/>
        <w:right w:val="none" w:sz="0" w:space="0" w:color="auto"/>
      </w:divBdr>
      <w:divsChild>
        <w:div w:id="1108308305">
          <w:marLeft w:val="0"/>
          <w:marRight w:val="0"/>
          <w:marTop w:val="0"/>
          <w:marBottom w:val="0"/>
          <w:divBdr>
            <w:top w:val="none" w:sz="0" w:space="0" w:color="auto"/>
            <w:left w:val="none" w:sz="0" w:space="0" w:color="auto"/>
            <w:bottom w:val="none" w:sz="0" w:space="0" w:color="auto"/>
            <w:right w:val="none" w:sz="0" w:space="0" w:color="auto"/>
          </w:divBdr>
        </w:div>
        <w:div w:id="1731465747">
          <w:marLeft w:val="0"/>
          <w:marRight w:val="0"/>
          <w:marTop w:val="0"/>
          <w:marBottom w:val="0"/>
          <w:divBdr>
            <w:top w:val="none" w:sz="0" w:space="0" w:color="auto"/>
            <w:left w:val="none" w:sz="0" w:space="0" w:color="auto"/>
            <w:bottom w:val="none" w:sz="0" w:space="0" w:color="auto"/>
            <w:right w:val="none" w:sz="0" w:space="0" w:color="auto"/>
          </w:divBdr>
        </w:div>
      </w:divsChild>
    </w:div>
    <w:div w:id="1594776812">
      <w:bodyDiv w:val="1"/>
      <w:marLeft w:val="0"/>
      <w:marRight w:val="0"/>
      <w:marTop w:val="0"/>
      <w:marBottom w:val="0"/>
      <w:divBdr>
        <w:top w:val="none" w:sz="0" w:space="0" w:color="auto"/>
        <w:left w:val="none" w:sz="0" w:space="0" w:color="auto"/>
        <w:bottom w:val="none" w:sz="0" w:space="0" w:color="auto"/>
        <w:right w:val="none" w:sz="0" w:space="0" w:color="auto"/>
      </w:divBdr>
    </w:div>
    <w:div w:id="1608846458">
      <w:bodyDiv w:val="1"/>
      <w:marLeft w:val="0"/>
      <w:marRight w:val="0"/>
      <w:marTop w:val="0"/>
      <w:marBottom w:val="0"/>
      <w:divBdr>
        <w:top w:val="none" w:sz="0" w:space="0" w:color="auto"/>
        <w:left w:val="none" w:sz="0" w:space="0" w:color="auto"/>
        <w:bottom w:val="none" w:sz="0" w:space="0" w:color="auto"/>
        <w:right w:val="none" w:sz="0" w:space="0" w:color="auto"/>
      </w:divBdr>
      <w:divsChild>
        <w:div w:id="124662516">
          <w:marLeft w:val="547"/>
          <w:marRight w:val="0"/>
          <w:marTop w:val="0"/>
          <w:marBottom w:val="0"/>
          <w:divBdr>
            <w:top w:val="none" w:sz="0" w:space="0" w:color="auto"/>
            <w:left w:val="none" w:sz="0" w:space="0" w:color="auto"/>
            <w:bottom w:val="none" w:sz="0" w:space="0" w:color="auto"/>
            <w:right w:val="none" w:sz="0" w:space="0" w:color="auto"/>
          </w:divBdr>
        </w:div>
      </w:divsChild>
    </w:div>
    <w:div w:id="1609433618">
      <w:bodyDiv w:val="1"/>
      <w:marLeft w:val="0"/>
      <w:marRight w:val="0"/>
      <w:marTop w:val="0"/>
      <w:marBottom w:val="0"/>
      <w:divBdr>
        <w:top w:val="none" w:sz="0" w:space="0" w:color="auto"/>
        <w:left w:val="none" w:sz="0" w:space="0" w:color="auto"/>
        <w:bottom w:val="none" w:sz="0" w:space="0" w:color="auto"/>
        <w:right w:val="none" w:sz="0" w:space="0" w:color="auto"/>
      </w:divBdr>
    </w:div>
    <w:div w:id="1610502085">
      <w:bodyDiv w:val="1"/>
      <w:marLeft w:val="0"/>
      <w:marRight w:val="0"/>
      <w:marTop w:val="0"/>
      <w:marBottom w:val="0"/>
      <w:divBdr>
        <w:top w:val="none" w:sz="0" w:space="0" w:color="auto"/>
        <w:left w:val="none" w:sz="0" w:space="0" w:color="auto"/>
        <w:bottom w:val="none" w:sz="0" w:space="0" w:color="auto"/>
        <w:right w:val="none" w:sz="0" w:space="0" w:color="auto"/>
      </w:divBdr>
    </w:div>
    <w:div w:id="1615747037">
      <w:bodyDiv w:val="1"/>
      <w:marLeft w:val="0"/>
      <w:marRight w:val="0"/>
      <w:marTop w:val="0"/>
      <w:marBottom w:val="0"/>
      <w:divBdr>
        <w:top w:val="none" w:sz="0" w:space="0" w:color="auto"/>
        <w:left w:val="none" w:sz="0" w:space="0" w:color="auto"/>
        <w:bottom w:val="none" w:sz="0" w:space="0" w:color="auto"/>
        <w:right w:val="none" w:sz="0" w:space="0" w:color="auto"/>
      </w:divBdr>
      <w:divsChild>
        <w:div w:id="248738536">
          <w:marLeft w:val="965"/>
          <w:marRight w:val="0"/>
          <w:marTop w:val="96"/>
          <w:marBottom w:val="0"/>
          <w:divBdr>
            <w:top w:val="none" w:sz="0" w:space="0" w:color="auto"/>
            <w:left w:val="none" w:sz="0" w:space="0" w:color="auto"/>
            <w:bottom w:val="none" w:sz="0" w:space="0" w:color="auto"/>
            <w:right w:val="none" w:sz="0" w:space="0" w:color="auto"/>
          </w:divBdr>
        </w:div>
      </w:divsChild>
    </w:div>
    <w:div w:id="1618482766">
      <w:bodyDiv w:val="1"/>
      <w:marLeft w:val="0"/>
      <w:marRight w:val="0"/>
      <w:marTop w:val="0"/>
      <w:marBottom w:val="0"/>
      <w:divBdr>
        <w:top w:val="none" w:sz="0" w:space="0" w:color="auto"/>
        <w:left w:val="none" w:sz="0" w:space="0" w:color="auto"/>
        <w:bottom w:val="none" w:sz="0" w:space="0" w:color="auto"/>
        <w:right w:val="none" w:sz="0" w:space="0" w:color="auto"/>
      </w:divBdr>
      <w:divsChild>
        <w:div w:id="357705353">
          <w:marLeft w:val="0"/>
          <w:marRight w:val="0"/>
          <w:marTop w:val="0"/>
          <w:marBottom w:val="0"/>
          <w:divBdr>
            <w:top w:val="none" w:sz="0" w:space="0" w:color="auto"/>
            <w:left w:val="none" w:sz="0" w:space="0" w:color="auto"/>
            <w:bottom w:val="none" w:sz="0" w:space="0" w:color="auto"/>
            <w:right w:val="none" w:sz="0" w:space="0" w:color="auto"/>
          </w:divBdr>
        </w:div>
        <w:div w:id="446776626">
          <w:marLeft w:val="0"/>
          <w:marRight w:val="0"/>
          <w:marTop w:val="0"/>
          <w:marBottom w:val="0"/>
          <w:divBdr>
            <w:top w:val="none" w:sz="0" w:space="0" w:color="auto"/>
            <w:left w:val="none" w:sz="0" w:space="0" w:color="auto"/>
            <w:bottom w:val="none" w:sz="0" w:space="0" w:color="auto"/>
            <w:right w:val="none" w:sz="0" w:space="0" w:color="auto"/>
          </w:divBdr>
        </w:div>
        <w:div w:id="570695906">
          <w:marLeft w:val="0"/>
          <w:marRight w:val="0"/>
          <w:marTop w:val="0"/>
          <w:marBottom w:val="0"/>
          <w:divBdr>
            <w:top w:val="none" w:sz="0" w:space="0" w:color="auto"/>
            <w:left w:val="none" w:sz="0" w:space="0" w:color="auto"/>
            <w:bottom w:val="none" w:sz="0" w:space="0" w:color="auto"/>
            <w:right w:val="none" w:sz="0" w:space="0" w:color="auto"/>
          </w:divBdr>
        </w:div>
        <w:div w:id="885260600">
          <w:marLeft w:val="0"/>
          <w:marRight w:val="0"/>
          <w:marTop w:val="0"/>
          <w:marBottom w:val="0"/>
          <w:divBdr>
            <w:top w:val="none" w:sz="0" w:space="0" w:color="auto"/>
            <w:left w:val="none" w:sz="0" w:space="0" w:color="auto"/>
            <w:bottom w:val="none" w:sz="0" w:space="0" w:color="auto"/>
            <w:right w:val="none" w:sz="0" w:space="0" w:color="auto"/>
          </w:divBdr>
        </w:div>
        <w:div w:id="1374689808">
          <w:marLeft w:val="0"/>
          <w:marRight w:val="0"/>
          <w:marTop w:val="0"/>
          <w:marBottom w:val="0"/>
          <w:divBdr>
            <w:top w:val="none" w:sz="0" w:space="0" w:color="auto"/>
            <w:left w:val="none" w:sz="0" w:space="0" w:color="auto"/>
            <w:bottom w:val="none" w:sz="0" w:space="0" w:color="auto"/>
            <w:right w:val="none" w:sz="0" w:space="0" w:color="auto"/>
          </w:divBdr>
        </w:div>
        <w:div w:id="1470199004">
          <w:marLeft w:val="0"/>
          <w:marRight w:val="0"/>
          <w:marTop w:val="0"/>
          <w:marBottom w:val="0"/>
          <w:divBdr>
            <w:top w:val="none" w:sz="0" w:space="0" w:color="auto"/>
            <w:left w:val="none" w:sz="0" w:space="0" w:color="auto"/>
            <w:bottom w:val="none" w:sz="0" w:space="0" w:color="auto"/>
            <w:right w:val="none" w:sz="0" w:space="0" w:color="auto"/>
          </w:divBdr>
        </w:div>
      </w:divsChild>
    </w:div>
    <w:div w:id="1623727273">
      <w:bodyDiv w:val="1"/>
      <w:marLeft w:val="0"/>
      <w:marRight w:val="0"/>
      <w:marTop w:val="0"/>
      <w:marBottom w:val="0"/>
      <w:divBdr>
        <w:top w:val="none" w:sz="0" w:space="0" w:color="auto"/>
        <w:left w:val="none" w:sz="0" w:space="0" w:color="auto"/>
        <w:bottom w:val="none" w:sz="0" w:space="0" w:color="auto"/>
        <w:right w:val="none" w:sz="0" w:space="0" w:color="auto"/>
      </w:divBdr>
      <w:divsChild>
        <w:div w:id="2119063027">
          <w:marLeft w:val="965"/>
          <w:marRight w:val="0"/>
          <w:marTop w:val="77"/>
          <w:marBottom w:val="0"/>
          <w:divBdr>
            <w:top w:val="none" w:sz="0" w:space="0" w:color="auto"/>
            <w:left w:val="none" w:sz="0" w:space="0" w:color="auto"/>
            <w:bottom w:val="none" w:sz="0" w:space="0" w:color="auto"/>
            <w:right w:val="none" w:sz="0" w:space="0" w:color="auto"/>
          </w:divBdr>
        </w:div>
      </w:divsChild>
    </w:div>
    <w:div w:id="1659457987">
      <w:bodyDiv w:val="1"/>
      <w:marLeft w:val="0"/>
      <w:marRight w:val="0"/>
      <w:marTop w:val="0"/>
      <w:marBottom w:val="0"/>
      <w:divBdr>
        <w:top w:val="none" w:sz="0" w:space="0" w:color="auto"/>
        <w:left w:val="none" w:sz="0" w:space="0" w:color="auto"/>
        <w:bottom w:val="none" w:sz="0" w:space="0" w:color="auto"/>
        <w:right w:val="none" w:sz="0" w:space="0" w:color="auto"/>
      </w:divBdr>
    </w:div>
    <w:div w:id="1681279232">
      <w:bodyDiv w:val="1"/>
      <w:marLeft w:val="0"/>
      <w:marRight w:val="0"/>
      <w:marTop w:val="0"/>
      <w:marBottom w:val="0"/>
      <w:divBdr>
        <w:top w:val="none" w:sz="0" w:space="0" w:color="auto"/>
        <w:left w:val="none" w:sz="0" w:space="0" w:color="auto"/>
        <w:bottom w:val="none" w:sz="0" w:space="0" w:color="auto"/>
        <w:right w:val="none" w:sz="0" w:space="0" w:color="auto"/>
      </w:divBdr>
    </w:div>
    <w:div w:id="1691637396">
      <w:bodyDiv w:val="1"/>
      <w:marLeft w:val="0"/>
      <w:marRight w:val="0"/>
      <w:marTop w:val="0"/>
      <w:marBottom w:val="0"/>
      <w:divBdr>
        <w:top w:val="none" w:sz="0" w:space="0" w:color="auto"/>
        <w:left w:val="none" w:sz="0" w:space="0" w:color="auto"/>
        <w:bottom w:val="none" w:sz="0" w:space="0" w:color="auto"/>
        <w:right w:val="none" w:sz="0" w:space="0" w:color="auto"/>
      </w:divBdr>
      <w:divsChild>
        <w:div w:id="1841769094">
          <w:marLeft w:val="965"/>
          <w:marRight w:val="0"/>
          <w:marTop w:val="77"/>
          <w:marBottom w:val="0"/>
          <w:divBdr>
            <w:top w:val="none" w:sz="0" w:space="0" w:color="auto"/>
            <w:left w:val="none" w:sz="0" w:space="0" w:color="auto"/>
            <w:bottom w:val="none" w:sz="0" w:space="0" w:color="auto"/>
            <w:right w:val="none" w:sz="0" w:space="0" w:color="auto"/>
          </w:divBdr>
        </w:div>
      </w:divsChild>
    </w:div>
    <w:div w:id="1693725076">
      <w:bodyDiv w:val="1"/>
      <w:marLeft w:val="0"/>
      <w:marRight w:val="0"/>
      <w:marTop w:val="0"/>
      <w:marBottom w:val="0"/>
      <w:divBdr>
        <w:top w:val="none" w:sz="0" w:space="0" w:color="auto"/>
        <w:left w:val="none" w:sz="0" w:space="0" w:color="auto"/>
        <w:bottom w:val="none" w:sz="0" w:space="0" w:color="auto"/>
        <w:right w:val="none" w:sz="0" w:space="0" w:color="auto"/>
      </w:divBdr>
    </w:div>
    <w:div w:id="1702824222">
      <w:bodyDiv w:val="1"/>
      <w:marLeft w:val="0"/>
      <w:marRight w:val="0"/>
      <w:marTop w:val="0"/>
      <w:marBottom w:val="0"/>
      <w:divBdr>
        <w:top w:val="none" w:sz="0" w:space="0" w:color="auto"/>
        <w:left w:val="none" w:sz="0" w:space="0" w:color="auto"/>
        <w:bottom w:val="none" w:sz="0" w:space="0" w:color="auto"/>
        <w:right w:val="none" w:sz="0" w:space="0" w:color="auto"/>
      </w:divBdr>
    </w:div>
    <w:div w:id="1710110794">
      <w:bodyDiv w:val="1"/>
      <w:marLeft w:val="0"/>
      <w:marRight w:val="0"/>
      <w:marTop w:val="0"/>
      <w:marBottom w:val="0"/>
      <w:divBdr>
        <w:top w:val="none" w:sz="0" w:space="0" w:color="auto"/>
        <w:left w:val="none" w:sz="0" w:space="0" w:color="auto"/>
        <w:bottom w:val="none" w:sz="0" w:space="0" w:color="auto"/>
        <w:right w:val="none" w:sz="0" w:space="0" w:color="auto"/>
      </w:divBdr>
    </w:div>
    <w:div w:id="1767581931">
      <w:bodyDiv w:val="1"/>
      <w:marLeft w:val="0"/>
      <w:marRight w:val="0"/>
      <w:marTop w:val="0"/>
      <w:marBottom w:val="0"/>
      <w:divBdr>
        <w:top w:val="none" w:sz="0" w:space="0" w:color="auto"/>
        <w:left w:val="none" w:sz="0" w:space="0" w:color="auto"/>
        <w:bottom w:val="none" w:sz="0" w:space="0" w:color="auto"/>
        <w:right w:val="none" w:sz="0" w:space="0" w:color="auto"/>
      </w:divBdr>
    </w:div>
    <w:div w:id="1768841506">
      <w:bodyDiv w:val="1"/>
      <w:marLeft w:val="0"/>
      <w:marRight w:val="0"/>
      <w:marTop w:val="0"/>
      <w:marBottom w:val="0"/>
      <w:divBdr>
        <w:top w:val="none" w:sz="0" w:space="0" w:color="auto"/>
        <w:left w:val="none" w:sz="0" w:space="0" w:color="auto"/>
        <w:bottom w:val="none" w:sz="0" w:space="0" w:color="auto"/>
        <w:right w:val="none" w:sz="0" w:space="0" w:color="auto"/>
      </w:divBdr>
    </w:div>
    <w:div w:id="1779332276">
      <w:bodyDiv w:val="1"/>
      <w:marLeft w:val="0"/>
      <w:marRight w:val="0"/>
      <w:marTop w:val="0"/>
      <w:marBottom w:val="0"/>
      <w:divBdr>
        <w:top w:val="none" w:sz="0" w:space="0" w:color="auto"/>
        <w:left w:val="none" w:sz="0" w:space="0" w:color="auto"/>
        <w:bottom w:val="none" w:sz="0" w:space="0" w:color="auto"/>
        <w:right w:val="none" w:sz="0" w:space="0" w:color="auto"/>
      </w:divBdr>
    </w:div>
    <w:div w:id="1779789806">
      <w:bodyDiv w:val="1"/>
      <w:marLeft w:val="0"/>
      <w:marRight w:val="0"/>
      <w:marTop w:val="0"/>
      <w:marBottom w:val="0"/>
      <w:divBdr>
        <w:top w:val="none" w:sz="0" w:space="0" w:color="auto"/>
        <w:left w:val="none" w:sz="0" w:space="0" w:color="auto"/>
        <w:bottom w:val="none" w:sz="0" w:space="0" w:color="auto"/>
        <w:right w:val="none" w:sz="0" w:space="0" w:color="auto"/>
      </w:divBdr>
      <w:divsChild>
        <w:div w:id="352850027">
          <w:marLeft w:val="0"/>
          <w:marRight w:val="0"/>
          <w:marTop w:val="0"/>
          <w:marBottom w:val="0"/>
          <w:divBdr>
            <w:top w:val="none" w:sz="0" w:space="0" w:color="auto"/>
            <w:left w:val="none" w:sz="0" w:space="0" w:color="auto"/>
            <w:bottom w:val="none" w:sz="0" w:space="0" w:color="auto"/>
            <w:right w:val="none" w:sz="0" w:space="0" w:color="auto"/>
          </w:divBdr>
        </w:div>
        <w:div w:id="877860702">
          <w:marLeft w:val="0"/>
          <w:marRight w:val="0"/>
          <w:marTop w:val="0"/>
          <w:marBottom w:val="0"/>
          <w:divBdr>
            <w:top w:val="none" w:sz="0" w:space="0" w:color="auto"/>
            <w:left w:val="none" w:sz="0" w:space="0" w:color="auto"/>
            <w:bottom w:val="none" w:sz="0" w:space="0" w:color="auto"/>
            <w:right w:val="none" w:sz="0" w:space="0" w:color="auto"/>
          </w:divBdr>
        </w:div>
        <w:div w:id="1463621265">
          <w:marLeft w:val="0"/>
          <w:marRight w:val="0"/>
          <w:marTop w:val="0"/>
          <w:marBottom w:val="0"/>
          <w:divBdr>
            <w:top w:val="none" w:sz="0" w:space="0" w:color="auto"/>
            <w:left w:val="none" w:sz="0" w:space="0" w:color="auto"/>
            <w:bottom w:val="none" w:sz="0" w:space="0" w:color="auto"/>
            <w:right w:val="none" w:sz="0" w:space="0" w:color="auto"/>
          </w:divBdr>
        </w:div>
        <w:div w:id="1587569326">
          <w:marLeft w:val="0"/>
          <w:marRight w:val="0"/>
          <w:marTop w:val="0"/>
          <w:marBottom w:val="0"/>
          <w:divBdr>
            <w:top w:val="none" w:sz="0" w:space="0" w:color="auto"/>
            <w:left w:val="none" w:sz="0" w:space="0" w:color="auto"/>
            <w:bottom w:val="none" w:sz="0" w:space="0" w:color="auto"/>
            <w:right w:val="none" w:sz="0" w:space="0" w:color="auto"/>
          </w:divBdr>
        </w:div>
        <w:div w:id="1898277636">
          <w:marLeft w:val="0"/>
          <w:marRight w:val="0"/>
          <w:marTop w:val="0"/>
          <w:marBottom w:val="0"/>
          <w:divBdr>
            <w:top w:val="none" w:sz="0" w:space="0" w:color="auto"/>
            <w:left w:val="none" w:sz="0" w:space="0" w:color="auto"/>
            <w:bottom w:val="none" w:sz="0" w:space="0" w:color="auto"/>
            <w:right w:val="none" w:sz="0" w:space="0" w:color="auto"/>
          </w:divBdr>
        </w:div>
        <w:div w:id="2083216580">
          <w:marLeft w:val="0"/>
          <w:marRight w:val="0"/>
          <w:marTop w:val="0"/>
          <w:marBottom w:val="0"/>
          <w:divBdr>
            <w:top w:val="none" w:sz="0" w:space="0" w:color="auto"/>
            <w:left w:val="none" w:sz="0" w:space="0" w:color="auto"/>
            <w:bottom w:val="none" w:sz="0" w:space="0" w:color="auto"/>
            <w:right w:val="none" w:sz="0" w:space="0" w:color="auto"/>
          </w:divBdr>
        </w:div>
      </w:divsChild>
    </w:div>
    <w:div w:id="1781533290">
      <w:bodyDiv w:val="1"/>
      <w:marLeft w:val="0"/>
      <w:marRight w:val="0"/>
      <w:marTop w:val="0"/>
      <w:marBottom w:val="0"/>
      <w:divBdr>
        <w:top w:val="none" w:sz="0" w:space="0" w:color="auto"/>
        <w:left w:val="none" w:sz="0" w:space="0" w:color="auto"/>
        <w:bottom w:val="none" w:sz="0" w:space="0" w:color="auto"/>
        <w:right w:val="none" w:sz="0" w:space="0" w:color="auto"/>
      </w:divBdr>
    </w:div>
    <w:div w:id="1782334069">
      <w:bodyDiv w:val="1"/>
      <w:marLeft w:val="0"/>
      <w:marRight w:val="0"/>
      <w:marTop w:val="0"/>
      <w:marBottom w:val="0"/>
      <w:divBdr>
        <w:top w:val="none" w:sz="0" w:space="0" w:color="auto"/>
        <w:left w:val="none" w:sz="0" w:space="0" w:color="auto"/>
        <w:bottom w:val="none" w:sz="0" w:space="0" w:color="auto"/>
        <w:right w:val="none" w:sz="0" w:space="0" w:color="auto"/>
      </w:divBdr>
    </w:div>
    <w:div w:id="1801075896">
      <w:bodyDiv w:val="1"/>
      <w:marLeft w:val="0"/>
      <w:marRight w:val="0"/>
      <w:marTop w:val="0"/>
      <w:marBottom w:val="0"/>
      <w:divBdr>
        <w:top w:val="none" w:sz="0" w:space="0" w:color="auto"/>
        <w:left w:val="none" w:sz="0" w:space="0" w:color="auto"/>
        <w:bottom w:val="none" w:sz="0" w:space="0" w:color="auto"/>
        <w:right w:val="none" w:sz="0" w:space="0" w:color="auto"/>
      </w:divBdr>
    </w:div>
    <w:div w:id="1806269721">
      <w:bodyDiv w:val="1"/>
      <w:marLeft w:val="0"/>
      <w:marRight w:val="0"/>
      <w:marTop w:val="0"/>
      <w:marBottom w:val="0"/>
      <w:divBdr>
        <w:top w:val="none" w:sz="0" w:space="0" w:color="auto"/>
        <w:left w:val="none" w:sz="0" w:space="0" w:color="auto"/>
        <w:bottom w:val="none" w:sz="0" w:space="0" w:color="auto"/>
        <w:right w:val="none" w:sz="0" w:space="0" w:color="auto"/>
      </w:divBdr>
    </w:div>
    <w:div w:id="1808627620">
      <w:bodyDiv w:val="1"/>
      <w:marLeft w:val="0"/>
      <w:marRight w:val="0"/>
      <w:marTop w:val="0"/>
      <w:marBottom w:val="0"/>
      <w:divBdr>
        <w:top w:val="none" w:sz="0" w:space="0" w:color="auto"/>
        <w:left w:val="none" w:sz="0" w:space="0" w:color="auto"/>
        <w:bottom w:val="none" w:sz="0" w:space="0" w:color="auto"/>
        <w:right w:val="none" w:sz="0" w:space="0" w:color="auto"/>
      </w:divBdr>
      <w:divsChild>
        <w:div w:id="868372271">
          <w:marLeft w:val="0"/>
          <w:marRight w:val="0"/>
          <w:marTop w:val="0"/>
          <w:marBottom w:val="0"/>
          <w:divBdr>
            <w:top w:val="none" w:sz="0" w:space="0" w:color="auto"/>
            <w:left w:val="none" w:sz="0" w:space="0" w:color="auto"/>
            <w:bottom w:val="none" w:sz="0" w:space="0" w:color="auto"/>
            <w:right w:val="none" w:sz="0" w:space="0" w:color="auto"/>
          </w:divBdr>
        </w:div>
        <w:div w:id="1686591105">
          <w:marLeft w:val="0"/>
          <w:marRight w:val="0"/>
          <w:marTop w:val="0"/>
          <w:marBottom w:val="0"/>
          <w:divBdr>
            <w:top w:val="none" w:sz="0" w:space="0" w:color="auto"/>
            <w:left w:val="none" w:sz="0" w:space="0" w:color="auto"/>
            <w:bottom w:val="none" w:sz="0" w:space="0" w:color="auto"/>
            <w:right w:val="none" w:sz="0" w:space="0" w:color="auto"/>
          </w:divBdr>
        </w:div>
        <w:div w:id="969439283">
          <w:marLeft w:val="0"/>
          <w:marRight w:val="0"/>
          <w:marTop w:val="0"/>
          <w:marBottom w:val="0"/>
          <w:divBdr>
            <w:top w:val="none" w:sz="0" w:space="0" w:color="auto"/>
            <w:left w:val="none" w:sz="0" w:space="0" w:color="auto"/>
            <w:bottom w:val="none" w:sz="0" w:space="0" w:color="auto"/>
            <w:right w:val="none" w:sz="0" w:space="0" w:color="auto"/>
          </w:divBdr>
        </w:div>
      </w:divsChild>
    </w:div>
    <w:div w:id="1810242891">
      <w:bodyDiv w:val="1"/>
      <w:marLeft w:val="0"/>
      <w:marRight w:val="0"/>
      <w:marTop w:val="0"/>
      <w:marBottom w:val="0"/>
      <w:divBdr>
        <w:top w:val="none" w:sz="0" w:space="0" w:color="auto"/>
        <w:left w:val="none" w:sz="0" w:space="0" w:color="auto"/>
        <w:bottom w:val="none" w:sz="0" w:space="0" w:color="auto"/>
        <w:right w:val="none" w:sz="0" w:space="0" w:color="auto"/>
      </w:divBdr>
    </w:div>
    <w:div w:id="1822498458">
      <w:bodyDiv w:val="1"/>
      <w:marLeft w:val="0"/>
      <w:marRight w:val="0"/>
      <w:marTop w:val="0"/>
      <w:marBottom w:val="0"/>
      <w:divBdr>
        <w:top w:val="none" w:sz="0" w:space="0" w:color="auto"/>
        <w:left w:val="none" w:sz="0" w:space="0" w:color="auto"/>
        <w:bottom w:val="none" w:sz="0" w:space="0" w:color="auto"/>
        <w:right w:val="none" w:sz="0" w:space="0" w:color="auto"/>
      </w:divBdr>
      <w:divsChild>
        <w:div w:id="85856743">
          <w:marLeft w:val="0"/>
          <w:marRight w:val="0"/>
          <w:marTop w:val="0"/>
          <w:marBottom w:val="0"/>
          <w:divBdr>
            <w:top w:val="none" w:sz="0" w:space="0" w:color="auto"/>
            <w:left w:val="none" w:sz="0" w:space="0" w:color="auto"/>
            <w:bottom w:val="none" w:sz="0" w:space="0" w:color="auto"/>
            <w:right w:val="none" w:sz="0" w:space="0" w:color="auto"/>
          </w:divBdr>
        </w:div>
        <w:div w:id="162668121">
          <w:marLeft w:val="0"/>
          <w:marRight w:val="0"/>
          <w:marTop w:val="0"/>
          <w:marBottom w:val="0"/>
          <w:divBdr>
            <w:top w:val="none" w:sz="0" w:space="0" w:color="auto"/>
            <w:left w:val="none" w:sz="0" w:space="0" w:color="auto"/>
            <w:bottom w:val="none" w:sz="0" w:space="0" w:color="auto"/>
            <w:right w:val="none" w:sz="0" w:space="0" w:color="auto"/>
          </w:divBdr>
        </w:div>
        <w:div w:id="908224466">
          <w:marLeft w:val="0"/>
          <w:marRight w:val="0"/>
          <w:marTop w:val="0"/>
          <w:marBottom w:val="0"/>
          <w:divBdr>
            <w:top w:val="none" w:sz="0" w:space="0" w:color="auto"/>
            <w:left w:val="none" w:sz="0" w:space="0" w:color="auto"/>
            <w:bottom w:val="none" w:sz="0" w:space="0" w:color="auto"/>
            <w:right w:val="none" w:sz="0" w:space="0" w:color="auto"/>
          </w:divBdr>
        </w:div>
        <w:div w:id="1543903440">
          <w:marLeft w:val="0"/>
          <w:marRight w:val="0"/>
          <w:marTop w:val="0"/>
          <w:marBottom w:val="0"/>
          <w:divBdr>
            <w:top w:val="none" w:sz="0" w:space="0" w:color="auto"/>
            <w:left w:val="none" w:sz="0" w:space="0" w:color="auto"/>
            <w:bottom w:val="none" w:sz="0" w:space="0" w:color="auto"/>
            <w:right w:val="none" w:sz="0" w:space="0" w:color="auto"/>
          </w:divBdr>
        </w:div>
        <w:div w:id="1600068151">
          <w:marLeft w:val="0"/>
          <w:marRight w:val="0"/>
          <w:marTop w:val="0"/>
          <w:marBottom w:val="0"/>
          <w:divBdr>
            <w:top w:val="none" w:sz="0" w:space="0" w:color="auto"/>
            <w:left w:val="none" w:sz="0" w:space="0" w:color="auto"/>
            <w:bottom w:val="none" w:sz="0" w:space="0" w:color="auto"/>
            <w:right w:val="none" w:sz="0" w:space="0" w:color="auto"/>
          </w:divBdr>
        </w:div>
        <w:div w:id="1863743540">
          <w:marLeft w:val="0"/>
          <w:marRight w:val="0"/>
          <w:marTop w:val="0"/>
          <w:marBottom w:val="0"/>
          <w:divBdr>
            <w:top w:val="none" w:sz="0" w:space="0" w:color="auto"/>
            <w:left w:val="none" w:sz="0" w:space="0" w:color="auto"/>
            <w:bottom w:val="none" w:sz="0" w:space="0" w:color="auto"/>
            <w:right w:val="none" w:sz="0" w:space="0" w:color="auto"/>
          </w:divBdr>
        </w:div>
        <w:div w:id="2074036452">
          <w:marLeft w:val="0"/>
          <w:marRight w:val="0"/>
          <w:marTop w:val="0"/>
          <w:marBottom w:val="0"/>
          <w:divBdr>
            <w:top w:val="none" w:sz="0" w:space="0" w:color="auto"/>
            <w:left w:val="none" w:sz="0" w:space="0" w:color="auto"/>
            <w:bottom w:val="none" w:sz="0" w:space="0" w:color="auto"/>
            <w:right w:val="none" w:sz="0" w:space="0" w:color="auto"/>
          </w:divBdr>
        </w:div>
        <w:div w:id="2084837378">
          <w:marLeft w:val="0"/>
          <w:marRight w:val="0"/>
          <w:marTop w:val="0"/>
          <w:marBottom w:val="0"/>
          <w:divBdr>
            <w:top w:val="none" w:sz="0" w:space="0" w:color="auto"/>
            <w:left w:val="none" w:sz="0" w:space="0" w:color="auto"/>
            <w:bottom w:val="none" w:sz="0" w:space="0" w:color="auto"/>
            <w:right w:val="none" w:sz="0" w:space="0" w:color="auto"/>
          </w:divBdr>
        </w:div>
      </w:divsChild>
    </w:div>
    <w:div w:id="1826553992">
      <w:bodyDiv w:val="1"/>
      <w:marLeft w:val="0"/>
      <w:marRight w:val="0"/>
      <w:marTop w:val="0"/>
      <w:marBottom w:val="0"/>
      <w:divBdr>
        <w:top w:val="none" w:sz="0" w:space="0" w:color="auto"/>
        <w:left w:val="none" w:sz="0" w:space="0" w:color="auto"/>
        <w:bottom w:val="none" w:sz="0" w:space="0" w:color="auto"/>
        <w:right w:val="none" w:sz="0" w:space="0" w:color="auto"/>
      </w:divBdr>
    </w:div>
    <w:div w:id="1832137398">
      <w:bodyDiv w:val="1"/>
      <w:marLeft w:val="0"/>
      <w:marRight w:val="0"/>
      <w:marTop w:val="0"/>
      <w:marBottom w:val="0"/>
      <w:divBdr>
        <w:top w:val="none" w:sz="0" w:space="0" w:color="auto"/>
        <w:left w:val="none" w:sz="0" w:space="0" w:color="auto"/>
        <w:bottom w:val="none" w:sz="0" w:space="0" w:color="auto"/>
        <w:right w:val="none" w:sz="0" w:space="0" w:color="auto"/>
      </w:divBdr>
    </w:div>
    <w:div w:id="1852792631">
      <w:bodyDiv w:val="1"/>
      <w:marLeft w:val="0"/>
      <w:marRight w:val="0"/>
      <w:marTop w:val="0"/>
      <w:marBottom w:val="0"/>
      <w:divBdr>
        <w:top w:val="none" w:sz="0" w:space="0" w:color="auto"/>
        <w:left w:val="none" w:sz="0" w:space="0" w:color="auto"/>
        <w:bottom w:val="none" w:sz="0" w:space="0" w:color="auto"/>
        <w:right w:val="none" w:sz="0" w:space="0" w:color="auto"/>
      </w:divBdr>
    </w:div>
    <w:div w:id="1871528075">
      <w:bodyDiv w:val="1"/>
      <w:marLeft w:val="0"/>
      <w:marRight w:val="0"/>
      <w:marTop w:val="0"/>
      <w:marBottom w:val="0"/>
      <w:divBdr>
        <w:top w:val="none" w:sz="0" w:space="0" w:color="auto"/>
        <w:left w:val="none" w:sz="0" w:space="0" w:color="auto"/>
        <w:bottom w:val="none" w:sz="0" w:space="0" w:color="auto"/>
        <w:right w:val="none" w:sz="0" w:space="0" w:color="auto"/>
      </w:divBdr>
    </w:div>
    <w:div w:id="1895852532">
      <w:bodyDiv w:val="1"/>
      <w:marLeft w:val="0"/>
      <w:marRight w:val="0"/>
      <w:marTop w:val="0"/>
      <w:marBottom w:val="0"/>
      <w:divBdr>
        <w:top w:val="none" w:sz="0" w:space="0" w:color="auto"/>
        <w:left w:val="none" w:sz="0" w:space="0" w:color="auto"/>
        <w:bottom w:val="none" w:sz="0" w:space="0" w:color="auto"/>
        <w:right w:val="none" w:sz="0" w:space="0" w:color="auto"/>
      </w:divBdr>
    </w:div>
    <w:div w:id="1913392659">
      <w:bodyDiv w:val="1"/>
      <w:marLeft w:val="0"/>
      <w:marRight w:val="0"/>
      <w:marTop w:val="0"/>
      <w:marBottom w:val="0"/>
      <w:divBdr>
        <w:top w:val="none" w:sz="0" w:space="0" w:color="auto"/>
        <w:left w:val="none" w:sz="0" w:space="0" w:color="auto"/>
        <w:bottom w:val="none" w:sz="0" w:space="0" w:color="auto"/>
        <w:right w:val="none" w:sz="0" w:space="0" w:color="auto"/>
      </w:divBdr>
    </w:div>
    <w:div w:id="1914662257">
      <w:bodyDiv w:val="1"/>
      <w:marLeft w:val="0"/>
      <w:marRight w:val="0"/>
      <w:marTop w:val="0"/>
      <w:marBottom w:val="0"/>
      <w:divBdr>
        <w:top w:val="none" w:sz="0" w:space="0" w:color="auto"/>
        <w:left w:val="none" w:sz="0" w:space="0" w:color="auto"/>
        <w:bottom w:val="none" w:sz="0" w:space="0" w:color="auto"/>
        <w:right w:val="none" w:sz="0" w:space="0" w:color="auto"/>
      </w:divBdr>
    </w:div>
    <w:div w:id="1917277502">
      <w:bodyDiv w:val="1"/>
      <w:marLeft w:val="0"/>
      <w:marRight w:val="0"/>
      <w:marTop w:val="0"/>
      <w:marBottom w:val="0"/>
      <w:divBdr>
        <w:top w:val="none" w:sz="0" w:space="0" w:color="auto"/>
        <w:left w:val="none" w:sz="0" w:space="0" w:color="auto"/>
        <w:bottom w:val="none" w:sz="0" w:space="0" w:color="auto"/>
        <w:right w:val="none" w:sz="0" w:space="0" w:color="auto"/>
      </w:divBdr>
    </w:div>
    <w:div w:id="1919901533">
      <w:bodyDiv w:val="1"/>
      <w:marLeft w:val="0"/>
      <w:marRight w:val="0"/>
      <w:marTop w:val="0"/>
      <w:marBottom w:val="0"/>
      <w:divBdr>
        <w:top w:val="none" w:sz="0" w:space="0" w:color="auto"/>
        <w:left w:val="none" w:sz="0" w:space="0" w:color="auto"/>
        <w:bottom w:val="none" w:sz="0" w:space="0" w:color="auto"/>
        <w:right w:val="none" w:sz="0" w:space="0" w:color="auto"/>
      </w:divBdr>
    </w:div>
    <w:div w:id="1933971694">
      <w:bodyDiv w:val="1"/>
      <w:marLeft w:val="0"/>
      <w:marRight w:val="0"/>
      <w:marTop w:val="0"/>
      <w:marBottom w:val="0"/>
      <w:divBdr>
        <w:top w:val="none" w:sz="0" w:space="0" w:color="auto"/>
        <w:left w:val="none" w:sz="0" w:space="0" w:color="auto"/>
        <w:bottom w:val="none" w:sz="0" w:space="0" w:color="auto"/>
        <w:right w:val="none" w:sz="0" w:space="0" w:color="auto"/>
      </w:divBdr>
    </w:div>
    <w:div w:id="1942637397">
      <w:bodyDiv w:val="1"/>
      <w:marLeft w:val="0"/>
      <w:marRight w:val="0"/>
      <w:marTop w:val="0"/>
      <w:marBottom w:val="0"/>
      <w:divBdr>
        <w:top w:val="none" w:sz="0" w:space="0" w:color="auto"/>
        <w:left w:val="none" w:sz="0" w:space="0" w:color="auto"/>
        <w:bottom w:val="none" w:sz="0" w:space="0" w:color="auto"/>
        <w:right w:val="none" w:sz="0" w:space="0" w:color="auto"/>
      </w:divBdr>
      <w:divsChild>
        <w:div w:id="56125604">
          <w:marLeft w:val="0"/>
          <w:marRight w:val="0"/>
          <w:marTop w:val="0"/>
          <w:marBottom w:val="0"/>
          <w:divBdr>
            <w:top w:val="none" w:sz="0" w:space="0" w:color="auto"/>
            <w:left w:val="none" w:sz="0" w:space="0" w:color="auto"/>
            <w:bottom w:val="none" w:sz="0" w:space="0" w:color="auto"/>
            <w:right w:val="none" w:sz="0" w:space="0" w:color="auto"/>
          </w:divBdr>
        </w:div>
        <w:div w:id="78672038">
          <w:marLeft w:val="0"/>
          <w:marRight w:val="0"/>
          <w:marTop w:val="0"/>
          <w:marBottom w:val="0"/>
          <w:divBdr>
            <w:top w:val="none" w:sz="0" w:space="0" w:color="auto"/>
            <w:left w:val="none" w:sz="0" w:space="0" w:color="auto"/>
            <w:bottom w:val="none" w:sz="0" w:space="0" w:color="auto"/>
            <w:right w:val="none" w:sz="0" w:space="0" w:color="auto"/>
          </w:divBdr>
        </w:div>
        <w:div w:id="684285107">
          <w:marLeft w:val="0"/>
          <w:marRight w:val="0"/>
          <w:marTop w:val="0"/>
          <w:marBottom w:val="0"/>
          <w:divBdr>
            <w:top w:val="none" w:sz="0" w:space="0" w:color="auto"/>
            <w:left w:val="none" w:sz="0" w:space="0" w:color="auto"/>
            <w:bottom w:val="none" w:sz="0" w:space="0" w:color="auto"/>
            <w:right w:val="none" w:sz="0" w:space="0" w:color="auto"/>
          </w:divBdr>
        </w:div>
        <w:div w:id="727267160">
          <w:marLeft w:val="0"/>
          <w:marRight w:val="0"/>
          <w:marTop w:val="0"/>
          <w:marBottom w:val="0"/>
          <w:divBdr>
            <w:top w:val="none" w:sz="0" w:space="0" w:color="auto"/>
            <w:left w:val="none" w:sz="0" w:space="0" w:color="auto"/>
            <w:bottom w:val="none" w:sz="0" w:space="0" w:color="auto"/>
            <w:right w:val="none" w:sz="0" w:space="0" w:color="auto"/>
          </w:divBdr>
        </w:div>
        <w:div w:id="888078824">
          <w:marLeft w:val="0"/>
          <w:marRight w:val="0"/>
          <w:marTop w:val="0"/>
          <w:marBottom w:val="0"/>
          <w:divBdr>
            <w:top w:val="none" w:sz="0" w:space="0" w:color="auto"/>
            <w:left w:val="none" w:sz="0" w:space="0" w:color="auto"/>
            <w:bottom w:val="none" w:sz="0" w:space="0" w:color="auto"/>
            <w:right w:val="none" w:sz="0" w:space="0" w:color="auto"/>
          </w:divBdr>
        </w:div>
        <w:div w:id="992490952">
          <w:marLeft w:val="0"/>
          <w:marRight w:val="0"/>
          <w:marTop w:val="0"/>
          <w:marBottom w:val="0"/>
          <w:divBdr>
            <w:top w:val="none" w:sz="0" w:space="0" w:color="auto"/>
            <w:left w:val="none" w:sz="0" w:space="0" w:color="auto"/>
            <w:bottom w:val="none" w:sz="0" w:space="0" w:color="auto"/>
            <w:right w:val="none" w:sz="0" w:space="0" w:color="auto"/>
          </w:divBdr>
        </w:div>
        <w:div w:id="1004742968">
          <w:marLeft w:val="0"/>
          <w:marRight w:val="0"/>
          <w:marTop w:val="0"/>
          <w:marBottom w:val="0"/>
          <w:divBdr>
            <w:top w:val="none" w:sz="0" w:space="0" w:color="auto"/>
            <w:left w:val="none" w:sz="0" w:space="0" w:color="auto"/>
            <w:bottom w:val="none" w:sz="0" w:space="0" w:color="auto"/>
            <w:right w:val="none" w:sz="0" w:space="0" w:color="auto"/>
          </w:divBdr>
        </w:div>
        <w:div w:id="1340499386">
          <w:marLeft w:val="0"/>
          <w:marRight w:val="0"/>
          <w:marTop w:val="0"/>
          <w:marBottom w:val="0"/>
          <w:divBdr>
            <w:top w:val="none" w:sz="0" w:space="0" w:color="auto"/>
            <w:left w:val="none" w:sz="0" w:space="0" w:color="auto"/>
            <w:bottom w:val="none" w:sz="0" w:space="0" w:color="auto"/>
            <w:right w:val="none" w:sz="0" w:space="0" w:color="auto"/>
          </w:divBdr>
        </w:div>
        <w:div w:id="1362248330">
          <w:marLeft w:val="0"/>
          <w:marRight w:val="0"/>
          <w:marTop w:val="0"/>
          <w:marBottom w:val="0"/>
          <w:divBdr>
            <w:top w:val="none" w:sz="0" w:space="0" w:color="auto"/>
            <w:left w:val="none" w:sz="0" w:space="0" w:color="auto"/>
            <w:bottom w:val="none" w:sz="0" w:space="0" w:color="auto"/>
            <w:right w:val="none" w:sz="0" w:space="0" w:color="auto"/>
          </w:divBdr>
        </w:div>
      </w:divsChild>
    </w:div>
    <w:div w:id="1961716777">
      <w:bodyDiv w:val="1"/>
      <w:marLeft w:val="0"/>
      <w:marRight w:val="0"/>
      <w:marTop w:val="0"/>
      <w:marBottom w:val="0"/>
      <w:divBdr>
        <w:top w:val="none" w:sz="0" w:space="0" w:color="auto"/>
        <w:left w:val="none" w:sz="0" w:space="0" w:color="auto"/>
        <w:bottom w:val="none" w:sz="0" w:space="0" w:color="auto"/>
        <w:right w:val="none" w:sz="0" w:space="0" w:color="auto"/>
      </w:divBdr>
    </w:div>
    <w:div w:id="1966153578">
      <w:bodyDiv w:val="1"/>
      <w:marLeft w:val="0"/>
      <w:marRight w:val="0"/>
      <w:marTop w:val="0"/>
      <w:marBottom w:val="0"/>
      <w:divBdr>
        <w:top w:val="none" w:sz="0" w:space="0" w:color="auto"/>
        <w:left w:val="none" w:sz="0" w:space="0" w:color="auto"/>
        <w:bottom w:val="none" w:sz="0" w:space="0" w:color="auto"/>
        <w:right w:val="none" w:sz="0" w:space="0" w:color="auto"/>
      </w:divBdr>
    </w:div>
    <w:div w:id="1982035218">
      <w:bodyDiv w:val="1"/>
      <w:marLeft w:val="0"/>
      <w:marRight w:val="0"/>
      <w:marTop w:val="0"/>
      <w:marBottom w:val="0"/>
      <w:divBdr>
        <w:top w:val="none" w:sz="0" w:space="0" w:color="auto"/>
        <w:left w:val="none" w:sz="0" w:space="0" w:color="auto"/>
        <w:bottom w:val="none" w:sz="0" w:space="0" w:color="auto"/>
        <w:right w:val="none" w:sz="0" w:space="0" w:color="auto"/>
      </w:divBdr>
    </w:div>
    <w:div w:id="1984768030">
      <w:bodyDiv w:val="1"/>
      <w:marLeft w:val="0"/>
      <w:marRight w:val="0"/>
      <w:marTop w:val="0"/>
      <w:marBottom w:val="0"/>
      <w:divBdr>
        <w:top w:val="none" w:sz="0" w:space="0" w:color="auto"/>
        <w:left w:val="none" w:sz="0" w:space="0" w:color="auto"/>
        <w:bottom w:val="none" w:sz="0" w:space="0" w:color="auto"/>
        <w:right w:val="none" w:sz="0" w:space="0" w:color="auto"/>
      </w:divBdr>
    </w:div>
    <w:div w:id="2014019542">
      <w:bodyDiv w:val="1"/>
      <w:marLeft w:val="0"/>
      <w:marRight w:val="0"/>
      <w:marTop w:val="0"/>
      <w:marBottom w:val="0"/>
      <w:divBdr>
        <w:top w:val="none" w:sz="0" w:space="0" w:color="auto"/>
        <w:left w:val="none" w:sz="0" w:space="0" w:color="auto"/>
        <w:bottom w:val="none" w:sz="0" w:space="0" w:color="auto"/>
        <w:right w:val="none" w:sz="0" w:space="0" w:color="auto"/>
      </w:divBdr>
    </w:div>
    <w:div w:id="2014985525">
      <w:bodyDiv w:val="1"/>
      <w:marLeft w:val="0"/>
      <w:marRight w:val="0"/>
      <w:marTop w:val="0"/>
      <w:marBottom w:val="0"/>
      <w:divBdr>
        <w:top w:val="none" w:sz="0" w:space="0" w:color="auto"/>
        <w:left w:val="none" w:sz="0" w:space="0" w:color="auto"/>
        <w:bottom w:val="none" w:sz="0" w:space="0" w:color="auto"/>
        <w:right w:val="none" w:sz="0" w:space="0" w:color="auto"/>
      </w:divBdr>
    </w:div>
    <w:div w:id="2033723441">
      <w:bodyDiv w:val="1"/>
      <w:marLeft w:val="0"/>
      <w:marRight w:val="0"/>
      <w:marTop w:val="0"/>
      <w:marBottom w:val="0"/>
      <w:divBdr>
        <w:top w:val="none" w:sz="0" w:space="0" w:color="auto"/>
        <w:left w:val="none" w:sz="0" w:space="0" w:color="auto"/>
        <w:bottom w:val="none" w:sz="0" w:space="0" w:color="auto"/>
        <w:right w:val="none" w:sz="0" w:space="0" w:color="auto"/>
      </w:divBdr>
      <w:divsChild>
        <w:div w:id="155733920">
          <w:marLeft w:val="0"/>
          <w:marRight w:val="0"/>
          <w:marTop w:val="0"/>
          <w:marBottom w:val="0"/>
          <w:divBdr>
            <w:top w:val="none" w:sz="0" w:space="0" w:color="auto"/>
            <w:left w:val="none" w:sz="0" w:space="0" w:color="auto"/>
            <w:bottom w:val="none" w:sz="0" w:space="0" w:color="auto"/>
            <w:right w:val="none" w:sz="0" w:space="0" w:color="auto"/>
          </w:divBdr>
        </w:div>
        <w:div w:id="240137137">
          <w:marLeft w:val="0"/>
          <w:marRight w:val="0"/>
          <w:marTop w:val="0"/>
          <w:marBottom w:val="0"/>
          <w:divBdr>
            <w:top w:val="none" w:sz="0" w:space="0" w:color="auto"/>
            <w:left w:val="none" w:sz="0" w:space="0" w:color="auto"/>
            <w:bottom w:val="none" w:sz="0" w:space="0" w:color="auto"/>
            <w:right w:val="none" w:sz="0" w:space="0" w:color="auto"/>
          </w:divBdr>
        </w:div>
        <w:div w:id="428241487">
          <w:marLeft w:val="0"/>
          <w:marRight w:val="0"/>
          <w:marTop w:val="0"/>
          <w:marBottom w:val="0"/>
          <w:divBdr>
            <w:top w:val="none" w:sz="0" w:space="0" w:color="auto"/>
            <w:left w:val="none" w:sz="0" w:space="0" w:color="auto"/>
            <w:bottom w:val="none" w:sz="0" w:space="0" w:color="auto"/>
            <w:right w:val="none" w:sz="0" w:space="0" w:color="auto"/>
          </w:divBdr>
        </w:div>
        <w:div w:id="835807387">
          <w:marLeft w:val="0"/>
          <w:marRight w:val="0"/>
          <w:marTop w:val="0"/>
          <w:marBottom w:val="0"/>
          <w:divBdr>
            <w:top w:val="none" w:sz="0" w:space="0" w:color="auto"/>
            <w:left w:val="none" w:sz="0" w:space="0" w:color="auto"/>
            <w:bottom w:val="none" w:sz="0" w:space="0" w:color="auto"/>
            <w:right w:val="none" w:sz="0" w:space="0" w:color="auto"/>
          </w:divBdr>
        </w:div>
        <w:div w:id="876042093">
          <w:marLeft w:val="0"/>
          <w:marRight w:val="0"/>
          <w:marTop w:val="0"/>
          <w:marBottom w:val="0"/>
          <w:divBdr>
            <w:top w:val="none" w:sz="0" w:space="0" w:color="auto"/>
            <w:left w:val="none" w:sz="0" w:space="0" w:color="auto"/>
            <w:bottom w:val="none" w:sz="0" w:space="0" w:color="auto"/>
            <w:right w:val="none" w:sz="0" w:space="0" w:color="auto"/>
          </w:divBdr>
        </w:div>
        <w:div w:id="1009521409">
          <w:marLeft w:val="0"/>
          <w:marRight w:val="0"/>
          <w:marTop w:val="0"/>
          <w:marBottom w:val="0"/>
          <w:divBdr>
            <w:top w:val="none" w:sz="0" w:space="0" w:color="auto"/>
            <w:left w:val="none" w:sz="0" w:space="0" w:color="auto"/>
            <w:bottom w:val="none" w:sz="0" w:space="0" w:color="auto"/>
            <w:right w:val="none" w:sz="0" w:space="0" w:color="auto"/>
          </w:divBdr>
        </w:div>
        <w:div w:id="1202521541">
          <w:marLeft w:val="0"/>
          <w:marRight w:val="0"/>
          <w:marTop w:val="0"/>
          <w:marBottom w:val="0"/>
          <w:divBdr>
            <w:top w:val="none" w:sz="0" w:space="0" w:color="auto"/>
            <w:left w:val="none" w:sz="0" w:space="0" w:color="auto"/>
            <w:bottom w:val="none" w:sz="0" w:space="0" w:color="auto"/>
            <w:right w:val="none" w:sz="0" w:space="0" w:color="auto"/>
          </w:divBdr>
        </w:div>
        <w:div w:id="1220479726">
          <w:marLeft w:val="0"/>
          <w:marRight w:val="0"/>
          <w:marTop w:val="0"/>
          <w:marBottom w:val="0"/>
          <w:divBdr>
            <w:top w:val="none" w:sz="0" w:space="0" w:color="auto"/>
            <w:left w:val="none" w:sz="0" w:space="0" w:color="auto"/>
            <w:bottom w:val="none" w:sz="0" w:space="0" w:color="auto"/>
            <w:right w:val="none" w:sz="0" w:space="0" w:color="auto"/>
          </w:divBdr>
        </w:div>
        <w:div w:id="1231885777">
          <w:marLeft w:val="0"/>
          <w:marRight w:val="0"/>
          <w:marTop w:val="0"/>
          <w:marBottom w:val="0"/>
          <w:divBdr>
            <w:top w:val="none" w:sz="0" w:space="0" w:color="auto"/>
            <w:left w:val="none" w:sz="0" w:space="0" w:color="auto"/>
            <w:bottom w:val="none" w:sz="0" w:space="0" w:color="auto"/>
            <w:right w:val="none" w:sz="0" w:space="0" w:color="auto"/>
          </w:divBdr>
        </w:div>
        <w:div w:id="1245451808">
          <w:marLeft w:val="0"/>
          <w:marRight w:val="0"/>
          <w:marTop w:val="0"/>
          <w:marBottom w:val="0"/>
          <w:divBdr>
            <w:top w:val="none" w:sz="0" w:space="0" w:color="auto"/>
            <w:left w:val="none" w:sz="0" w:space="0" w:color="auto"/>
            <w:bottom w:val="none" w:sz="0" w:space="0" w:color="auto"/>
            <w:right w:val="none" w:sz="0" w:space="0" w:color="auto"/>
          </w:divBdr>
        </w:div>
        <w:div w:id="1405297784">
          <w:marLeft w:val="0"/>
          <w:marRight w:val="0"/>
          <w:marTop w:val="0"/>
          <w:marBottom w:val="0"/>
          <w:divBdr>
            <w:top w:val="none" w:sz="0" w:space="0" w:color="auto"/>
            <w:left w:val="none" w:sz="0" w:space="0" w:color="auto"/>
            <w:bottom w:val="none" w:sz="0" w:space="0" w:color="auto"/>
            <w:right w:val="none" w:sz="0" w:space="0" w:color="auto"/>
          </w:divBdr>
        </w:div>
        <w:div w:id="1669207162">
          <w:marLeft w:val="0"/>
          <w:marRight w:val="0"/>
          <w:marTop w:val="0"/>
          <w:marBottom w:val="0"/>
          <w:divBdr>
            <w:top w:val="none" w:sz="0" w:space="0" w:color="auto"/>
            <w:left w:val="none" w:sz="0" w:space="0" w:color="auto"/>
            <w:bottom w:val="none" w:sz="0" w:space="0" w:color="auto"/>
            <w:right w:val="none" w:sz="0" w:space="0" w:color="auto"/>
          </w:divBdr>
        </w:div>
        <w:div w:id="1826697935">
          <w:marLeft w:val="0"/>
          <w:marRight w:val="0"/>
          <w:marTop w:val="0"/>
          <w:marBottom w:val="0"/>
          <w:divBdr>
            <w:top w:val="none" w:sz="0" w:space="0" w:color="auto"/>
            <w:left w:val="none" w:sz="0" w:space="0" w:color="auto"/>
            <w:bottom w:val="none" w:sz="0" w:space="0" w:color="auto"/>
            <w:right w:val="none" w:sz="0" w:space="0" w:color="auto"/>
          </w:divBdr>
        </w:div>
      </w:divsChild>
    </w:div>
    <w:div w:id="2033920210">
      <w:bodyDiv w:val="1"/>
      <w:marLeft w:val="0"/>
      <w:marRight w:val="0"/>
      <w:marTop w:val="0"/>
      <w:marBottom w:val="0"/>
      <w:divBdr>
        <w:top w:val="none" w:sz="0" w:space="0" w:color="auto"/>
        <w:left w:val="none" w:sz="0" w:space="0" w:color="auto"/>
        <w:bottom w:val="none" w:sz="0" w:space="0" w:color="auto"/>
        <w:right w:val="none" w:sz="0" w:space="0" w:color="auto"/>
      </w:divBdr>
    </w:div>
    <w:div w:id="2041466593">
      <w:bodyDiv w:val="1"/>
      <w:marLeft w:val="0"/>
      <w:marRight w:val="0"/>
      <w:marTop w:val="0"/>
      <w:marBottom w:val="0"/>
      <w:divBdr>
        <w:top w:val="none" w:sz="0" w:space="0" w:color="auto"/>
        <w:left w:val="none" w:sz="0" w:space="0" w:color="auto"/>
        <w:bottom w:val="none" w:sz="0" w:space="0" w:color="auto"/>
        <w:right w:val="none" w:sz="0" w:space="0" w:color="auto"/>
      </w:divBdr>
    </w:div>
    <w:div w:id="2041709598">
      <w:bodyDiv w:val="1"/>
      <w:marLeft w:val="0"/>
      <w:marRight w:val="0"/>
      <w:marTop w:val="0"/>
      <w:marBottom w:val="0"/>
      <w:divBdr>
        <w:top w:val="none" w:sz="0" w:space="0" w:color="auto"/>
        <w:left w:val="none" w:sz="0" w:space="0" w:color="auto"/>
        <w:bottom w:val="none" w:sz="0" w:space="0" w:color="auto"/>
        <w:right w:val="none" w:sz="0" w:space="0" w:color="auto"/>
      </w:divBdr>
    </w:div>
    <w:div w:id="2059283116">
      <w:bodyDiv w:val="1"/>
      <w:marLeft w:val="0"/>
      <w:marRight w:val="0"/>
      <w:marTop w:val="0"/>
      <w:marBottom w:val="0"/>
      <w:divBdr>
        <w:top w:val="none" w:sz="0" w:space="0" w:color="auto"/>
        <w:left w:val="none" w:sz="0" w:space="0" w:color="auto"/>
        <w:bottom w:val="none" w:sz="0" w:space="0" w:color="auto"/>
        <w:right w:val="none" w:sz="0" w:space="0" w:color="auto"/>
      </w:divBdr>
    </w:div>
    <w:div w:id="2067139398">
      <w:bodyDiv w:val="1"/>
      <w:marLeft w:val="0"/>
      <w:marRight w:val="0"/>
      <w:marTop w:val="0"/>
      <w:marBottom w:val="0"/>
      <w:divBdr>
        <w:top w:val="none" w:sz="0" w:space="0" w:color="auto"/>
        <w:left w:val="none" w:sz="0" w:space="0" w:color="auto"/>
        <w:bottom w:val="none" w:sz="0" w:space="0" w:color="auto"/>
        <w:right w:val="none" w:sz="0" w:space="0" w:color="auto"/>
      </w:divBdr>
    </w:div>
    <w:div w:id="2075085655">
      <w:bodyDiv w:val="1"/>
      <w:marLeft w:val="0"/>
      <w:marRight w:val="0"/>
      <w:marTop w:val="0"/>
      <w:marBottom w:val="0"/>
      <w:divBdr>
        <w:top w:val="none" w:sz="0" w:space="0" w:color="auto"/>
        <w:left w:val="none" w:sz="0" w:space="0" w:color="auto"/>
        <w:bottom w:val="none" w:sz="0" w:space="0" w:color="auto"/>
        <w:right w:val="none" w:sz="0" w:space="0" w:color="auto"/>
      </w:divBdr>
    </w:div>
    <w:div w:id="2083015839">
      <w:bodyDiv w:val="1"/>
      <w:marLeft w:val="0"/>
      <w:marRight w:val="0"/>
      <w:marTop w:val="0"/>
      <w:marBottom w:val="0"/>
      <w:divBdr>
        <w:top w:val="none" w:sz="0" w:space="0" w:color="auto"/>
        <w:left w:val="none" w:sz="0" w:space="0" w:color="auto"/>
        <w:bottom w:val="none" w:sz="0" w:space="0" w:color="auto"/>
        <w:right w:val="none" w:sz="0" w:space="0" w:color="auto"/>
      </w:divBdr>
      <w:divsChild>
        <w:div w:id="1898468925">
          <w:marLeft w:val="922"/>
          <w:marRight w:val="0"/>
          <w:marTop w:val="0"/>
          <w:marBottom w:val="120"/>
          <w:divBdr>
            <w:top w:val="none" w:sz="0" w:space="0" w:color="auto"/>
            <w:left w:val="none" w:sz="0" w:space="0" w:color="auto"/>
            <w:bottom w:val="none" w:sz="0" w:space="0" w:color="auto"/>
            <w:right w:val="none" w:sz="0" w:space="0" w:color="auto"/>
          </w:divBdr>
        </w:div>
      </w:divsChild>
    </w:div>
    <w:div w:id="2084792281">
      <w:bodyDiv w:val="1"/>
      <w:marLeft w:val="0"/>
      <w:marRight w:val="0"/>
      <w:marTop w:val="0"/>
      <w:marBottom w:val="0"/>
      <w:divBdr>
        <w:top w:val="none" w:sz="0" w:space="0" w:color="auto"/>
        <w:left w:val="none" w:sz="0" w:space="0" w:color="auto"/>
        <w:bottom w:val="none" w:sz="0" w:space="0" w:color="auto"/>
        <w:right w:val="none" w:sz="0" w:space="0" w:color="auto"/>
      </w:divBdr>
    </w:div>
    <w:div w:id="2088729195">
      <w:bodyDiv w:val="1"/>
      <w:marLeft w:val="0"/>
      <w:marRight w:val="0"/>
      <w:marTop w:val="0"/>
      <w:marBottom w:val="0"/>
      <w:divBdr>
        <w:top w:val="none" w:sz="0" w:space="0" w:color="auto"/>
        <w:left w:val="none" w:sz="0" w:space="0" w:color="auto"/>
        <w:bottom w:val="none" w:sz="0" w:space="0" w:color="auto"/>
        <w:right w:val="none" w:sz="0" w:space="0" w:color="auto"/>
      </w:divBdr>
    </w:div>
    <w:div w:id="2089887488">
      <w:bodyDiv w:val="1"/>
      <w:marLeft w:val="0"/>
      <w:marRight w:val="0"/>
      <w:marTop w:val="0"/>
      <w:marBottom w:val="0"/>
      <w:divBdr>
        <w:top w:val="none" w:sz="0" w:space="0" w:color="auto"/>
        <w:left w:val="none" w:sz="0" w:space="0" w:color="auto"/>
        <w:bottom w:val="none" w:sz="0" w:space="0" w:color="auto"/>
        <w:right w:val="none" w:sz="0" w:space="0" w:color="auto"/>
      </w:divBdr>
    </w:div>
    <w:div w:id="2093699603">
      <w:bodyDiv w:val="1"/>
      <w:marLeft w:val="0"/>
      <w:marRight w:val="0"/>
      <w:marTop w:val="0"/>
      <w:marBottom w:val="0"/>
      <w:divBdr>
        <w:top w:val="none" w:sz="0" w:space="0" w:color="auto"/>
        <w:left w:val="none" w:sz="0" w:space="0" w:color="auto"/>
        <w:bottom w:val="none" w:sz="0" w:space="0" w:color="auto"/>
        <w:right w:val="none" w:sz="0" w:space="0" w:color="auto"/>
      </w:divBdr>
    </w:div>
    <w:div w:id="2116290061">
      <w:bodyDiv w:val="1"/>
      <w:marLeft w:val="0"/>
      <w:marRight w:val="0"/>
      <w:marTop w:val="0"/>
      <w:marBottom w:val="0"/>
      <w:divBdr>
        <w:top w:val="none" w:sz="0" w:space="0" w:color="auto"/>
        <w:left w:val="none" w:sz="0" w:space="0" w:color="auto"/>
        <w:bottom w:val="none" w:sz="0" w:space="0" w:color="auto"/>
        <w:right w:val="none" w:sz="0" w:space="0" w:color="auto"/>
      </w:divBdr>
    </w:div>
    <w:div w:id="2129468200">
      <w:bodyDiv w:val="1"/>
      <w:marLeft w:val="0"/>
      <w:marRight w:val="0"/>
      <w:marTop w:val="0"/>
      <w:marBottom w:val="0"/>
      <w:divBdr>
        <w:top w:val="none" w:sz="0" w:space="0" w:color="auto"/>
        <w:left w:val="none" w:sz="0" w:space="0" w:color="auto"/>
        <w:bottom w:val="none" w:sz="0" w:space="0" w:color="auto"/>
        <w:right w:val="none" w:sz="0" w:space="0" w:color="auto"/>
      </w:divBdr>
    </w:div>
    <w:div w:id="2143837446">
      <w:bodyDiv w:val="1"/>
      <w:marLeft w:val="0"/>
      <w:marRight w:val="0"/>
      <w:marTop w:val="0"/>
      <w:marBottom w:val="0"/>
      <w:divBdr>
        <w:top w:val="none" w:sz="0" w:space="0" w:color="auto"/>
        <w:left w:val="none" w:sz="0" w:space="0" w:color="auto"/>
        <w:bottom w:val="none" w:sz="0" w:space="0" w:color="auto"/>
        <w:right w:val="none" w:sz="0" w:space="0" w:color="auto"/>
      </w:divBdr>
      <w:divsChild>
        <w:div w:id="945967710">
          <w:marLeft w:val="0"/>
          <w:marRight w:val="0"/>
          <w:marTop w:val="0"/>
          <w:marBottom w:val="0"/>
          <w:divBdr>
            <w:top w:val="none" w:sz="0" w:space="0" w:color="auto"/>
            <w:left w:val="none" w:sz="0" w:space="0" w:color="auto"/>
            <w:bottom w:val="none" w:sz="0" w:space="0" w:color="auto"/>
            <w:right w:val="none" w:sz="0" w:space="0" w:color="auto"/>
          </w:divBdr>
        </w:div>
        <w:div w:id="1105734250">
          <w:marLeft w:val="0"/>
          <w:marRight w:val="0"/>
          <w:marTop w:val="0"/>
          <w:marBottom w:val="0"/>
          <w:divBdr>
            <w:top w:val="none" w:sz="0" w:space="0" w:color="auto"/>
            <w:left w:val="none" w:sz="0" w:space="0" w:color="auto"/>
            <w:bottom w:val="none" w:sz="0" w:space="0" w:color="auto"/>
            <w:right w:val="none" w:sz="0" w:space="0" w:color="auto"/>
          </w:divBdr>
        </w:div>
        <w:div w:id="1964723300">
          <w:marLeft w:val="0"/>
          <w:marRight w:val="0"/>
          <w:marTop w:val="0"/>
          <w:marBottom w:val="0"/>
          <w:divBdr>
            <w:top w:val="none" w:sz="0" w:space="0" w:color="auto"/>
            <w:left w:val="none" w:sz="0" w:space="0" w:color="auto"/>
            <w:bottom w:val="none" w:sz="0" w:space="0" w:color="auto"/>
            <w:right w:val="none" w:sz="0" w:space="0" w:color="auto"/>
          </w:divBdr>
        </w:div>
      </w:divsChild>
    </w:div>
    <w:div w:id="2145345024">
      <w:bodyDiv w:val="1"/>
      <w:marLeft w:val="0"/>
      <w:marRight w:val="0"/>
      <w:marTop w:val="0"/>
      <w:marBottom w:val="0"/>
      <w:divBdr>
        <w:top w:val="none" w:sz="0" w:space="0" w:color="auto"/>
        <w:left w:val="none" w:sz="0" w:space="0" w:color="auto"/>
        <w:bottom w:val="none" w:sz="0" w:space="0" w:color="auto"/>
        <w:right w:val="none" w:sz="0" w:space="0" w:color="auto"/>
      </w:divBdr>
      <w:divsChild>
        <w:div w:id="1048533565">
          <w:marLeft w:val="965"/>
          <w:marRight w:val="0"/>
          <w:marTop w:val="77"/>
          <w:marBottom w:val="0"/>
          <w:divBdr>
            <w:top w:val="none" w:sz="0" w:space="0" w:color="auto"/>
            <w:left w:val="none" w:sz="0" w:space="0" w:color="auto"/>
            <w:bottom w:val="none" w:sz="0" w:space="0" w:color="auto"/>
            <w:right w:val="none" w:sz="0" w:space="0" w:color="auto"/>
          </w:divBdr>
        </w:div>
      </w:divsChild>
    </w:div>
    <w:div w:id="21469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diagramData" Target="diagrams/data1.xml"/><Relationship Id="rId55" Type="http://schemas.openxmlformats.org/officeDocument/2006/relationships/diagramData" Target="diagrams/data2.xml"/><Relationship Id="rId63" Type="http://schemas.openxmlformats.org/officeDocument/2006/relationships/diagramColors" Target="diagrams/colors3.xml"/><Relationship Id="rId68" Type="http://schemas.openxmlformats.org/officeDocument/2006/relationships/footer" Target="footer4.xml"/><Relationship Id="rId76" Type="http://schemas.openxmlformats.org/officeDocument/2006/relationships/image" Target="media/image46.png"/><Relationship Id="rId84" Type="http://schemas.openxmlformats.org/officeDocument/2006/relationships/header" Target="header3.xml"/><Relationship Id="rId89"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oleObject" Target="embeddings/Microsoft_PowerPoint_97-2003_Presentation1.ppt"/><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gif"/><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diagramColors" Target="diagrams/colors1.xml"/><Relationship Id="rId58" Type="http://schemas.openxmlformats.org/officeDocument/2006/relationships/diagramColors" Target="diagrams/colors2.xml"/><Relationship Id="rId66" Type="http://schemas.openxmlformats.org/officeDocument/2006/relationships/footer" Target="footer3.xml"/><Relationship Id="rId74" Type="http://schemas.openxmlformats.org/officeDocument/2006/relationships/image" Target="media/image44.png"/><Relationship Id="rId79" Type="http://schemas.openxmlformats.org/officeDocument/2006/relationships/image" Target="media/image49.png"/><Relationship Id="rId87" Type="http://schemas.openxmlformats.org/officeDocument/2006/relationships/footer" Target="footer6.xml"/><Relationship Id="rId5" Type="http://schemas.openxmlformats.org/officeDocument/2006/relationships/settings" Target="settings.xml"/><Relationship Id="rId61" Type="http://schemas.openxmlformats.org/officeDocument/2006/relationships/diagramLayout" Target="diagrams/layout3.xml"/><Relationship Id="rId82" Type="http://schemas.openxmlformats.org/officeDocument/2006/relationships/image" Target="media/image52.png"/><Relationship Id="rId90"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diagramLayout" Target="diagrams/layout2.xml"/><Relationship Id="rId64" Type="http://schemas.microsoft.com/office/2007/relationships/diagramDrawing" Target="diagrams/drawing3.xml"/><Relationship Id="rId69" Type="http://schemas.openxmlformats.org/officeDocument/2006/relationships/image" Target="media/image40.png"/><Relationship Id="rId77" Type="http://schemas.openxmlformats.org/officeDocument/2006/relationships/image" Target="media/image47.png"/><Relationship Id="rId8" Type="http://schemas.openxmlformats.org/officeDocument/2006/relationships/endnotes" Target="endnotes.xml"/><Relationship Id="rId51" Type="http://schemas.openxmlformats.org/officeDocument/2006/relationships/diagramLayout" Target="diagrams/layout1.xml"/><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microsoft.com/office/2007/relationships/diagramDrawing" Target="diagrams/drawing2.xml"/><Relationship Id="rId67"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1.png"/><Relationship Id="rId54" Type="http://schemas.microsoft.com/office/2007/relationships/diagramDrawing" Target="diagrams/drawing1.xml"/><Relationship Id="rId62" Type="http://schemas.openxmlformats.org/officeDocument/2006/relationships/diagramQuickStyle" Target="diagrams/quickStyle3.xml"/><Relationship Id="rId70" Type="http://schemas.openxmlformats.org/officeDocument/2006/relationships/image" Target="media/image41.emf"/><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hyperlink" Target="http://www.territorialcooperation.eu/keep/" TargetMode="Externa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interreg.gr/" TargetMode="External"/><Relationship Id="rId57" Type="http://schemas.openxmlformats.org/officeDocument/2006/relationships/diagramQuickStyle" Target="diagrams/quickStyle2.xml"/><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diagramQuickStyle" Target="diagrams/quickStyle1.xml"/><Relationship Id="rId60" Type="http://schemas.openxmlformats.org/officeDocument/2006/relationships/diagramData" Target="diagrams/data3.xml"/><Relationship Id="rId65" Type="http://schemas.openxmlformats.org/officeDocument/2006/relationships/header" Target="header1.xml"/><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hyperlink" Target="http://www.academia.edu" TargetMode="External"/><Relationship Id="rId2" Type="http://schemas.openxmlformats.org/officeDocument/2006/relationships/hyperlink" Target="https://drive.google.com/file/d/0Bx7b6X0ePG-1SjFjVThYaGtNOEU/edit?usp=sharing" TargetMode="External"/><Relationship Id="rId1" Type="http://schemas.openxmlformats.org/officeDocument/2006/relationships/hyperlink" Target="https://drive.google.com/file/d/0Bx7b6X0ePG-1V3ViSmtFSWg1dWc/edit?usp=shari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ssai.org/media/13188/issai_1620_e_.pdf" TargetMode="External"/><Relationship Id="rId3" Type="http://schemas.openxmlformats.org/officeDocument/2006/relationships/hyperlink" Target="http://eeas.europa.eu/eastern/index_en.htm" TargetMode="External"/><Relationship Id="rId7" Type="http://schemas.openxmlformats.org/officeDocument/2006/relationships/hyperlink" Target="http://www.issai.org/media/13128/issai_1610_e_.pdf" TargetMode="External"/><Relationship Id="rId2" Type="http://schemas.openxmlformats.org/officeDocument/2006/relationships/hyperlink" Target="http://www.europarl.europa.eu" TargetMode="External"/><Relationship Id="rId1" Type="http://schemas.openxmlformats.org/officeDocument/2006/relationships/hyperlink" Target="http://eeas.europa.eu/blacksea/doc/joint_statement_blacksea_en.pdf" TargetMode="External"/><Relationship Id="rId6" Type="http://schemas.openxmlformats.org/officeDocument/2006/relationships/hyperlink" Target="http://eca.europa.eu/portal/pls/portal/docs/1/133817.PDF" TargetMode="External"/><Relationship Id="rId5" Type="http://schemas.openxmlformats.org/officeDocument/2006/relationships/hyperlink" Target="http://www.blacksea-commission.org/_convention.asp" TargetMode="External"/><Relationship Id="rId4" Type="http://schemas.openxmlformats.org/officeDocument/2006/relationships/hyperlink" Target="http://www.danube-region.eu" TargetMode="External"/></Relationships>
</file>

<file path=word/diagrams/_rels/drawing1.xml.rels><?xml version="1.0" encoding="UTF-8" standalone="yes"?>
<Relationships xmlns="http://schemas.openxmlformats.org/package/2006/relationships"><Relationship Id="rId1" Type="http://schemas.openxmlformats.org/officeDocument/2006/relationships/image" Target="../media/image39.jpeg"/></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0B6A35-6D72-A248-810B-7F87BB89C855}" type="doc">
      <dgm:prSet loTypeId="urn:microsoft.com/office/officeart/2005/8/layout/hierarchy6" loCatId="" qsTypeId="urn:microsoft.com/office/officeart/2005/8/quickstyle/simple3" qsCatId="simple" csTypeId="urn:microsoft.com/office/officeart/2005/8/colors/accent4_2" csCatId="accent4" phldr="1"/>
      <dgm:spPr/>
    </dgm:pt>
    <dgm:pt modelId="{794E57AE-0EFB-9B45-BE13-787BAC2774B7}">
      <dgm:prSet phldrT="[Texte]" custT="1"/>
      <dgm:spPr/>
      <dgm:t>
        <a:bodyPr/>
        <a:lstStyle/>
        <a:p>
          <a:r>
            <a:rPr lang="en-GB" sz="1200" b="1" dirty="0" smtClean="0"/>
            <a:t>10 thematic objectives (TO)</a:t>
          </a:r>
          <a:endParaRPr lang="en-GB" sz="1200" b="1" dirty="0"/>
        </a:p>
      </dgm:t>
    </dgm:pt>
    <dgm:pt modelId="{59C4BD04-14FB-004D-A726-16C25EC905A2}" type="parTrans" cxnId="{878D5087-5111-9C43-91A6-2890569CB5F9}">
      <dgm:prSet/>
      <dgm:spPr/>
      <dgm:t>
        <a:bodyPr/>
        <a:lstStyle/>
        <a:p>
          <a:endParaRPr lang="en-GB"/>
        </a:p>
      </dgm:t>
    </dgm:pt>
    <dgm:pt modelId="{25CDEEBE-46C8-EC40-8413-A6611765D544}" type="sibTrans" cxnId="{878D5087-5111-9C43-91A6-2890569CB5F9}">
      <dgm:prSet/>
      <dgm:spPr/>
      <dgm:t>
        <a:bodyPr/>
        <a:lstStyle/>
        <a:p>
          <a:endParaRPr lang="en-GB"/>
        </a:p>
      </dgm:t>
    </dgm:pt>
    <dgm:pt modelId="{CF104854-1FD0-944C-B61B-5281710A687D}">
      <dgm:prSet phldrT="[Texte]" custT="1"/>
      <dgm:spPr/>
      <dgm:t>
        <a:bodyPr/>
        <a:lstStyle/>
        <a:p>
          <a:r>
            <a:rPr lang="en-GB" sz="1200" b="1" dirty="0" smtClean="0"/>
            <a:t>Outcome of consultations</a:t>
          </a:r>
          <a:endParaRPr lang="en-GB" sz="1200" b="1" dirty="0"/>
        </a:p>
      </dgm:t>
    </dgm:pt>
    <dgm:pt modelId="{4133E703-3EA4-5D43-B47F-C7BA9BD89523}" type="parTrans" cxnId="{C12AED9A-A577-5C4D-856A-6948EED19EA7}">
      <dgm:prSet/>
      <dgm:spPr/>
      <dgm:t>
        <a:bodyPr/>
        <a:lstStyle/>
        <a:p>
          <a:endParaRPr lang="en-GB"/>
        </a:p>
      </dgm:t>
    </dgm:pt>
    <dgm:pt modelId="{4A6A43BF-44A5-CA43-B115-D222C58A0AFA}" type="sibTrans" cxnId="{C12AED9A-A577-5C4D-856A-6948EED19EA7}">
      <dgm:prSet/>
      <dgm:spPr/>
      <dgm:t>
        <a:bodyPr/>
        <a:lstStyle/>
        <a:p>
          <a:endParaRPr lang="en-GB"/>
        </a:p>
      </dgm:t>
    </dgm:pt>
    <dgm:pt modelId="{28AF0E3E-381F-2A45-AEC4-FE989A06A7CF}">
      <dgm:prSet phldrT="[Texte]" custT="1"/>
      <dgm:spPr/>
      <dgm:t>
        <a:bodyPr/>
        <a:lstStyle/>
        <a:p>
          <a:r>
            <a:rPr lang="en-GB" sz="1200" b="1" dirty="0" smtClean="0"/>
            <a:t>Outcome of coherence analysis with other EU programmes</a:t>
          </a:r>
          <a:endParaRPr lang="en-GB" sz="1200" b="1" dirty="0"/>
        </a:p>
      </dgm:t>
    </dgm:pt>
    <dgm:pt modelId="{5072DC63-273D-3E4A-ADD4-C365070F72F4}" type="parTrans" cxnId="{2CBB5679-7AAE-694E-BED0-9F9F4A93A786}">
      <dgm:prSet/>
      <dgm:spPr/>
      <dgm:t>
        <a:bodyPr/>
        <a:lstStyle/>
        <a:p>
          <a:endParaRPr lang="en-GB"/>
        </a:p>
      </dgm:t>
    </dgm:pt>
    <dgm:pt modelId="{2B4C9F49-8525-E044-96FE-DDDBD3148473}" type="sibTrans" cxnId="{2CBB5679-7AAE-694E-BED0-9F9F4A93A786}">
      <dgm:prSet/>
      <dgm:spPr/>
      <dgm:t>
        <a:bodyPr/>
        <a:lstStyle/>
        <a:p>
          <a:endParaRPr lang="en-GB"/>
        </a:p>
      </dgm:t>
    </dgm:pt>
    <dgm:pt modelId="{63AAC6C1-E571-684E-95DE-98C023CD0707}">
      <dgm:prSet phldrT="[Texte]" custT="1"/>
      <dgm:spPr/>
      <dgm:t>
        <a:bodyPr/>
        <a:lstStyle/>
        <a:p>
          <a:r>
            <a:rPr lang="en-GB" sz="1200" b="1" dirty="0" smtClean="0"/>
            <a:t>Outcome of SWOT + past experience analyses</a:t>
          </a:r>
          <a:endParaRPr lang="en-GB" sz="1200" b="1" dirty="0"/>
        </a:p>
      </dgm:t>
    </dgm:pt>
    <dgm:pt modelId="{D8DBD89C-D012-BE40-A8D6-56834B033BF5}" type="parTrans" cxnId="{E75B4CE0-7C9E-2747-850D-04287052E347}">
      <dgm:prSet/>
      <dgm:spPr/>
      <dgm:t>
        <a:bodyPr/>
        <a:lstStyle/>
        <a:p>
          <a:endParaRPr lang="en-GB"/>
        </a:p>
      </dgm:t>
    </dgm:pt>
    <dgm:pt modelId="{C144CC3A-61F7-7D4A-8A36-65544824BEB9}" type="sibTrans" cxnId="{E75B4CE0-7C9E-2747-850D-04287052E347}">
      <dgm:prSet/>
      <dgm:spPr/>
      <dgm:t>
        <a:bodyPr/>
        <a:lstStyle/>
        <a:p>
          <a:endParaRPr lang="en-GB"/>
        </a:p>
      </dgm:t>
    </dgm:pt>
    <dgm:pt modelId="{6A23C257-3DBA-8E4D-B0BF-E7E3E7E9336E}">
      <dgm:prSet phldrT="[Texte]" custT="1"/>
      <dgm:spPr/>
      <dgm:t>
        <a:bodyPr/>
        <a:lstStyle/>
        <a:p>
          <a:r>
            <a:rPr lang="en-GB" sz="1200" b="1" dirty="0" smtClean="0"/>
            <a:t>ENI</a:t>
          </a:r>
          <a:r>
            <a:rPr lang="en-GB" sz="1200" dirty="0" smtClean="0"/>
            <a:t> </a:t>
          </a:r>
          <a:r>
            <a:rPr lang="en-GB" sz="1200" b="1" dirty="0" smtClean="0"/>
            <a:t>CBC</a:t>
          </a:r>
          <a:r>
            <a:rPr lang="en-GB" sz="1200" dirty="0" smtClean="0"/>
            <a:t> </a:t>
          </a:r>
          <a:r>
            <a:rPr lang="en-GB" sz="1200" b="1" dirty="0" smtClean="0"/>
            <a:t>strategy</a:t>
          </a:r>
          <a:endParaRPr lang="en-GB" sz="1200" b="1" dirty="0"/>
        </a:p>
      </dgm:t>
    </dgm:pt>
    <dgm:pt modelId="{0D5D20AA-3FCE-F243-BE00-A014747404B4}" type="parTrans" cxnId="{0820A9F3-CB0D-124A-8776-1D824F938320}">
      <dgm:prSet/>
      <dgm:spPr/>
      <dgm:t>
        <a:bodyPr/>
        <a:lstStyle/>
        <a:p>
          <a:endParaRPr lang="en-GB"/>
        </a:p>
      </dgm:t>
    </dgm:pt>
    <dgm:pt modelId="{C9C4D2EC-9C87-A74E-8AE7-3C642727691B}" type="sibTrans" cxnId="{0820A9F3-CB0D-124A-8776-1D824F938320}">
      <dgm:prSet/>
      <dgm:spPr/>
      <dgm:t>
        <a:bodyPr/>
        <a:lstStyle/>
        <a:p>
          <a:endParaRPr lang="en-GB"/>
        </a:p>
      </dgm:t>
    </dgm:pt>
    <dgm:pt modelId="{62C4499E-50D9-DC4D-90FF-D26D3BE63DA1}">
      <dgm:prSet phldrT="[Texte]"/>
      <dgm:spPr/>
      <dgm:t>
        <a:bodyPr/>
        <a:lstStyle/>
        <a:p>
          <a:r>
            <a:rPr lang="en-GB" b="1" dirty="0" smtClean="0"/>
            <a:t>TO2</a:t>
          </a:r>
          <a:r>
            <a:rPr lang="en-GB" dirty="0" smtClean="0"/>
            <a:t> </a:t>
          </a:r>
          <a:endParaRPr lang="en-GB" dirty="0"/>
        </a:p>
      </dgm:t>
    </dgm:pt>
    <dgm:pt modelId="{DF490825-C7A5-2B40-A557-46C0EC1C8C52}" type="parTrans" cxnId="{89D6AB6F-7B28-BD47-8D5F-0F4FD40FB630}">
      <dgm:prSet/>
      <dgm:spPr/>
      <dgm:t>
        <a:bodyPr/>
        <a:lstStyle/>
        <a:p>
          <a:endParaRPr lang="en-GB"/>
        </a:p>
      </dgm:t>
    </dgm:pt>
    <dgm:pt modelId="{6755B884-DD4E-5447-968E-B0A2C2E69C68}" type="sibTrans" cxnId="{89D6AB6F-7B28-BD47-8D5F-0F4FD40FB630}">
      <dgm:prSet/>
      <dgm:spPr/>
      <dgm:t>
        <a:bodyPr/>
        <a:lstStyle/>
        <a:p>
          <a:endParaRPr lang="en-GB"/>
        </a:p>
      </dgm:t>
    </dgm:pt>
    <dgm:pt modelId="{9EEABB3A-9DF3-7140-8EED-2052069C50D4}">
      <dgm:prSet phldrT="[Texte]"/>
      <dgm:spPr/>
      <dgm:t>
        <a:bodyPr/>
        <a:lstStyle/>
        <a:p>
          <a:r>
            <a:rPr lang="en-GB" b="1" dirty="0" smtClean="0"/>
            <a:t>TO3</a:t>
          </a:r>
          <a:endParaRPr lang="en-GB" b="1" dirty="0"/>
        </a:p>
      </dgm:t>
    </dgm:pt>
    <dgm:pt modelId="{4CD9C9A4-DD32-1B4A-A3E3-F6314ABD9D58}" type="parTrans" cxnId="{7DB2AAC3-47AA-8941-8D44-AA991674F5F0}">
      <dgm:prSet/>
      <dgm:spPr/>
      <dgm:t>
        <a:bodyPr/>
        <a:lstStyle/>
        <a:p>
          <a:endParaRPr lang="en-GB"/>
        </a:p>
      </dgm:t>
    </dgm:pt>
    <dgm:pt modelId="{F9AB1582-1BF4-9B4D-A3D7-CAC5BDB34F30}" type="sibTrans" cxnId="{7DB2AAC3-47AA-8941-8D44-AA991674F5F0}">
      <dgm:prSet/>
      <dgm:spPr/>
      <dgm:t>
        <a:bodyPr/>
        <a:lstStyle/>
        <a:p>
          <a:endParaRPr lang="en-GB"/>
        </a:p>
      </dgm:t>
    </dgm:pt>
    <dgm:pt modelId="{546B15FE-F68C-9840-A23F-29CFE8426A8D}">
      <dgm:prSet phldrT="[Texte]"/>
      <dgm:spPr/>
      <dgm:t>
        <a:bodyPr/>
        <a:lstStyle/>
        <a:p>
          <a:r>
            <a:rPr lang="en-GB" b="1" u="none" dirty="0" smtClean="0"/>
            <a:t>TO4</a:t>
          </a:r>
          <a:endParaRPr lang="en-GB" b="1" u="none" dirty="0"/>
        </a:p>
      </dgm:t>
    </dgm:pt>
    <dgm:pt modelId="{0E83D78C-A27C-DD43-A65D-6D4F3D0D162D}" type="parTrans" cxnId="{C85C84C7-C237-0C49-9ADD-41590BA64DEA}">
      <dgm:prSet/>
      <dgm:spPr/>
      <dgm:t>
        <a:bodyPr/>
        <a:lstStyle/>
        <a:p>
          <a:endParaRPr lang="en-GB"/>
        </a:p>
      </dgm:t>
    </dgm:pt>
    <dgm:pt modelId="{C56DC434-8F59-A748-8990-0E933CBFA8AE}" type="sibTrans" cxnId="{C85C84C7-C237-0C49-9ADD-41590BA64DEA}">
      <dgm:prSet/>
      <dgm:spPr/>
      <dgm:t>
        <a:bodyPr/>
        <a:lstStyle/>
        <a:p>
          <a:endParaRPr lang="en-GB"/>
        </a:p>
      </dgm:t>
    </dgm:pt>
    <dgm:pt modelId="{C82DB12A-C808-794A-ACBA-17F20650D07F}">
      <dgm:prSet phldrT="[Texte]"/>
      <dgm:spPr/>
      <dgm:t>
        <a:bodyPr/>
        <a:lstStyle/>
        <a:p>
          <a:r>
            <a:rPr lang="en-GB" b="1" u="none" dirty="0" smtClean="0"/>
            <a:t>TO1</a:t>
          </a:r>
          <a:endParaRPr lang="en-GB" b="1" u="none" dirty="0"/>
        </a:p>
      </dgm:t>
    </dgm:pt>
    <dgm:pt modelId="{31A825A8-0D20-0544-B656-63A7BB501149}" type="parTrans" cxnId="{774D06D9-3FB5-C94B-8B54-2AAF695DEBDE}">
      <dgm:prSet/>
      <dgm:spPr/>
      <dgm:t>
        <a:bodyPr/>
        <a:lstStyle/>
        <a:p>
          <a:endParaRPr lang="en-GB"/>
        </a:p>
      </dgm:t>
    </dgm:pt>
    <dgm:pt modelId="{7C316EB4-E777-204F-8603-274EDA840C47}" type="sibTrans" cxnId="{774D06D9-3FB5-C94B-8B54-2AAF695DEBDE}">
      <dgm:prSet/>
      <dgm:spPr/>
      <dgm:t>
        <a:bodyPr/>
        <a:lstStyle/>
        <a:p>
          <a:endParaRPr lang="en-GB"/>
        </a:p>
      </dgm:t>
    </dgm:pt>
    <dgm:pt modelId="{095B5F75-A839-6C41-8880-E2A75A14D33A}">
      <dgm:prSet phldrT="[Texte]"/>
      <dgm:spPr/>
      <dgm:t>
        <a:bodyPr/>
        <a:lstStyle/>
        <a:p>
          <a:r>
            <a:rPr lang="en-GB" dirty="0" smtClean="0"/>
            <a:t>TO5</a:t>
          </a:r>
          <a:endParaRPr lang="en-GB" dirty="0"/>
        </a:p>
      </dgm:t>
    </dgm:pt>
    <dgm:pt modelId="{198A045A-08AB-8F40-B0C1-B6378EA8F449}" type="parTrans" cxnId="{B258BD82-7E3E-5245-9522-C8EE004109B0}">
      <dgm:prSet/>
      <dgm:spPr/>
      <dgm:t>
        <a:bodyPr/>
        <a:lstStyle/>
        <a:p>
          <a:endParaRPr lang="en-GB"/>
        </a:p>
      </dgm:t>
    </dgm:pt>
    <dgm:pt modelId="{D361A0C2-2396-8640-8274-56BBAF8DA65B}" type="sibTrans" cxnId="{B258BD82-7E3E-5245-9522-C8EE004109B0}">
      <dgm:prSet/>
      <dgm:spPr/>
      <dgm:t>
        <a:bodyPr/>
        <a:lstStyle/>
        <a:p>
          <a:endParaRPr lang="en-GB"/>
        </a:p>
      </dgm:t>
    </dgm:pt>
    <dgm:pt modelId="{A02939A8-7C25-B043-8EA8-596BE396E372}">
      <dgm:prSet phldrT="[Texte]"/>
      <dgm:spPr/>
      <dgm:t>
        <a:bodyPr/>
        <a:lstStyle/>
        <a:p>
          <a:r>
            <a:rPr lang="en-GB" b="1" u="none" dirty="0" smtClean="0"/>
            <a:t>TO6</a:t>
          </a:r>
          <a:endParaRPr lang="en-GB" b="1" u="none" dirty="0"/>
        </a:p>
      </dgm:t>
    </dgm:pt>
    <dgm:pt modelId="{56759E16-5C0C-0A41-8B9D-F5616BD1AEA9}" type="parTrans" cxnId="{FF8A3A1E-934A-E94C-8C86-706BE52C9439}">
      <dgm:prSet/>
      <dgm:spPr/>
      <dgm:t>
        <a:bodyPr/>
        <a:lstStyle/>
        <a:p>
          <a:endParaRPr lang="en-GB"/>
        </a:p>
      </dgm:t>
    </dgm:pt>
    <dgm:pt modelId="{314A5BFB-93FD-6A44-95B5-C96CF167AB23}" type="sibTrans" cxnId="{FF8A3A1E-934A-E94C-8C86-706BE52C9439}">
      <dgm:prSet/>
      <dgm:spPr/>
      <dgm:t>
        <a:bodyPr/>
        <a:lstStyle/>
        <a:p>
          <a:endParaRPr lang="en-GB"/>
        </a:p>
      </dgm:t>
    </dgm:pt>
    <dgm:pt modelId="{488B84D1-47F4-2548-981C-E89EF031E116}">
      <dgm:prSet phldrT="[Texte]"/>
      <dgm:spPr/>
      <dgm:t>
        <a:bodyPr/>
        <a:lstStyle/>
        <a:p>
          <a:r>
            <a:rPr lang="en-GB" b="1" u="none" dirty="0" smtClean="0"/>
            <a:t>TO7</a:t>
          </a:r>
          <a:endParaRPr lang="en-GB" b="1" u="none" dirty="0"/>
        </a:p>
      </dgm:t>
    </dgm:pt>
    <dgm:pt modelId="{E45BE058-E881-CD4F-A547-202FA9D7DD78}" type="parTrans" cxnId="{7B5DE412-1BAC-F741-9DF9-FA5EFF7148CE}">
      <dgm:prSet/>
      <dgm:spPr/>
      <dgm:t>
        <a:bodyPr/>
        <a:lstStyle/>
        <a:p>
          <a:endParaRPr lang="en-GB"/>
        </a:p>
      </dgm:t>
    </dgm:pt>
    <dgm:pt modelId="{B6D14509-5F66-9C45-B738-3D3510CF4216}" type="sibTrans" cxnId="{7B5DE412-1BAC-F741-9DF9-FA5EFF7148CE}">
      <dgm:prSet/>
      <dgm:spPr/>
      <dgm:t>
        <a:bodyPr/>
        <a:lstStyle/>
        <a:p>
          <a:endParaRPr lang="en-GB"/>
        </a:p>
      </dgm:t>
    </dgm:pt>
    <dgm:pt modelId="{7522B946-4048-4C4F-830C-78F6EAA6A8D0}">
      <dgm:prSet phldrT="[Texte]"/>
      <dgm:spPr/>
      <dgm:t>
        <a:bodyPr/>
        <a:lstStyle/>
        <a:p>
          <a:r>
            <a:rPr lang="en-GB" b="1" dirty="0" smtClean="0"/>
            <a:t>TO8</a:t>
          </a:r>
          <a:endParaRPr lang="en-GB" b="1" dirty="0"/>
        </a:p>
      </dgm:t>
    </dgm:pt>
    <dgm:pt modelId="{C93A0527-519B-6E40-9796-B1C029F555B2}" type="parTrans" cxnId="{C9D78FA9-5634-BB42-95AA-BD5332492A98}">
      <dgm:prSet/>
      <dgm:spPr/>
      <dgm:t>
        <a:bodyPr/>
        <a:lstStyle/>
        <a:p>
          <a:endParaRPr lang="en-GB"/>
        </a:p>
      </dgm:t>
    </dgm:pt>
    <dgm:pt modelId="{2A562948-682F-7442-ACD8-A4EB4E05358B}" type="sibTrans" cxnId="{C9D78FA9-5634-BB42-95AA-BD5332492A98}">
      <dgm:prSet/>
      <dgm:spPr/>
      <dgm:t>
        <a:bodyPr/>
        <a:lstStyle/>
        <a:p>
          <a:endParaRPr lang="en-GB"/>
        </a:p>
      </dgm:t>
    </dgm:pt>
    <dgm:pt modelId="{BE2915BD-474B-AA48-B2ED-2F2568EF4B5B}">
      <dgm:prSet phldrT="[Texte]" custT="1"/>
      <dgm:spPr/>
      <dgm:t>
        <a:bodyPr/>
        <a:lstStyle/>
        <a:p>
          <a:r>
            <a:rPr lang="en-GB" sz="1200" b="1" dirty="0" smtClean="0"/>
            <a:t>Proposed BSB strategy</a:t>
          </a:r>
          <a:endParaRPr lang="en-GB" sz="1200" b="1" dirty="0"/>
        </a:p>
      </dgm:t>
    </dgm:pt>
    <dgm:pt modelId="{9E330277-C427-E34E-A202-2F6745C6AB11}" type="parTrans" cxnId="{655A844C-C9F6-5D49-AEBE-E39A9C22A877}">
      <dgm:prSet/>
      <dgm:spPr/>
      <dgm:t>
        <a:bodyPr/>
        <a:lstStyle/>
        <a:p>
          <a:endParaRPr lang="en-GB"/>
        </a:p>
      </dgm:t>
    </dgm:pt>
    <dgm:pt modelId="{C1416462-E2EB-984C-944A-55E02B60F30E}" type="sibTrans" cxnId="{655A844C-C9F6-5D49-AEBE-E39A9C22A877}">
      <dgm:prSet/>
      <dgm:spPr/>
      <dgm:t>
        <a:bodyPr/>
        <a:lstStyle/>
        <a:p>
          <a:endParaRPr lang="en-GB"/>
        </a:p>
      </dgm:t>
    </dgm:pt>
    <dgm:pt modelId="{D82FA415-2EC8-BC4D-B536-1B029578BA93}">
      <dgm:prSet phldrT="[Texte]"/>
      <dgm:spPr/>
      <dgm:t>
        <a:bodyPr/>
        <a:lstStyle/>
        <a:p>
          <a:r>
            <a:rPr lang="en-GB" b="1" dirty="0" smtClean="0"/>
            <a:t>TO1</a:t>
          </a:r>
          <a:endParaRPr lang="en-GB" b="1" dirty="0"/>
        </a:p>
      </dgm:t>
    </dgm:pt>
    <dgm:pt modelId="{4E137A69-A18A-B64E-9B3D-45085438FA82}" type="parTrans" cxnId="{3A17BA3E-8E05-BF46-9C29-F6F9389AD86C}">
      <dgm:prSet/>
      <dgm:spPr/>
      <dgm:t>
        <a:bodyPr/>
        <a:lstStyle/>
        <a:p>
          <a:endParaRPr lang="en-GB"/>
        </a:p>
      </dgm:t>
    </dgm:pt>
    <dgm:pt modelId="{0A083679-A510-FB41-8C9F-D0F9C9C9D17C}" type="sibTrans" cxnId="{3A17BA3E-8E05-BF46-9C29-F6F9389AD86C}">
      <dgm:prSet/>
      <dgm:spPr/>
      <dgm:t>
        <a:bodyPr/>
        <a:lstStyle/>
        <a:p>
          <a:endParaRPr lang="en-GB"/>
        </a:p>
      </dgm:t>
    </dgm:pt>
    <dgm:pt modelId="{0380C61B-EDF8-074F-8F90-C71A354CFFE1}">
      <dgm:prSet phldrT="[Texte]"/>
      <dgm:spPr/>
      <dgm:t>
        <a:bodyPr/>
        <a:lstStyle/>
        <a:p>
          <a:r>
            <a:rPr lang="en-GB" b="1" dirty="0" smtClean="0"/>
            <a:t>TO1</a:t>
          </a:r>
          <a:endParaRPr lang="en-GB" b="1" dirty="0"/>
        </a:p>
      </dgm:t>
    </dgm:pt>
    <dgm:pt modelId="{1990C061-6E31-2F4A-B6A1-CCF259FD349F}" type="parTrans" cxnId="{CB5231C0-0254-484B-9A26-99445FC63474}">
      <dgm:prSet/>
      <dgm:spPr/>
      <dgm:t>
        <a:bodyPr/>
        <a:lstStyle/>
        <a:p>
          <a:endParaRPr lang="en-GB"/>
        </a:p>
      </dgm:t>
    </dgm:pt>
    <dgm:pt modelId="{8873ED56-BC84-2449-9B8B-DAA08896B6D3}" type="sibTrans" cxnId="{CB5231C0-0254-484B-9A26-99445FC63474}">
      <dgm:prSet/>
      <dgm:spPr/>
      <dgm:t>
        <a:bodyPr/>
        <a:lstStyle/>
        <a:p>
          <a:endParaRPr lang="en-GB"/>
        </a:p>
      </dgm:t>
    </dgm:pt>
    <dgm:pt modelId="{2877AF31-0114-434E-9D29-3A616722C212}">
      <dgm:prSet phldrT="[Texte]"/>
      <dgm:spPr/>
      <dgm:t>
        <a:bodyPr/>
        <a:lstStyle/>
        <a:p>
          <a:r>
            <a:rPr lang="en-GB" b="1" dirty="0" smtClean="0"/>
            <a:t>TO1</a:t>
          </a:r>
          <a:endParaRPr lang="en-GB" b="1" dirty="0"/>
        </a:p>
      </dgm:t>
    </dgm:pt>
    <dgm:pt modelId="{20137A6E-0024-B44B-968F-F53DD13B129C}" type="parTrans" cxnId="{E965B59E-8A73-E841-BF89-3172E04C63BC}">
      <dgm:prSet/>
      <dgm:spPr/>
      <dgm:t>
        <a:bodyPr/>
        <a:lstStyle/>
        <a:p>
          <a:endParaRPr lang="en-GB"/>
        </a:p>
      </dgm:t>
    </dgm:pt>
    <dgm:pt modelId="{B9D7A9EE-3616-4B48-A6CD-AEA967D79185}" type="sibTrans" cxnId="{E965B59E-8A73-E841-BF89-3172E04C63BC}">
      <dgm:prSet/>
      <dgm:spPr/>
      <dgm:t>
        <a:bodyPr/>
        <a:lstStyle/>
        <a:p>
          <a:endParaRPr lang="en-GB"/>
        </a:p>
      </dgm:t>
    </dgm:pt>
    <dgm:pt modelId="{4196489D-3D1D-804F-A072-1DD909687792}">
      <dgm:prSet phldrT="[Texte]"/>
      <dgm:spPr/>
      <dgm:t>
        <a:bodyPr/>
        <a:lstStyle/>
        <a:p>
          <a:r>
            <a:rPr lang="en-GB" b="0" dirty="0" smtClean="0"/>
            <a:t>TO2</a:t>
          </a:r>
          <a:endParaRPr lang="en-GB" b="0" dirty="0"/>
        </a:p>
      </dgm:t>
    </dgm:pt>
    <dgm:pt modelId="{D741E8B3-45D2-494B-88A0-B0A313E4B8D3}" type="parTrans" cxnId="{DC020C9A-D378-344B-A15E-82BE6DFE9CD1}">
      <dgm:prSet/>
      <dgm:spPr/>
      <dgm:t>
        <a:bodyPr/>
        <a:lstStyle/>
        <a:p>
          <a:endParaRPr lang="en-GB"/>
        </a:p>
      </dgm:t>
    </dgm:pt>
    <dgm:pt modelId="{0BF1992B-8954-2C4A-8931-234678346447}" type="sibTrans" cxnId="{DC020C9A-D378-344B-A15E-82BE6DFE9CD1}">
      <dgm:prSet/>
      <dgm:spPr/>
      <dgm:t>
        <a:bodyPr/>
        <a:lstStyle/>
        <a:p>
          <a:endParaRPr lang="en-GB"/>
        </a:p>
      </dgm:t>
    </dgm:pt>
    <dgm:pt modelId="{EEC20706-13E8-154A-88B2-6B376CC7E88A}">
      <dgm:prSet phldrT="[Texte]"/>
      <dgm:spPr/>
      <dgm:t>
        <a:bodyPr/>
        <a:lstStyle/>
        <a:p>
          <a:r>
            <a:rPr lang="en-GB" dirty="0" smtClean="0"/>
            <a:t>TO3</a:t>
          </a:r>
          <a:endParaRPr lang="en-GB" dirty="0"/>
        </a:p>
      </dgm:t>
    </dgm:pt>
    <dgm:pt modelId="{34A06777-FEB7-8849-BC2E-C9F007D96290}" type="parTrans" cxnId="{C093AA36-DB9A-1942-A46F-9648D9F1F840}">
      <dgm:prSet/>
      <dgm:spPr/>
      <dgm:t>
        <a:bodyPr/>
        <a:lstStyle/>
        <a:p>
          <a:endParaRPr lang="en-GB"/>
        </a:p>
      </dgm:t>
    </dgm:pt>
    <dgm:pt modelId="{E250DA62-647A-A84D-A42F-F7ACAD3EEA57}" type="sibTrans" cxnId="{C093AA36-DB9A-1942-A46F-9648D9F1F840}">
      <dgm:prSet/>
      <dgm:spPr/>
      <dgm:t>
        <a:bodyPr/>
        <a:lstStyle/>
        <a:p>
          <a:endParaRPr lang="en-GB"/>
        </a:p>
      </dgm:t>
    </dgm:pt>
    <dgm:pt modelId="{413D1223-8B14-0C4D-9079-D850E9593A27}">
      <dgm:prSet phldrT="[Texte]"/>
      <dgm:spPr/>
      <dgm:t>
        <a:bodyPr/>
        <a:lstStyle/>
        <a:p>
          <a:r>
            <a:rPr lang="en-GB" dirty="0" smtClean="0"/>
            <a:t>TO3</a:t>
          </a:r>
          <a:endParaRPr lang="en-GB" dirty="0"/>
        </a:p>
      </dgm:t>
    </dgm:pt>
    <dgm:pt modelId="{07B6ADD5-0041-CD43-A00D-1452555C612E}" type="parTrans" cxnId="{EA36A28C-B5B1-AD4F-82A1-ACB2F7A7D788}">
      <dgm:prSet/>
      <dgm:spPr/>
      <dgm:t>
        <a:bodyPr/>
        <a:lstStyle/>
        <a:p>
          <a:endParaRPr lang="en-GB"/>
        </a:p>
      </dgm:t>
    </dgm:pt>
    <dgm:pt modelId="{54C38E11-9C21-BE4F-8736-C4B3BB58CE1C}" type="sibTrans" cxnId="{EA36A28C-B5B1-AD4F-82A1-ACB2F7A7D788}">
      <dgm:prSet/>
      <dgm:spPr/>
      <dgm:t>
        <a:bodyPr/>
        <a:lstStyle/>
        <a:p>
          <a:endParaRPr lang="en-GB"/>
        </a:p>
      </dgm:t>
    </dgm:pt>
    <dgm:pt modelId="{C9F36DA2-7EA2-7F42-AE72-A73F350F27C4}">
      <dgm:prSet phldrT="[Texte]"/>
      <dgm:spPr/>
      <dgm:t>
        <a:bodyPr/>
        <a:lstStyle/>
        <a:p>
          <a:r>
            <a:rPr lang="en-GB" dirty="0" smtClean="0"/>
            <a:t>TO4</a:t>
          </a:r>
          <a:endParaRPr lang="en-GB" dirty="0"/>
        </a:p>
      </dgm:t>
    </dgm:pt>
    <dgm:pt modelId="{9AD2E87F-8916-304B-BFBA-4C091949B53A}" type="parTrans" cxnId="{5D06776B-67C7-2E4A-8920-4C6DDD9C04E4}">
      <dgm:prSet/>
      <dgm:spPr/>
      <dgm:t>
        <a:bodyPr/>
        <a:lstStyle/>
        <a:p>
          <a:endParaRPr lang="en-GB"/>
        </a:p>
      </dgm:t>
    </dgm:pt>
    <dgm:pt modelId="{33EFF387-4BC6-BC45-8198-4D7E8B98DA92}" type="sibTrans" cxnId="{5D06776B-67C7-2E4A-8920-4C6DDD9C04E4}">
      <dgm:prSet/>
      <dgm:spPr/>
      <dgm:t>
        <a:bodyPr/>
        <a:lstStyle/>
        <a:p>
          <a:endParaRPr lang="en-GB"/>
        </a:p>
      </dgm:t>
    </dgm:pt>
    <dgm:pt modelId="{D278D4A5-BF6B-6043-BFC0-20C729BB1EAB}">
      <dgm:prSet phldrT="[Texte]"/>
      <dgm:spPr/>
      <dgm:t>
        <a:bodyPr/>
        <a:lstStyle/>
        <a:p>
          <a:r>
            <a:rPr lang="en-GB" dirty="0" smtClean="0"/>
            <a:t>TO4</a:t>
          </a:r>
          <a:endParaRPr lang="en-GB" dirty="0"/>
        </a:p>
      </dgm:t>
    </dgm:pt>
    <dgm:pt modelId="{7E03E3B6-CF2E-0F46-BEBF-B065945CA5E7}" type="parTrans" cxnId="{09F8F501-7AD3-084A-996A-E8955A5FB736}">
      <dgm:prSet/>
      <dgm:spPr/>
      <dgm:t>
        <a:bodyPr/>
        <a:lstStyle/>
        <a:p>
          <a:endParaRPr lang="en-GB"/>
        </a:p>
      </dgm:t>
    </dgm:pt>
    <dgm:pt modelId="{19BBBF1E-845D-3642-BF82-0231B00D1F51}" type="sibTrans" cxnId="{09F8F501-7AD3-084A-996A-E8955A5FB736}">
      <dgm:prSet/>
      <dgm:spPr/>
      <dgm:t>
        <a:bodyPr/>
        <a:lstStyle/>
        <a:p>
          <a:endParaRPr lang="en-GB"/>
        </a:p>
      </dgm:t>
    </dgm:pt>
    <dgm:pt modelId="{A31A0470-314B-AA41-8402-ABFAEA0D5638}">
      <dgm:prSet phldrT="[Texte]"/>
      <dgm:spPr/>
      <dgm:t>
        <a:bodyPr/>
        <a:lstStyle/>
        <a:p>
          <a:r>
            <a:rPr lang="en-GB" b="1" dirty="0" smtClean="0"/>
            <a:t>TO6</a:t>
          </a:r>
          <a:endParaRPr lang="en-GB" b="1" dirty="0"/>
        </a:p>
      </dgm:t>
    </dgm:pt>
    <dgm:pt modelId="{40E93012-1C9F-0144-83B0-B354F3C6A963}" type="parTrans" cxnId="{250E7254-156E-5B4E-9F98-5FF66D5E9722}">
      <dgm:prSet/>
      <dgm:spPr/>
      <dgm:t>
        <a:bodyPr/>
        <a:lstStyle/>
        <a:p>
          <a:endParaRPr lang="en-GB"/>
        </a:p>
      </dgm:t>
    </dgm:pt>
    <dgm:pt modelId="{3657B926-3BEA-FB44-B2CE-366FF88F892B}" type="sibTrans" cxnId="{250E7254-156E-5B4E-9F98-5FF66D5E9722}">
      <dgm:prSet/>
      <dgm:spPr/>
      <dgm:t>
        <a:bodyPr/>
        <a:lstStyle/>
        <a:p>
          <a:endParaRPr lang="en-GB"/>
        </a:p>
      </dgm:t>
    </dgm:pt>
    <dgm:pt modelId="{16DA4B72-2A32-3F40-B48E-89944475CEDF}">
      <dgm:prSet phldrT="[Texte]"/>
      <dgm:spPr/>
      <dgm:t>
        <a:bodyPr/>
        <a:lstStyle/>
        <a:p>
          <a:r>
            <a:rPr lang="en-GB" b="1" dirty="0" smtClean="0"/>
            <a:t>TO6</a:t>
          </a:r>
          <a:endParaRPr lang="en-GB" b="1" dirty="0"/>
        </a:p>
      </dgm:t>
    </dgm:pt>
    <dgm:pt modelId="{B0A63B65-0BDA-9E4B-9819-5A91710A6709}" type="parTrans" cxnId="{48F60419-8C09-3544-B0B1-BB6BF0F953D5}">
      <dgm:prSet/>
      <dgm:spPr/>
      <dgm:t>
        <a:bodyPr/>
        <a:lstStyle/>
        <a:p>
          <a:endParaRPr lang="en-GB"/>
        </a:p>
      </dgm:t>
    </dgm:pt>
    <dgm:pt modelId="{ED2A72CE-F5F1-B04E-86C0-AE7EBF5A6E79}" type="sibTrans" cxnId="{48F60419-8C09-3544-B0B1-BB6BF0F953D5}">
      <dgm:prSet/>
      <dgm:spPr/>
      <dgm:t>
        <a:bodyPr/>
        <a:lstStyle/>
        <a:p>
          <a:endParaRPr lang="en-GB"/>
        </a:p>
      </dgm:t>
    </dgm:pt>
    <dgm:pt modelId="{6316FE2B-8142-494D-99CF-8CEF7AF5108A}">
      <dgm:prSet phldrT="[Texte]"/>
      <dgm:spPr/>
      <dgm:t>
        <a:bodyPr/>
        <a:lstStyle/>
        <a:p>
          <a:r>
            <a:rPr lang="en-GB" b="1" dirty="0" smtClean="0"/>
            <a:t>TO6</a:t>
          </a:r>
          <a:endParaRPr lang="en-GB" b="1" dirty="0"/>
        </a:p>
      </dgm:t>
    </dgm:pt>
    <dgm:pt modelId="{E0E76BAD-5AAA-AA4B-849D-E9532227E224}" type="parTrans" cxnId="{05DF7248-7B04-F149-8F06-8B47614B9257}">
      <dgm:prSet/>
      <dgm:spPr/>
      <dgm:t>
        <a:bodyPr/>
        <a:lstStyle/>
        <a:p>
          <a:endParaRPr lang="en-GB"/>
        </a:p>
      </dgm:t>
    </dgm:pt>
    <dgm:pt modelId="{6BDF54D3-A489-BC4E-A648-306113A261E2}" type="sibTrans" cxnId="{05DF7248-7B04-F149-8F06-8B47614B9257}">
      <dgm:prSet/>
      <dgm:spPr/>
      <dgm:t>
        <a:bodyPr/>
        <a:lstStyle/>
        <a:p>
          <a:endParaRPr lang="en-GB"/>
        </a:p>
      </dgm:t>
    </dgm:pt>
    <dgm:pt modelId="{72C91F37-8030-9847-8473-CB06007807E6}">
      <dgm:prSet phldrT="[Texte]"/>
      <dgm:spPr/>
      <dgm:t>
        <a:bodyPr/>
        <a:lstStyle/>
        <a:p>
          <a:r>
            <a:rPr lang="en-GB" dirty="0" smtClean="0"/>
            <a:t>TO7</a:t>
          </a:r>
          <a:endParaRPr lang="en-GB" dirty="0"/>
        </a:p>
      </dgm:t>
    </dgm:pt>
    <dgm:pt modelId="{96E5278C-FBD7-9640-8672-CF27337788B4}" type="parTrans" cxnId="{4D1A348C-44AD-7945-932B-F39F87DAEA77}">
      <dgm:prSet/>
      <dgm:spPr/>
      <dgm:t>
        <a:bodyPr/>
        <a:lstStyle/>
        <a:p>
          <a:endParaRPr lang="en-GB"/>
        </a:p>
      </dgm:t>
    </dgm:pt>
    <dgm:pt modelId="{E55C1E1E-FE34-2842-BF77-6B6D12B4B6D3}" type="sibTrans" cxnId="{4D1A348C-44AD-7945-932B-F39F87DAEA77}">
      <dgm:prSet/>
      <dgm:spPr/>
      <dgm:t>
        <a:bodyPr/>
        <a:lstStyle/>
        <a:p>
          <a:endParaRPr lang="en-GB"/>
        </a:p>
      </dgm:t>
    </dgm:pt>
    <dgm:pt modelId="{4A1AC22C-73F0-7E48-8BE3-F91FDFA0CB76}" type="pres">
      <dgm:prSet presAssocID="{530B6A35-6D72-A248-810B-7F87BB89C855}" presName="mainComposite" presStyleCnt="0">
        <dgm:presLayoutVars>
          <dgm:chPref val="1"/>
          <dgm:dir/>
          <dgm:animOne val="branch"/>
          <dgm:animLvl val="lvl"/>
          <dgm:resizeHandles val="exact"/>
        </dgm:presLayoutVars>
      </dgm:prSet>
      <dgm:spPr/>
    </dgm:pt>
    <dgm:pt modelId="{66110624-E89A-E749-B22F-69D57F0D549F}" type="pres">
      <dgm:prSet presAssocID="{530B6A35-6D72-A248-810B-7F87BB89C855}" presName="hierFlow" presStyleCnt="0"/>
      <dgm:spPr/>
    </dgm:pt>
    <dgm:pt modelId="{6E562594-5230-BE40-B2CB-A9E92CE76C52}" type="pres">
      <dgm:prSet presAssocID="{530B6A35-6D72-A248-810B-7F87BB89C855}" presName="firstBuf" presStyleCnt="0"/>
      <dgm:spPr/>
    </dgm:pt>
    <dgm:pt modelId="{CFA8B355-320E-D94A-AA21-B2ED2ED10FC3}" type="pres">
      <dgm:prSet presAssocID="{530B6A35-6D72-A248-810B-7F87BB89C855}" presName="hierChild1" presStyleCnt="0">
        <dgm:presLayoutVars>
          <dgm:chPref val="1"/>
          <dgm:animOne val="branch"/>
          <dgm:animLvl val="lvl"/>
        </dgm:presLayoutVars>
      </dgm:prSet>
      <dgm:spPr/>
    </dgm:pt>
    <dgm:pt modelId="{3ACE2BE4-20E6-2242-B2A9-3C2A95844548}" type="pres">
      <dgm:prSet presAssocID="{794E57AE-0EFB-9B45-BE13-787BAC2774B7}" presName="Name14" presStyleCnt="0"/>
      <dgm:spPr/>
    </dgm:pt>
    <dgm:pt modelId="{EA4D87FA-4A21-3D43-9DBA-CF67A1D2F6EC}" type="pres">
      <dgm:prSet presAssocID="{794E57AE-0EFB-9B45-BE13-787BAC2774B7}" presName="level1Shape" presStyleLbl="node0" presStyleIdx="0" presStyleCnt="1" custScaleX="992559" custScaleY="117362" custLinFactNeighborX="5795" custLinFactNeighborY="72306">
        <dgm:presLayoutVars>
          <dgm:chPref val="3"/>
        </dgm:presLayoutVars>
      </dgm:prSet>
      <dgm:spPr/>
      <dgm:t>
        <a:bodyPr/>
        <a:lstStyle/>
        <a:p>
          <a:endParaRPr lang="en-GB"/>
        </a:p>
      </dgm:t>
    </dgm:pt>
    <dgm:pt modelId="{1FC8C889-FED9-D342-9B80-B2ADD3C0C709}" type="pres">
      <dgm:prSet presAssocID="{794E57AE-0EFB-9B45-BE13-787BAC2774B7}" presName="hierChild2" presStyleCnt="0"/>
      <dgm:spPr/>
    </dgm:pt>
    <dgm:pt modelId="{46AB25BD-F58B-3749-A677-D92968572A9A}" type="pres">
      <dgm:prSet presAssocID="{31A825A8-0D20-0544-B656-63A7BB501149}" presName="Name19" presStyleLbl="parChTrans1D2" presStyleIdx="0" presStyleCnt="8"/>
      <dgm:spPr/>
      <dgm:t>
        <a:bodyPr/>
        <a:lstStyle/>
        <a:p>
          <a:endParaRPr lang="en-GB"/>
        </a:p>
      </dgm:t>
    </dgm:pt>
    <dgm:pt modelId="{C183C040-7E60-0941-A439-056C53F714C0}" type="pres">
      <dgm:prSet presAssocID="{C82DB12A-C808-794A-ACBA-17F20650D07F}" presName="Name21" presStyleCnt="0"/>
      <dgm:spPr/>
    </dgm:pt>
    <dgm:pt modelId="{C9C80516-0712-E94C-ADCA-D6FAB3002E93}" type="pres">
      <dgm:prSet presAssocID="{C82DB12A-C808-794A-ACBA-17F20650D07F}" presName="level2Shape" presStyleLbl="node2" presStyleIdx="0" presStyleCnt="8" custLinFactY="100000" custLinFactNeighborX="1532" custLinFactNeighborY="146029"/>
      <dgm:spPr/>
      <dgm:t>
        <a:bodyPr/>
        <a:lstStyle/>
        <a:p>
          <a:endParaRPr lang="en-GB"/>
        </a:p>
      </dgm:t>
    </dgm:pt>
    <dgm:pt modelId="{1EC1A314-0E46-7A46-8EF9-3D321E51932B}" type="pres">
      <dgm:prSet presAssocID="{C82DB12A-C808-794A-ACBA-17F20650D07F}" presName="hierChild3" presStyleCnt="0"/>
      <dgm:spPr/>
    </dgm:pt>
    <dgm:pt modelId="{288801B9-5417-6B4F-9133-C42FD27A48BD}" type="pres">
      <dgm:prSet presAssocID="{4E137A69-A18A-B64E-9B3D-45085438FA82}" presName="Name19" presStyleLbl="parChTrans1D3" presStyleIdx="0" presStyleCnt="6"/>
      <dgm:spPr/>
      <dgm:t>
        <a:bodyPr/>
        <a:lstStyle/>
        <a:p>
          <a:endParaRPr lang="en-GB"/>
        </a:p>
      </dgm:t>
    </dgm:pt>
    <dgm:pt modelId="{C0FF0512-0FD0-964F-B541-C321D8BBAEA5}" type="pres">
      <dgm:prSet presAssocID="{D82FA415-2EC8-BC4D-B536-1B029578BA93}" presName="Name21" presStyleCnt="0"/>
      <dgm:spPr/>
    </dgm:pt>
    <dgm:pt modelId="{0D5667AD-6F76-CC47-8856-502C3553AC2F}" type="pres">
      <dgm:prSet presAssocID="{D82FA415-2EC8-BC4D-B536-1B029578BA93}" presName="level2Shape" presStyleLbl="node3" presStyleIdx="0" presStyleCnt="6" custLinFactY="198164" custLinFactNeighborX="1531" custLinFactNeighborY="200000"/>
      <dgm:spPr/>
      <dgm:t>
        <a:bodyPr/>
        <a:lstStyle/>
        <a:p>
          <a:endParaRPr lang="en-GB"/>
        </a:p>
      </dgm:t>
    </dgm:pt>
    <dgm:pt modelId="{5F9CE191-7741-CD4C-81F6-1657688A8ABB}" type="pres">
      <dgm:prSet presAssocID="{D82FA415-2EC8-BC4D-B536-1B029578BA93}" presName="hierChild3" presStyleCnt="0"/>
      <dgm:spPr/>
    </dgm:pt>
    <dgm:pt modelId="{B707356E-A657-D049-BD56-AA40F790F54D}" type="pres">
      <dgm:prSet presAssocID="{1990C061-6E31-2F4A-B6A1-CCF259FD349F}" presName="Name19" presStyleLbl="parChTrans1D4" presStyleIdx="0" presStyleCnt="6"/>
      <dgm:spPr/>
      <dgm:t>
        <a:bodyPr/>
        <a:lstStyle/>
        <a:p>
          <a:endParaRPr lang="en-GB"/>
        </a:p>
      </dgm:t>
    </dgm:pt>
    <dgm:pt modelId="{ED2EA168-6EC2-4F44-AA52-CF8963630447}" type="pres">
      <dgm:prSet presAssocID="{0380C61B-EDF8-074F-8F90-C71A354CFFE1}" presName="Name21" presStyleCnt="0"/>
      <dgm:spPr/>
    </dgm:pt>
    <dgm:pt modelId="{E0D86FC8-9480-A34C-A45C-14F26BC2EB2D}" type="pres">
      <dgm:prSet presAssocID="{0380C61B-EDF8-074F-8F90-C71A354CFFE1}" presName="level2Shape" presStyleLbl="node4" presStyleIdx="0" presStyleCnt="6" custLinFactY="250298" custLinFactNeighborX="1531" custLinFactNeighborY="300000"/>
      <dgm:spPr/>
      <dgm:t>
        <a:bodyPr/>
        <a:lstStyle/>
        <a:p>
          <a:endParaRPr lang="en-GB"/>
        </a:p>
      </dgm:t>
    </dgm:pt>
    <dgm:pt modelId="{CFF714E5-30C0-B641-8D83-CA921F78B0FC}" type="pres">
      <dgm:prSet presAssocID="{0380C61B-EDF8-074F-8F90-C71A354CFFE1}" presName="hierChild3" presStyleCnt="0"/>
      <dgm:spPr/>
    </dgm:pt>
    <dgm:pt modelId="{9A3AE737-1479-0043-8BE9-4C87D08E8A76}" type="pres">
      <dgm:prSet presAssocID="{20137A6E-0024-B44B-968F-F53DD13B129C}" presName="Name19" presStyleLbl="parChTrans1D4" presStyleIdx="1" presStyleCnt="6"/>
      <dgm:spPr/>
      <dgm:t>
        <a:bodyPr/>
        <a:lstStyle/>
        <a:p>
          <a:endParaRPr lang="en-GB"/>
        </a:p>
      </dgm:t>
    </dgm:pt>
    <dgm:pt modelId="{26630D7F-6C0F-934F-886E-7929A57F1ECE}" type="pres">
      <dgm:prSet presAssocID="{2877AF31-0114-434E-9D29-3A616722C212}" presName="Name21" presStyleCnt="0"/>
      <dgm:spPr/>
    </dgm:pt>
    <dgm:pt modelId="{52413BD0-F315-0540-829B-4D9B0026A557}" type="pres">
      <dgm:prSet presAssocID="{2877AF31-0114-434E-9D29-3A616722C212}" presName="level2Shape" presStyleLbl="node4" presStyleIdx="1" presStyleCnt="6" custLinFactY="302432" custLinFactNeighborX="1531" custLinFactNeighborY="400000"/>
      <dgm:spPr/>
      <dgm:t>
        <a:bodyPr/>
        <a:lstStyle/>
        <a:p>
          <a:endParaRPr lang="en-GB"/>
        </a:p>
      </dgm:t>
    </dgm:pt>
    <dgm:pt modelId="{1E209CD3-D441-174B-A74A-8FFF7A80D66A}" type="pres">
      <dgm:prSet presAssocID="{2877AF31-0114-434E-9D29-3A616722C212}" presName="hierChild3" presStyleCnt="0"/>
      <dgm:spPr/>
    </dgm:pt>
    <dgm:pt modelId="{2ADD5497-5C23-434B-B629-C10D0793BC65}" type="pres">
      <dgm:prSet presAssocID="{DF490825-C7A5-2B40-A557-46C0EC1C8C52}" presName="Name19" presStyleLbl="parChTrans1D2" presStyleIdx="1" presStyleCnt="8"/>
      <dgm:spPr/>
      <dgm:t>
        <a:bodyPr/>
        <a:lstStyle/>
        <a:p>
          <a:endParaRPr lang="en-GB"/>
        </a:p>
      </dgm:t>
    </dgm:pt>
    <dgm:pt modelId="{CA965D26-D78C-A64B-B0F4-F6ECF44DF21E}" type="pres">
      <dgm:prSet presAssocID="{62C4499E-50D9-DC4D-90FF-D26D3BE63DA1}" presName="Name21" presStyleCnt="0"/>
      <dgm:spPr/>
    </dgm:pt>
    <dgm:pt modelId="{2F3EEE40-1F02-E448-9719-CA8DC3126F70}" type="pres">
      <dgm:prSet presAssocID="{62C4499E-50D9-DC4D-90FF-D26D3BE63DA1}" presName="level2Shape" presStyleLbl="node2" presStyleIdx="1" presStyleCnt="8" custLinFactY="100000" custLinFactNeighborX="1369" custLinFactNeighborY="146029"/>
      <dgm:spPr/>
      <dgm:t>
        <a:bodyPr/>
        <a:lstStyle/>
        <a:p>
          <a:endParaRPr lang="en-GB"/>
        </a:p>
      </dgm:t>
    </dgm:pt>
    <dgm:pt modelId="{33A8E38E-ED94-3C48-A50C-69C13271A6AD}" type="pres">
      <dgm:prSet presAssocID="{62C4499E-50D9-DC4D-90FF-D26D3BE63DA1}" presName="hierChild3" presStyleCnt="0"/>
      <dgm:spPr/>
    </dgm:pt>
    <dgm:pt modelId="{C535E999-CBDC-6C45-A3BE-B542E7121C2F}" type="pres">
      <dgm:prSet presAssocID="{D741E8B3-45D2-494B-88A0-B0A313E4B8D3}" presName="Name19" presStyleLbl="parChTrans1D3" presStyleIdx="1" presStyleCnt="6"/>
      <dgm:spPr/>
      <dgm:t>
        <a:bodyPr/>
        <a:lstStyle/>
        <a:p>
          <a:endParaRPr lang="en-GB"/>
        </a:p>
      </dgm:t>
    </dgm:pt>
    <dgm:pt modelId="{978416CF-8635-E846-981E-C802AF7FEEAC}" type="pres">
      <dgm:prSet presAssocID="{4196489D-3D1D-804F-A072-1DD909687792}" presName="Name21" presStyleCnt="0"/>
      <dgm:spPr/>
    </dgm:pt>
    <dgm:pt modelId="{57BA3E17-452D-994A-91F0-4AD71FB9D03F}" type="pres">
      <dgm:prSet presAssocID="{4196489D-3D1D-804F-A072-1DD909687792}" presName="level2Shape" presStyleLbl="node3" presStyleIdx="1" presStyleCnt="6" custLinFactY="198163" custLinFactNeighborX="1369" custLinFactNeighborY="200000"/>
      <dgm:spPr/>
      <dgm:t>
        <a:bodyPr/>
        <a:lstStyle/>
        <a:p>
          <a:endParaRPr lang="en-GB"/>
        </a:p>
      </dgm:t>
    </dgm:pt>
    <dgm:pt modelId="{43AFCDFB-9CEB-914A-983B-ABADBB858C8D}" type="pres">
      <dgm:prSet presAssocID="{4196489D-3D1D-804F-A072-1DD909687792}" presName="hierChild3" presStyleCnt="0"/>
      <dgm:spPr/>
    </dgm:pt>
    <dgm:pt modelId="{C0EBB89C-1132-2541-9ED1-E42B8D95D842}" type="pres">
      <dgm:prSet presAssocID="{4CD9C9A4-DD32-1B4A-A3E3-F6314ABD9D58}" presName="Name19" presStyleLbl="parChTrans1D2" presStyleIdx="2" presStyleCnt="8"/>
      <dgm:spPr/>
      <dgm:t>
        <a:bodyPr/>
        <a:lstStyle/>
        <a:p>
          <a:endParaRPr lang="en-GB"/>
        </a:p>
      </dgm:t>
    </dgm:pt>
    <dgm:pt modelId="{BAD414E8-0D5B-AC47-9582-BDC197310350}" type="pres">
      <dgm:prSet presAssocID="{9EEABB3A-9DF3-7140-8EED-2052069C50D4}" presName="Name21" presStyleCnt="0"/>
      <dgm:spPr/>
    </dgm:pt>
    <dgm:pt modelId="{848BD61E-7034-FC4C-B002-24045EF7895D}" type="pres">
      <dgm:prSet presAssocID="{9EEABB3A-9DF3-7140-8EED-2052069C50D4}" presName="level2Shape" presStyleLbl="node2" presStyleIdx="2" presStyleCnt="8" custLinFactY="100000" custLinFactNeighborX="1206" custLinFactNeighborY="146029"/>
      <dgm:spPr/>
      <dgm:t>
        <a:bodyPr/>
        <a:lstStyle/>
        <a:p>
          <a:endParaRPr lang="en-GB"/>
        </a:p>
      </dgm:t>
    </dgm:pt>
    <dgm:pt modelId="{D1011A4B-D4D5-C84A-B1BA-FAEBE6560D1F}" type="pres">
      <dgm:prSet presAssocID="{9EEABB3A-9DF3-7140-8EED-2052069C50D4}" presName="hierChild3" presStyleCnt="0"/>
      <dgm:spPr/>
    </dgm:pt>
    <dgm:pt modelId="{938F8DE4-BC3C-E04A-9D33-BD7E4738FDB9}" type="pres">
      <dgm:prSet presAssocID="{34A06777-FEB7-8849-BC2E-C9F007D96290}" presName="Name19" presStyleLbl="parChTrans1D3" presStyleIdx="2" presStyleCnt="6"/>
      <dgm:spPr/>
      <dgm:t>
        <a:bodyPr/>
        <a:lstStyle/>
        <a:p>
          <a:endParaRPr lang="en-GB"/>
        </a:p>
      </dgm:t>
    </dgm:pt>
    <dgm:pt modelId="{58058ED5-0200-0D45-AC72-DB31F8FB3083}" type="pres">
      <dgm:prSet presAssocID="{EEC20706-13E8-154A-88B2-6B376CC7E88A}" presName="Name21" presStyleCnt="0"/>
      <dgm:spPr/>
    </dgm:pt>
    <dgm:pt modelId="{419060F1-1FE3-4448-AA66-AC37920503D6}" type="pres">
      <dgm:prSet presAssocID="{EEC20706-13E8-154A-88B2-6B376CC7E88A}" presName="level2Shape" presStyleLbl="node3" presStyleIdx="2" presStyleCnt="6" custLinFactY="198164" custLinFactNeighborX="1206" custLinFactNeighborY="200000"/>
      <dgm:spPr/>
      <dgm:t>
        <a:bodyPr/>
        <a:lstStyle/>
        <a:p>
          <a:endParaRPr lang="en-GB"/>
        </a:p>
      </dgm:t>
    </dgm:pt>
    <dgm:pt modelId="{33424224-F24E-3A43-A5E1-4966FD3E5F69}" type="pres">
      <dgm:prSet presAssocID="{EEC20706-13E8-154A-88B2-6B376CC7E88A}" presName="hierChild3" presStyleCnt="0"/>
      <dgm:spPr/>
    </dgm:pt>
    <dgm:pt modelId="{5C898253-548E-DA4F-B5CF-0D8464743193}" type="pres">
      <dgm:prSet presAssocID="{07B6ADD5-0041-CD43-A00D-1452555C612E}" presName="Name19" presStyleLbl="parChTrans1D4" presStyleIdx="2" presStyleCnt="6"/>
      <dgm:spPr/>
      <dgm:t>
        <a:bodyPr/>
        <a:lstStyle/>
        <a:p>
          <a:endParaRPr lang="en-GB"/>
        </a:p>
      </dgm:t>
    </dgm:pt>
    <dgm:pt modelId="{9EC81F4B-F6FF-0742-A473-AD35EBB2A246}" type="pres">
      <dgm:prSet presAssocID="{413D1223-8B14-0C4D-9079-D850E9593A27}" presName="Name21" presStyleCnt="0"/>
      <dgm:spPr/>
    </dgm:pt>
    <dgm:pt modelId="{681CA204-4193-3A42-9412-6EBD5A9B1A3B}" type="pres">
      <dgm:prSet presAssocID="{413D1223-8B14-0C4D-9079-D850E9593A27}" presName="level2Shape" presStyleLbl="node4" presStyleIdx="2" presStyleCnt="6" custLinFactY="250298" custLinFactNeighborX="1206" custLinFactNeighborY="300000"/>
      <dgm:spPr/>
      <dgm:t>
        <a:bodyPr/>
        <a:lstStyle/>
        <a:p>
          <a:endParaRPr lang="en-GB"/>
        </a:p>
      </dgm:t>
    </dgm:pt>
    <dgm:pt modelId="{4299A0BF-E966-0344-BFCD-835296E0523B}" type="pres">
      <dgm:prSet presAssocID="{413D1223-8B14-0C4D-9079-D850E9593A27}" presName="hierChild3" presStyleCnt="0"/>
      <dgm:spPr/>
    </dgm:pt>
    <dgm:pt modelId="{52DFEFD5-E777-0B40-9876-8A86E56ACCFD}" type="pres">
      <dgm:prSet presAssocID="{0E83D78C-A27C-DD43-A65D-6D4F3D0D162D}" presName="Name19" presStyleLbl="parChTrans1D2" presStyleIdx="3" presStyleCnt="8"/>
      <dgm:spPr/>
      <dgm:t>
        <a:bodyPr/>
        <a:lstStyle/>
        <a:p>
          <a:endParaRPr lang="en-GB"/>
        </a:p>
      </dgm:t>
    </dgm:pt>
    <dgm:pt modelId="{7DF25F93-6717-F144-B10C-908BEB663F6E}" type="pres">
      <dgm:prSet presAssocID="{546B15FE-F68C-9840-A23F-29CFE8426A8D}" presName="Name21" presStyleCnt="0"/>
      <dgm:spPr/>
    </dgm:pt>
    <dgm:pt modelId="{38082CAD-FF11-624D-BB5B-EAE17C644611}" type="pres">
      <dgm:prSet presAssocID="{546B15FE-F68C-9840-A23F-29CFE8426A8D}" presName="level2Shape" presStyleLbl="node2" presStyleIdx="3" presStyleCnt="8" custLinFactY="100000" custLinFactNeighborX="1044" custLinFactNeighborY="146029"/>
      <dgm:spPr/>
      <dgm:t>
        <a:bodyPr/>
        <a:lstStyle/>
        <a:p>
          <a:endParaRPr lang="en-GB"/>
        </a:p>
      </dgm:t>
    </dgm:pt>
    <dgm:pt modelId="{2B78167A-D2C7-6B48-9203-892286F75E93}" type="pres">
      <dgm:prSet presAssocID="{546B15FE-F68C-9840-A23F-29CFE8426A8D}" presName="hierChild3" presStyleCnt="0"/>
      <dgm:spPr/>
    </dgm:pt>
    <dgm:pt modelId="{09A88717-8E93-D546-935B-85D3A6556405}" type="pres">
      <dgm:prSet presAssocID="{9AD2E87F-8916-304B-BFBA-4C091949B53A}" presName="Name19" presStyleLbl="parChTrans1D3" presStyleIdx="3" presStyleCnt="6"/>
      <dgm:spPr/>
      <dgm:t>
        <a:bodyPr/>
        <a:lstStyle/>
        <a:p>
          <a:endParaRPr lang="en-GB"/>
        </a:p>
      </dgm:t>
    </dgm:pt>
    <dgm:pt modelId="{0AE929DA-1055-A847-A6B3-23B25DC95CCA}" type="pres">
      <dgm:prSet presAssocID="{C9F36DA2-7EA2-7F42-AE72-A73F350F27C4}" presName="Name21" presStyleCnt="0"/>
      <dgm:spPr/>
    </dgm:pt>
    <dgm:pt modelId="{31849D49-4FB4-5D44-B96B-45A423FB93FD}" type="pres">
      <dgm:prSet presAssocID="{C9F36DA2-7EA2-7F42-AE72-A73F350F27C4}" presName="level2Shape" presStyleLbl="node3" presStyleIdx="3" presStyleCnt="6" custLinFactY="198164" custLinFactNeighborX="1044" custLinFactNeighborY="200000"/>
      <dgm:spPr/>
      <dgm:t>
        <a:bodyPr/>
        <a:lstStyle/>
        <a:p>
          <a:endParaRPr lang="en-GB"/>
        </a:p>
      </dgm:t>
    </dgm:pt>
    <dgm:pt modelId="{B34A12F8-610D-2C49-A9F3-6126C2E7B87E}" type="pres">
      <dgm:prSet presAssocID="{C9F36DA2-7EA2-7F42-AE72-A73F350F27C4}" presName="hierChild3" presStyleCnt="0"/>
      <dgm:spPr/>
    </dgm:pt>
    <dgm:pt modelId="{4EF12772-E395-3F4F-AA83-20CB7EB080A7}" type="pres">
      <dgm:prSet presAssocID="{7E03E3B6-CF2E-0F46-BEBF-B065945CA5E7}" presName="Name19" presStyleLbl="parChTrans1D4" presStyleIdx="3" presStyleCnt="6"/>
      <dgm:spPr/>
      <dgm:t>
        <a:bodyPr/>
        <a:lstStyle/>
        <a:p>
          <a:endParaRPr lang="en-GB"/>
        </a:p>
      </dgm:t>
    </dgm:pt>
    <dgm:pt modelId="{2858935F-0048-6945-96B4-E10B0D028762}" type="pres">
      <dgm:prSet presAssocID="{D278D4A5-BF6B-6043-BFC0-20C729BB1EAB}" presName="Name21" presStyleCnt="0"/>
      <dgm:spPr/>
    </dgm:pt>
    <dgm:pt modelId="{F13AC43B-3701-654C-A9CA-8B597AF5D20B}" type="pres">
      <dgm:prSet presAssocID="{D278D4A5-BF6B-6043-BFC0-20C729BB1EAB}" presName="level2Shape" presStyleLbl="node4" presStyleIdx="3" presStyleCnt="6" custLinFactY="250298" custLinFactNeighborX="1044" custLinFactNeighborY="300000"/>
      <dgm:spPr/>
      <dgm:t>
        <a:bodyPr/>
        <a:lstStyle/>
        <a:p>
          <a:endParaRPr lang="en-GB"/>
        </a:p>
      </dgm:t>
    </dgm:pt>
    <dgm:pt modelId="{546B952E-44CB-6C4A-B499-6D644D1EB9DE}" type="pres">
      <dgm:prSet presAssocID="{D278D4A5-BF6B-6043-BFC0-20C729BB1EAB}" presName="hierChild3" presStyleCnt="0"/>
      <dgm:spPr/>
    </dgm:pt>
    <dgm:pt modelId="{2F7493ED-AEBB-7F4D-B24E-B156DF26D80A}" type="pres">
      <dgm:prSet presAssocID="{198A045A-08AB-8F40-B0C1-B6378EA8F449}" presName="Name19" presStyleLbl="parChTrans1D2" presStyleIdx="4" presStyleCnt="8"/>
      <dgm:spPr/>
      <dgm:t>
        <a:bodyPr/>
        <a:lstStyle/>
        <a:p>
          <a:endParaRPr lang="en-GB"/>
        </a:p>
      </dgm:t>
    </dgm:pt>
    <dgm:pt modelId="{609D34A2-93DE-0B47-ADDC-A1363910BBF9}" type="pres">
      <dgm:prSet presAssocID="{095B5F75-A839-6C41-8880-E2A75A14D33A}" presName="Name21" presStyleCnt="0"/>
      <dgm:spPr/>
    </dgm:pt>
    <dgm:pt modelId="{A4EA9C09-8BDB-8D4C-8898-AA92AB480B55}" type="pres">
      <dgm:prSet presAssocID="{095B5F75-A839-6C41-8880-E2A75A14D33A}" presName="level2Shape" presStyleLbl="node2" presStyleIdx="4" presStyleCnt="8" custLinFactY="100000" custLinFactNeighborX="881" custLinFactNeighborY="146029"/>
      <dgm:spPr/>
      <dgm:t>
        <a:bodyPr/>
        <a:lstStyle/>
        <a:p>
          <a:endParaRPr lang="en-GB"/>
        </a:p>
      </dgm:t>
    </dgm:pt>
    <dgm:pt modelId="{52A02CAA-E195-694C-B3F1-70985322B133}" type="pres">
      <dgm:prSet presAssocID="{095B5F75-A839-6C41-8880-E2A75A14D33A}" presName="hierChild3" presStyleCnt="0"/>
      <dgm:spPr/>
    </dgm:pt>
    <dgm:pt modelId="{FE84D422-D38E-E147-BBCA-B8672E335698}" type="pres">
      <dgm:prSet presAssocID="{56759E16-5C0C-0A41-8B9D-F5616BD1AEA9}" presName="Name19" presStyleLbl="parChTrans1D2" presStyleIdx="5" presStyleCnt="8"/>
      <dgm:spPr/>
      <dgm:t>
        <a:bodyPr/>
        <a:lstStyle/>
        <a:p>
          <a:endParaRPr lang="en-GB"/>
        </a:p>
      </dgm:t>
    </dgm:pt>
    <dgm:pt modelId="{69AADF95-7363-9D4E-B79E-2B85ED8C7899}" type="pres">
      <dgm:prSet presAssocID="{A02939A8-7C25-B043-8EA8-596BE396E372}" presName="Name21" presStyleCnt="0"/>
      <dgm:spPr/>
    </dgm:pt>
    <dgm:pt modelId="{34BDA8E4-074B-E24C-83B6-E761FE08AA16}" type="pres">
      <dgm:prSet presAssocID="{A02939A8-7C25-B043-8EA8-596BE396E372}" presName="level2Shape" presStyleLbl="node2" presStyleIdx="5" presStyleCnt="8" custLinFactY="100000" custLinFactNeighborX="718" custLinFactNeighborY="146029"/>
      <dgm:spPr/>
      <dgm:t>
        <a:bodyPr/>
        <a:lstStyle/>
        <a:p>
          <a:endParaRPr lang="en-GB"/>
        </a:p>
      </dgm:t>
    </dgm:pt>
    <dgm:pt modelId="{44946649-6575-F74F-BF6B-8D5E4E37BDB0}" type="pres">
      <dgm:prSet presAssocID="{A02939A8-7C25-B043-8EA8-596BE396E372}" presName="hierChild3" presStyleCnt="0"/>
      <dgm:spPr/>
    </dgm:pt>
    <dgm:pt modelId="{7EB36DB8-3514-7340-A480-159548F62196}" type="pres">
      <dgm:prSet presAssocID="{40E93012-1C9F-0144-83B0-B354F3C6A963}" presName="Name19" presStyleLbl="parChTrans1D3" presStyleIdx="4" presStyleCnt="6"/>
      <dgm:spPr/>
      <dgm:t>
        <a:bodyPr/>
        <a:lstStyle/>
        <a:p>
          <a:endParaRPr lang="en-GB"/>
        </a:p>
      </dgm:t>
    </dgm:pt>
    <dgm:pt modelId="{FF27632D-4D7B-9D4F-BFC8-AD959ADE53BF}" type="pres">
      <dgm:prSet presAssocID="{A31A0470-314B-AA41-8402-ABFAEA0D5638}" presName="Name21" presStyleCnt="0"/>
      <dgm:spPr/>
    </dgm:pt>
    <dgm:pt modelId="{AB694EDF-CA1D-6445-A44B-56A99ED1427E}" type="pres">
      <dgm:prSet presAssocID="{A31A0470-314B-AA41-8402-ABFAEA0D5638}" presName="level2Shape" presStyleLbl="node3" presStyleIdx="4" presStyleCnt="6" custLinFactY="198164" custLinFactNeighborX="718" custLinFactNeighborY="200000"/>
      <dgm:spPr/>
      <dgm:t>
        <a:bodyPr/>
        <a:lstStyle/>
        <a:p>
          <a:endParaRPr lang="en-GB"/>
        </a:p>
      </dgm:t>
    </dgm:pt>
    <dgm:pt modelId="{31530A80-65F9-3043-82B0-F060182F43FA}" type="pres">
      <dgm:prSet presAssocID="{A31A0470-314B-AA41-8402-ABFAEA0D5638}" presName="hierChild3" presStyleCnt="0"/>
      <dgm:spPr/>
    </dgm:pt>
    <dgm:pt modelId="{B1A33558-C3FD-3B43-BDA5-1ED83C38D871}" type="pres">
      <dgm:prSet presAssocID="{B0A63B65-0BDA-9E4B-9819-5A91710A6709}" presName="Name19" presStyleLbl="parChTrans1D4" presStyleIdx="4" presStyleCnt="6"/>
      <dgm:spPr/>
      <dgm:t>
        <a:bodyPr/>
        <a:lstStyle/>
        <a:p>
          <a:endParaRPr lang="en-GB"/>
        </a:p>
      </dgm:t>
    </dgm:pt>
    <dgm:pt modelId="{5F037764-5E6A-734D-80AA-C2C62532F4A2}" type="pres">
      <dgm:prSet presAssocID="{16DA4B72-2A32-3F40-B48E-89944475CEDF}" presName="Name21" presStyleCnt="0"/>
      <dgm:spPr/>
    </dgm:pt>
    <dgm:pt modelId="{44F850AE-ADB9-DC4D-B3CE-5C45F5F15B3E}" type="pres">
      <dgm:prSet presAssocID="{16DA4B72-2A32-3F40-B48E-89944475CEDF}" presName="level2Shape" presStyleLbl="node4" presStyleIdx="4" presStyleCnt="6" custLinFactY="250298" custLinFactNeighborX="718" custLinFactNeighborY="300000"/>
      <dgm:spPr/>
      <dgm:t>
        <a:bodyPr/>
        <a:lstStyle/>
        <a:p>
          <a:endParaRPr lang="en-GB"/>
        </a:p>
      </dgm:t>
    </dgm:pt>
    <dgm:pt modelId="{9802EA9A-56C7-2C43-9911-5B2701F4779B}" type="pres">
      <dgm:prSet presAssocID="{16DA4B72-2A32-3F40-B48E-89944475CEDF}" presName="hierChild3" presStyleCnt="0"/>
      <dgm:spPr/>
    </dgm:pt>
    <dgm:pt modelId="{46CFD97B-B0E6-A54A-9802-F98DB8D4D6E8}" type="pres">
      <dgm:prSet presAssocID="{E0E76BAD-5AAA-AA4B-849D-E9532227E224}" presName="Name19" presStyleLbl="parChTrans1D4" presStyleIdx="5" presStyleCnt="6"/>
      <dgm:spPr/>
      <dgm:t>
        <a:bodyPr/>
        <a:lstStyle/>
        <a:p>
          <a:endParaRPr lang="en-GB"/>
        </a:p>
      </dgm:t>
    </dgm:pt>
    <dgm:pt modelId="{57196567-5BC9-E54F-A021-4A63CFD0B434}" type="pres">
      <dgm:prSet presAssocID="{6316FE2B-8142-494D-99CF-8CEF7AF5108A}" presName="Name21" presStyleCnt="0"/>
      <dgm:spPr/>
    </dgm:pt>
    <dgm:pt modelId="{77A67DB0-B265-BC43-A7CB-0CCB4E79D8E2}" type="pres">
      <dgm:prSet presAssocID="{6316FE2B-8142-494D-99CF-8CEF7AF5108A}" presName="level2Shape" presStyleLbl="node4" presStyleIdx="5" presStyleCnt="6" custLinFactY="302432" custLinFactNeighborX="718" custLinFactNeighborY="400000"/>
      <dgm:spPr/>
      <dgm:t>
        <a:bodyPr/>
        <a:lstStyle/>
        <a:p>
          <a:endParaRPr lang="en-GB"/>
        </a:p>
      </dgm:t>
    </dgm:pt>
    <dgm:pt modelId="{0D378720-F77A-504E-BDFF-528BDA39FC7D}" type="pres">
      <dgm:prSet presAssocID="{6316FE2B-8142-494D-99CF-8CEF7AF5108A}" presName="hierChild3" presStyleCnt="0"/>
      <dgm:spPr/>
    </dgm:pt>
    <dgm:pt modelId="{060CC184-2F23-2448-85A5-F170983B1D05}" type="pres">
      <dgm:prSet presAssocID="{E45BE058-E881-CD4F-A547-202FA9D7DD78}" presName="Name19" presStyleLbl="parChTrans1D2" presStyleIdx="6" presStyleCnt="8"/>
      <dgm:spPr/>
      <dgm:t>
        <a:bodyPr/>
        <a:lstStyle/>
        <a:p>
          <a:endParaRPr lang="en-GB"/>
        </a:p>
      </dgm:t>
    </dgm:pt>
    <dgm:pt modelId="{BB368485-931A-CE49-9D14-33CB9215D1F3}" type="pres">
      <dgm:prSet presAssocID="{488B84D1-47F4-2548-981C-E89EF031E116}" presName="Name21" presStyleCnt="0"/>
      <dgm:spPr/>
    </dgm:pt>
    <dgm:pt modelId="{7ADAC34F-D397-8842-B46F-22D67905F0C8}" type="pres">
      <dgm:prSet presAssocID="{488B84D1-47F4-2548-981C-E89EF031E116}" presName="level2Shape" presStyleLbl="node2" presStyleIdx="6" presStyleCnt="8" custLinFactY="100000" custLinFactNeighborX="556" custLinFactNeighborY="146029"/>
      <dgm:spPr/>
      <dgm:t>
        <a:bodyPr/>
        <a:lstStyle/>
        <a:p>
          <a:endParaRPr lang="en-GB"/>
        </a:p>
      </dgm:t>
    </dgm:pt>
    <dgm:pt modelId="{ECE00C53-67CE-F94B-935F-D498E8E48E2D}" type="pres">
      <dgm:prSet presAssocID="{488B84D1-47F4-2548-981C-E89EF031E116}" presName="hierChild3" presStyleCnt="0"/>
      <dgm:spPr/>
    </dgm:pt>
    <dgm:pt modelId="{C9566D97-C3F0-7F4F-B0B3-4F23B5612AEC}" type="pres">
      <dgm:prSet presAssocID="{96E5278C-FBD7-9640-8672-CF27337788B4}" presName="Name19" presStyleLbl="parChTrans1D3" presStyleIdx="5" presStyleCnt="6"/>
      <dgm:spPr/>
      <dgm:t>
        <a:bodyPr/>
        <a:lstStyle/>
        <a:p>
          <a:endParaRPr lang="en-GB"/>
        </a:p>
      </dgm:t>
    </dgm:pt>
    <dgm:pt modelId="{50648C9E-0981-BF47-AA40-7CE5857FF5CD}" type="pres">
      <dgm:prSet presAssocID="{72C91F37-8030-9847-8473-CB06007807E6}" presName="Name21" presStyleCnt="0"/>
      <dgm:spPr/>
    </dgm:pt>
    <dgm:pt modelId="{5FFCCE20-97FB-9B4B-B626-B86C40ADBABD}" type="pres">
      <dgm:prSet presAssocID="{72C91F37-8030-9847-8473-CB06007807E6}" presName="level2Shape" presStyleLbl="node3" presStyleIdx="5" presStyleCnt="6" custLinFactY="198164" custLinFactNeighborX="556" custLinFactNeighborY="200000"/>
      <dgm:spPr/>
      <dgm:t>
        <a:bodyPr/>
        <a:lstStyle/>
        <a:p>
          <a:endParaRPr lang="en-GB"/>
        </a:p>
      </dgm:t>
    </dgm:pt>
    <dgm:pt modelId="{EC906E19-C382-A14D-B707-3302B27284FF}" type="pres">
      <dgm:prSet presAssocID="{72C91F37-8030-9847-8473-CB06007807E6}" presName="hierChild3" presStyleCnt="0"/>
      <dgm:spPr/>
    </dgm:pt>
    <dgm:pt modelId="{6020B5B9-8A87-B349-A4D7-B722917DFA10}" type="pres">
      <dgm:prSet presAssocID="{C93A0527-519B-6E40-9796-B1C029F555B2}" presName="Name19" presStyleLbl="parChTrans1D2" presStyleIdx="7" presStyleCnt="8"/>
      <dgm:spPr/>
      <dgm:t>
        <a:bodyPr/>
        <a:lstStyle/>
        <a:p>
          <a:endParaRPr lang="en-GB"/>
        </a:p>
      </dgm:t>
    </dgm:pt>
    <dgm:pt modelId="{08E76752-FED3-A24E-B056-0199EACA4F95}" type="pres">
      <dgm:prSet presAssocID="{7522B946-4048-4C4F-830C-78F6EAA6A8D0}" presName="Name21" presStyleCnt="0"/>
      <dgm:spPr/>
    </dgm:pt>
    <dgm:pt modelId="{D010171C-E8BF-3849-A32B-5F1E7A65FCD6}" type="pres">
      <dgm:prSet presAssocID="{7522B946-4048-4C4F-830C-78F6EAA6A8D0}" presName="level2Shape" presStyleLbl="node2" presStyleIdx="7" presStyleCnt="8" custLinFactY="100000" custLinFactNeighborX="393" custLinFactNeighborY="146029"/>
      <dgm:spPr/>
      <dgm:t>
        <a:bodyPr/>
        <a:lstStyle/>
        <a:p>
          <a:endParaRPr lang="en-GB"/>
        </a:p>
      </dgm:t>
    </dgm:pt>
    <dgm:pt modelId="{D94E4251-85CE-E345-978C-9DFE03F99970}" type="pres">
      <dgm:prSet presAssocID="{7522B946-4048-4C4F-830C-78F6EAA6A8D0}" presName="hierChild3" presStyleCnt="0"/>
      <dgm:spPr/>
    </dgm:pt>
    <dgm:pt modelId="{AF8EF975-95A8-E84F-9EB8-36511B5F37DE}" type="pres">
      <dgm:prSet presAssocID="{530B6A35-6D72-A248-810B-7F87BB89C855}" presName="bgShapesFlow" presStyleCnt="0"/>
      <dgm:spPr/>
    </dgm:pt>
    <dgm:pt modelId="{7258129A-3F1D-B64A-8580-8ACEA0D7AAD2}" type="pres">
      <dgm:prSet presAssocID="{6A23C257-3DBA-8E4D-B0BF-E7E3E7E9336E}" presName="rectComp" presStyleCnt="0"/>
      <dgm:spPr/>
    </dgm:pt>
    <dgm:pt modelId="{C90DF278-E356-2C49-9278-72956A827DBF}" type="pres">
      <dgm:prSet presAssocID="{6A23C257-3DBA-8E4D-B0BF-E7E3E7E9336E}" presName="bgRect" presStyleLbl="bgShp" presStyleIdx="0" presStyleCnt="5" custScaleY="242687" custLinFactY="-162330" custLinFactNeighborX="-32617" custLinFactNeighborY="-200000"/>
      <dgm:spPr/>
      <dgm:t>
        <a:bodyPr/>
        <a:lstStyle/>
        <a:p>
          <a:endParaRPr lang="en-GB"/>
        </a:p>
      </dgm:t>
    </dgm:pt>
    <dgm:pt modelId="{8D0E4A8A-B041-6349-A168-22675ABE1E24}" type="pres">
      <dgm:prSet presAssocID="{6A23C257-3DBA-8E4D-B0BF-E7E3E7E9336E}" presName="bgRectTx" presStyleLbl="bgShp" presStyleIdx="0" presStyleCnt="5">
        <dgm:presLayoutVars>
          <dgm:bulletEnabled val="1"/>
        </dgm:presLayoutVars>
      </dgm:prSet>
      <dgm:spPr/>
      <dgm:t>
        <a:bodyPr/>
        <a:lstStyle/>
        <a:p>
          <a:endParaRPr lang="en-GB"/>
        </a:p>
      </dgm:t>
    </dgm:pt>
    <dgm:pt modelId="{AD7E408C-8CBC-A949-8A49-7A6531776A63}" type="pres">
      <dgm:prSet presAssocID="{6A23C257-3DBA-8E4D-B0BF-E7E3E7E9336E}" presName="spComp" presStyleCnt="0"/>
      <dgm:spPr/>
    </dgm:pt>
    <dgm:pt modelId="{6BB120F3-5281-1F48-898D-576B886090DE}" type="pres">
      <dgm:prSet presAssocID="{6A23C257-3DBA-8E4D-B0BF-E7E3E7E9336E}" presName="vSp" presStyleCnt="0"/>
      <dgm:spPr/>
    </dgm:pt>
    <dgm:pt modelId="{EA36A1CA-E34D-064B-8FBC-B04C3AD10445}" type="pres">
      <dgm:prSet presAssocID="{63AAC6C1-E571-684E-95DE-98C023CD0707}" presName="rectComp" presStyleCnt="0"/>
      <dgm:spPr/>
    </dgm:pt>
    <dgm:pt modelId="{A971637C-39EB-854B-B9B5-975A26144568}" type="pres">
      <dgm:prSet presAssocID="{63AAC6C1-E571-684E-95DE-98C023CD0707}" presName="bgRect" presStyleLbl="bgShp" presStyleIdx="1" presStyleCnt="5" custScaleY="243006"/>
      <dgm:spPr/>
      <dgm:t>
        <a:bodyPr/>
        <a:lstStyle/>
        <a:p>
          <a:endParaRPr lang="en-GB"/>
        </a:p>
      </dgm:t>
    </dgm:pt>
    <dgm:pt modelId="{6937AF52-DCCC-6540-A0E8-CA796F11987C}" type="pres">
      <dgm:prSet presAssocID="{63AAC6C1-E571-684E-95DE-98C023CD0707}" presName="bgRectTx" presStyleLbl="bgShp" presStyleIdx="1" presStyleCnt="5">
        <dgm:presLayoutVars>
          <dgm:bulletEnabled val="1"/>
        </dgm:presLayoutVars>
      </dgm:prSet>
      <dgm:spPr/>
      <dgm:t>
        <a:bodyPr/>
        <a:lstStyle/>
        <a:p>
          <a:endParaRPr lang="en-GB"/>
        </a:p>
      </dgm:t>
    </dgm:pt>
    <dgm:pt modelId="{F30FA9A4-FDD2-3F46-8F9E-C00CC22B7C66}" type="pres">
      <dgm:prSet presAssocID="{63AAC6C1-E571-684E-95DE-98C023CD0707}" presName="spComp" presStyleCnt="0"/>
      <dgm:spPr/>
    </dgm:pt>
    <dgm:pt modelId="{FFCCB4EE-2735-7845-A30F-A0ED3661B9CF}" type="pres">
      <dgm:prSet presAssocID="{63AAC6C1-E571-684E-95DE-98C023CD0707}" presName="vSp" presStyleCnt="0"/>
      <dgm:spPr/>
    </dgm:pt>
    <dgm:pt modelId="{FFB4FA38-DD1B-9846-B7F5-EC8431C483AB}" type="pres">
      <dgm:prSet presAssocID="{CF104854-1FD0-944C-B61B-5281710A687D}" presName="rectComp" presStyleCnt="0"/>
      <dgm:spPr/>
    </dgm:pt>
    <dgm:pt modelId="{FE92E8C1-4F22-0441-BD9A-6800DEFC0AF3}" type="pres">
      <dgm:prSet presAssocID="{CF104854-1FD0-944C-B61B-5281710A687D}" presName="bgRect" presStyleLbl="bgShp" presStyleIdx="2" presStyleCnt="5" custScaleY="229838" custLinFactNeighborX="91059" custLinFactNeighborY="-2967"/>
      <dgm:spPr/>
      <dgm:t>
        <a:bodyPr/>
        <a:lstStyle/>
        <a:p>
          <a:endParaRPr lang="en-GB"/>
        </a:p>
      </dgm:t>
    </dgm:pt>
    <dgm:pt modelId="{EFC1EB44-904D-6C45-BBDC-BCC8562B1B63}" type="pres">
      <dgm:prSet presAssocID="{CF104854-1FD0-944C-B61B-5281710A687D}" presName="bgRectTx" presStyleLbl="bgShp" presStyleIdx="2" presStyleCnt="5">
        <dgm:presLayoutVars>
          <dgm:bulletEnabled val="1"/>
        </dgm:presLayoutVars>
      </dgm:prSet>
      <dgm:spPr/>
      <dgm:t>
        <a:bodyPr/>
        <a:lstStyle/>
        <a:p>
          <a:endParaRPr lang="en-GB"/>
        </a:p>
      </dgm:t>
    </dgm:pt>
    <dgm:pt modelId="{4FECFF06-8BA8-F844-8B85-6AD9EBBBD16D}" type="pres">
      <dgm:prSet presAssocID="{CF104854-1FD0-944C-B61B-5281710A687D}" presName="spComp" presStyleCnt="0"/>
      <dgm:spPr/>
    </dgm:pt>
    <dgm:pt modelId="{3E6CECCD-DEAE-B544-9BB7-2490C0848322}" type="pres">
      <dgm:prSet presAssocID="{CF104854-1FD0-944C-B61B-5281710A687D}" presName="vSp" presStyleCnt="0"/>
      <dgm:spPr/>
    </dgm:pt>
    <dgm:pt modelId="{71AD9E40-C677-2C4C-8657-F5B8594F0C6B}" type="pres">
      <dgm:prSet presAssocID="{28AF0E3E-381F-2A45-AEC4-FE989A06A7CF}" presName="rectComp" presStyleCnt="0"/>
      <dgm:spPr/>
    </dgm:pt>
    <dgm:pt modelId="{7F955147-9AEA-D94B-80AB-3AAD06E26597}" type="pres">
      <dgm:prSet presAssocID="{28AF0E3E-381F-2A45-AEC4-FE989A06A7CF}" presName="bgRect" presStyleLbl="bgShp" presStyleIdx="3" presStyleCnt="5" custScaleY="229837"/>
      <dgm:spPr/>
      <dgm:t>
        <a:bodyPr/>
        <a:lstStyle/>
        <a:p>
          <a:endParaRPr lang="en-GB"/>
        </a:p>
      </dgm:t>
    </dgm:pt>
    <dgm:pt modelId="{32568ED0-F14F-D54E-A287-5B1EE2F42C70}" type="pres">
      <dgm:prSet presAssocID="{28AF0E3E-381F-2A45-AEC4-FE989A06A7CF}" presName="bgRectTx" presStyleLbl="bgShp" presStyleIdx="3" presStyleCnt="5">
        <dgm:presLayoutVars>
          <dgm:bulletEnabled val="1"/>
        </dgm:presLayoutVars>
      </dgm:prSet>
      <dgm:spPr/>
      <dgm:t>
        <a:bodyPr/>
        <a:lstStyle/>
        <a:p>
          <a:endParaRPr lang="en-GB"/>
        </a:p>
      </dgm:t>
    </dgm:pt>
    <dgm:pt modelId="{9165EC84-F21D-4544-A2E3-0B45676B3813}" type="pres">
      <dgm:prSet presAssocID="{28AF0E3E-381F-2A45-AEC4-FE989A06A7CF}" presName="spComp" presStyleCnt="0"/>
      <dgm:spPr/>
    </dgm:pt>
    <dgm:pt modelId="{45E791EC-077B-034D-B3EA-0D2A89590C23}" type="pres">
      <dgm:prSet presAssocID="{28AF0E3E-381F-2A45-AEC4-FE989A06A7CF}" presName="vSp" presStyleCnt="0"/>
      <dgm:spPr/>
    </dgm:pt>
    <dgm:pt modelId="{E2EBAE37-0306-BA45-9B83-2FDF061FFB84}" type="pres">
      <dgm:prSet presAssocID="{BE2915BD-474B-AA48-B2ED-2F2568EF4B5B}" presName="rectComp" presStyleCnt="0"/>
      <dgm:spPr/>
    </dgm:pt>
    <dgm:pt modelId="{F02FA628-FE3C-0745-8728-F80F8402BD4D}" type="pres">
      <dgm:prSet presAssocID="{BE2915BD-474B-AA48-B2ED-2F2568EF4B5B}" presName="bgRect" presStyleLbl="bgShp" presStyleIdx="4" presStyleCnt="5" custScaleY="209527" custLinFactNeighborX="7176" custLinFactNeighborY="-23733"/>
      <dgm:spPr/>
      <dgm:t>
        <a:bodyPr/>
        <a:lstStyle/>
        <a:p>
          <a:endParaRPr lang="en-GB"/>
        </a:p>
      </dgm:t>
    </dgm:pt>
    <dgm:pt modelId="{658DC685-8E55-5B4E-812B-7CE2BF8BDD1C}" type="pres">
      <dgm:prSet presAssocID="{BE2915BD-474B-AA48-B2ED-2F2568EF4B5B}" presName="bgRectTx" presStyleLbl="bgShp" presStyleIdx="4" presStyleCnt="5">
        <dgm:presLayoutVars>
          <dgm:bulletEnabled val="1"/>
        </dgm:presLayoutVars>
      </dgm:prSet>
      <dgm:spPr/>
      <dgm:t>
        <a:bodyPr/>
        <a:lstStyle/>
        <a:p>
          <a:endParaRPr lang="en-GB"/>
        </a:p>
      </dgm:t>
    </dgm:pt>
  </dgm:ptLst>
  <dgm:cxnLst>
    <dgm:cxn modelId="{478DF848-C993-47AC-87AF-349284452F13}" type="presOf" srcId="{56759E16-5C0C-0A41-8B9D-F5616BD1AEA9}" destId="{FE84D422-D38E-E147-BBCA-B8672E335698}" srcOrd="0" destOrd="0" presId="urn:microsoft.com/office/officeart/2005/8/layout/hierarchy6"/>
    <dgm:cxn modelId="{97A88695-4805-4B6D-9332-73784E936DC7}" type="presOf" srcId="{794E57AE-0EFB-9B45-BE13-787BAC2774B7}" destId="{EA4D87FA-4A21-3D43-9DBA-CF67A1D2F6EC}" srcOrd="0" destOrd="0" presId="urn:microsoft.com/office/officeart/2005/8/layout/hierarchy6"/>
    <dgm:cxn modelId="{C093AA36-DB9A-1942-A46F-9648D9F1F840}" srcId="{9EEABB3A-9DF3-7140-8EED-2052069C50D4}" destId="{EEC20706-13E8-154A-88B2-6B376CC7E88A}" srcOrd="0" destOrd="0" parTransId="{34A06777-FEB7-8849-BC2E-C9F007D96290}" sibTransId="{E250DA62-647A-A84D-A42F-F7ACAD3EEA57}"/>
    <dgm:cxn modelId="{FF8A3A1E-934A-E94C-8C86-706BE52C9439}" srcId="{794E57AE-0EFB-9B45-BE13-787BAC2774B7}" destId="{A02939A8-7C25-B043-8EA8-596BE396E372}" srcOrd="5" destOrd="0" parTransId="{56759E16-5C0C-0A41-8B9D-F5616BD1AEA9}" sibTransId="{314A5BFB-93FD-6A44-95B5-C96CF167AB23}"/>
    <dgm:cxn modelId="{7DEE318D-DB0D-4F04-AE74-386F874F1B17}" type="presOf" srcId="{2877AF31-0114-434E-9D29-3A616722C212}" destId="{52413BD0-F315-0540-829B-4D9B0026A557}" srcOrd="0" destOrd="0" presId="urn:microsoft.com/office/officeart/2005/8/layout/hierarchy6"/>
    <dgm:cxn modelId="{C12AED9A-A577-5C4D-856A-6948EED19EA7}" srcId="{530B6A35-6D72-A248-810B-7F87BB89C855}" destId="{CF104854-1FD0-944C-B61B-5281710A687D}" srcOrd="3" destOrd="0" parTransId="{4133E703-3EA4-5D43-B47F-C7BA9BD89523}" sibTransId="{4A6A43BF-44A5-CA43-B115-D222C58A0AFA}"/>
    <dgm:cxn modelId="{774D06D9-3FB5-C94B-8B54-2AAF695DEBDE}" srcId="{794E57AE-0EFB-9B45-BE13-787BAC2774B7}" destId="{C82DB12A-C808-794A-ACBA-17F20650D07F}" srcOrd="0" destOrd="0" parTransId="{31A825A8-0D20-0544-B656-63A7BB501149}" sibTransId="{7C316EB4-E777-204F-8603-274EDA840C47}"/>
    <dgm:cxn modelId="{6AC263D1-79C0-48F1-BA0B-FE3F5381850F}" type="presOf" srcId="{E0E76BAD-5AAA-AA4B-849D-E9532227E224}" destId="{46CFD97B-B0E6-A54A-9802-F98DB8D4D6E8}" srcOrd="0" destOrd="0" presId="urn:microsoft.com/office/officeart/2005/8/layout/hierarchy6"/>
    <dgm:cxn modelId="{7B5DE412-1BAC-F741-9DF9-FA5EFF7148CE}" srcId="{794E57AE-0EFB-9B45-BE13-787BAC2774B7}" destId="{488B84D1-47F4-2548-981C-E89EF031E116}" srcOrd="6" destOrd="0" parTransId="{E45BE058-E881-CD4F-A547-202FA9D7DD78}" sibTransId="{B6D14509-5F66-9C45-B738-3D3510CF4216}"/>
    <dgm:cxn modelId="{D461830E-D6B8-4288-A456-3775FD6761B6}" type="presOf" srcId="{20137A6E-0024-B44B-968F-F53DD13B129C}" destId="{9A3AE737-1479-0043-8BE9-4C87D08E8A76}" srcOrd="0" destOrd="0" presId="urn:microsoft.com/office/officeart/2005/8/layout/hierarchy6"/>
    <dgm:cxn modelId="{34BE42E3-ED1B-48CB-84CD-7253C3E16DCD}" type="presOf" srcId="{6A23C257-3DBA-8E4D-B0BF-E7E3E7E9336E}" destId="{C90DF278-E356-2C49-9278-72956A827DBF}" srcOrd="0" destOrd="0" presId="urn:microsoft.com/office/officeart/2005/8/layout/hierarchy6"/>
    <dgm:cxn modelId="{5D06776B-67C7-2E4A-8920-4C6DDD9C04E4}" srcId="{546B15FE-F68C-9840-A23F-29CFE8426A8D}" destId="{C9F36DA2-7EA2-7F42-AE72-A73F350F27C4}" srcOrd="0" destOrd="0" parTransId="{9AD2E87F-8916-304B-BFBA-4C091949B53A}" sibTransId="{33EFF387-4BC6-BC45-8198-4D7E8B98DA92}"/>
    <dgm:cxn modelId="{7E8B6A31-08E6-45B0-8C56-C3BCF7894342}" type="presOf" srcId="{63AAC6C1-E571-684E-95DE-98C023CD0707}" destId="{A971637C-39EB-854B-B9B5-975A26144568}" srcOrd="0" destOrd="0" presId="urn:microsoft.com/office/officeart/2005/8/layout/hierarchy6"/>
    <dgm:cxn modelId="{9ED6DBA3-FB43-46A1-A6FC-987DB8DAF09A}" type="presOf" srcId="{6A23C257-3DBA-8E4D-B0BF-E7E3E7E9336E}" destId="{8D0E4A8A-B041-6349-A168-22675ABE1E24}" srcOrd="1" destOrd="0" presId="urn:microsoft.com/office/officeart/2005/8/layout/hierarchy6"/>
    <dgm:cxn modelId="{48F60419-8C09-3544-B0B1-BB6BF0F953D5}" srcId="{A31A0470-314B-AA41-8402-ABFAEA0D5638}" destId="{16DA4B72-2A32-3F40-B48E-89944475CEDF}" srcOrd="0" destOrd="0" parTransId="{B0A63B65-0BDA-9E4B-9819-5A91710A6709}" sibTransId="{ED2A72CE-F5F1-B04E-86C0-AE7EBF5A6E79}"/>
    <dgm:cxn modelId="{F133AEDC-0B51-4C42-B534-A4D96A288EFA}" type="presOf" srcId="{BE2915BD-474B-AA48-B2ED-2F2568EF4B5B}" destId="{F02FA628-FE3C-0745-8728-F80F8402BD4D}" srcOrd="0" destOrd="0" presId="urn:microsoft.com/office/officeart/2005/8/layout/hierarchy6"/>
    <dgm:cxn modelId="{DFDB5056-AD25-4DC5-B399-3CE21093056C}" type="presOf" srcId="{28AF0E3E-381F-2A45-AEC4-FE989A06A7CF}" destId="{7F955147-9AEA-D94B-80AB-3AAD06E26597}" srcOrd="0" destOrd="0" presId="urn:microsoft.com/office/officeart/2005/8/layout/hierarchy6"/>
    <dgm:cxn modelId="{D7F82132-4767-40AF-BE93-D45F8DDE1142}" type="presOf" srcId="{7522B946-4048-4C4F-830C-78F6EAA6A8D0}" destId="{D010171C-E8BF-3849-A32B-5F1E7A65FCD6}" srcOrd="0" destOrd="0" presId="urn:microsoft.com/office/officeart/2005/8/layout/hierarchy6"/>
    <dgm:cxn modelId="{AA9A1B02-FD98-49C4-83AD-310E8C95BE3F}" type="presOf" srcId="{72C91F37-8030-9847-8473-CB06007807E6}" destId="{5FFCCE20-97FB-9B4B-B626-B86C40ADBABD}" srcOrd="0" destOrd="0" presId="urn:microsoft.com/office/officeart/2005/8/layout/hierarchy6"/>
    <dgm:cxn modelId="{0BAD8C8A-F235-4FDE-8AC2-51DED1166A88}" type="presOf" srcId="{16DA4B72-2A32-3F40-B48E-89944475CEDF}" destId="{44F850AE-ADB9-DC4D-B3CE-5C45F5F15B3E}" srcOrd="0" destOrd="0" presId="urn:microsoft.com/office/officeart/2005/8/layout/hierarchy6"/>
    <dgm:cxn modelId="{89D6AB6F-7B28-BD47-8D5F-0F4FD40FB630}" srcId="{794E57AE-0EFB-9B45-BE13-787BAC2774B7}" destId="{62C4499E-50D9-DC4D-90FF-D26D3BE63DA1}" srcOrd="1" destOrd="0" parTransId="{DF490825-C7A5-2B40-A557-46C0EC1C8C52}" sibTransId="{6755B884-DD4E-5447-968E-B0A2C2E69C68}"/>
    <dgm:cxn modelId="{13762B78-9A2E-4B13-908F-75FB674BEE6E}" type="presOf" srcId="{E45BE058-E881-CD4F-A547-202FA9D7DD78}" destId="{060CC184-2F23-2448-85A5-F170983B1D05}" srcOrd="0" destOrd="0" presId="urn:microsoft.com/office/officeart/2005/8/layout/hierarchy6"/>
    <dgm:cxn modelId="{24C6F78E-F9FB-481A-A931-8D6637CEC250}" type="presOf" srcId="{DF490825-C7A5-2B40-A557-46C0EC1C8C52}" destId="{2ADD5497-5C23-434B-B629-C10D0793BC65}" srcOrd="0" destOrd="0" presId="urn:microsoft.com/office/officeart/2005/8/layout/hierarchy6"/>
    <dgm:cxn modelId="{E74A3D9E-B0B4-46A1-900A-D9FC26AAD379}" type="presOf" srcId="{488B84D1-47F4-2548-981C-E89EF031E116}" destId="{7ADAC34F-D397-8842-B46F-22D67905F0C8}" srcOrd="0" destOrd="0" presId="urn:microsoft.com/office/officeart/2005/8/layout/hierarchy6"/>
    <dgm:cxn modelId="{233E575E-5CBC-4E4A-B7BC-B6CC21C4B03F}" type="presOf" srcId="{CF104854-1FD0-944C-B61B-5281710A687D}" destId="{FE92E8C1-4F22-0441-BD9A-6800DEFC0AF3}" srcOrd="0" destOrd="0" presId="urn:microsoft.com/office/officeart/2005/8/layout/hierarchy6"/>
    <dgm:cxn modelId="{E965B59E-8A73-E841-BF89-3172E04C63BC}" srcId="{0380C61B-EDF8-074F-8F90-C71A354CFFE1}" destId="{2877AF31-0114-434E-9D29-3A616722C212}" srcOrd="0" destOrd="0" parTransId="{20137A6E-0024-B44B-968F-F53DD13B129C}" sibTransId="{B9D7A9EE-3616-4B48-A6CD-AEA967D79185}"/>
    <dgm:cxn modelId="{0D407BAC-ABC3-4549-B215-B6C4E1B68B9F}" type="presOf" srcId="{546B15FE-F68C-9840-A23F-29CFE8426A8D}" destId="{38082CAD-FF11-624D-BB5B-EAE17C644611}" srcOrd="0" destOrd="0" presId="urn:microsoft.com/office/officeart/2005/8/layout/hierarchy6"/>
    <dgm:cxn modelId="{EA36A28C-B5B1-AD4F-82A1-ACB2F7A7D788}" srcId="{EEC20706-13E8-154A-88B2-6B376CC7E88A}" destId="{413D1223-8B14-0C4D-9079-D850E9593A27}" srcOrd="0" destOrd="0" parTransId="{07B6ADD5-0041-CD43-A00D-1452555C612E}" sibTransId="{54C38E11-9C21-BE4F-8736-C4B3BB58CE1C}"/>
    <dgm:cxn modelId="{C9D78FA9-5634-BB42-95AA-BD5332492A98}" srcId="{794E57AE-0EFB-9B45-BE13-787BAC2774B7}" destId="{7522B946-4048-4C4F-830C-78F6EAA6A8D0}" srcOrd="7" destOrd="0" parTransId="{C93A0527-519B-6E40-9796-B1C029F555B2}" sibTransId="{2A562948-682F-7442-ACD8-A4EB4E05358B}"/>
    <dgm:cxn modelId="{984937BD-42B1-427E-8B4D-C2011170F1E4}" type="presOf" srcId="{4E137A69-A18A-B64E-9B3D-45085438FA82}" destId="{288801B9-5417-6B4F-9133-C42FD27A48BD}" srcOrd="0" destOrd="0" presId="urn:microsoft.com/office/officeart/2005/8/layout/hierarchy6"/>
    <dgm:cxn modelId="{878D5087-5111-9C43-91A6-2890569CB5F9}" srcId="{530B6A35-6D72-A248-810B-7F87BB89C855}" destId="{794E57AE-0EFB-9B45-BE13-787BAC2774B7}" srcOrd="0" destOrd="0" parTransId="{59C4BD04-14FB-004D-A726-16C25EC905A2}" sibTransId="{25CDEEBE-46C8-EC40-8413-A6611765D544}"/>
    <dgm:cxn modelId="{05DF7248-7B04-F149-8F06-8B47614B9257}" srcId="{16DA4B72-2A32-3F40-B48E-89944475CEDF}" destId="{6316FE2B-8142-494D-99CF-8CEF7AF5108A}" srcOrd="0" destOrd="0" parTransId="{E0E76BAD-5AAA-AA4B-849D-E9532227E224}" sibTransId="{6BDF54D3-A489-BC4E-A648-306113A261E2}"/>
    <dgm:cxn modelId="{157BDA27-DAA6-497D-97D5-9C5D09AFD6A5}" type="presOf" srcId="{413D1223-8B14-0C4D-9079-D850E9593A27}" destId="{681CA204-4193-3A42-9412-6EBD5A9B1A3B}" srcOrd="0" destOrd="0" presId="urn:microsoft.com/office/officeart/2005/8/layout/hierarchy6"/>
    <dgm:cxn modelId="{59B0D1B5-DF2B-46C6-A77C-5D940437389F}" type="presOf" srcId="{BE2915BD-474B-AA48-B2ED-2F2568EF4B5B}" destId="{658DC685-8E55-5B4E-812B-7CE2BF8BDD1C}" srcOrd="1" destOrd="0" presId="urn:microsoft.com/office/officeart/2005/8/layout/hierarchy6"/>
    <dgm:cxn modelId="{2990EFBC-5DF2-4AC2-87A5-D6731F4C4B39}" type="presOf" srcId="{C93A0527-519B-6E40-9796-B1C029F555B2}" destId="{6020B5B9-8A87-B349-A4D7-B722917DFA10}" srcOrd="0" destOrd="0" presId="urn:microsoft.com/office/officeart/2005/8/layout/hierarchy6"/>
    <dgm:cxn modelId="{B258BD82-7E3E-5245-9522-C8EE004109B0}" srcId="{794E57AE-0EFB-9B45-BE13-787BAC2774B7}" destId="{095B5F75-A839-6C41-8880-E2A75A14D33A}" srcOrd="4" destOrd="0" parTransId="{198A045A-08AB-8F40-B0C1-B6378EA8F449}" sibTransId="{D361A0C2-2396-8640-8274-56BBAF8DA65B}"/>
    <dgm:cxn modelId="{DAA7FBA4-4782-4261-BFB9-AAC8801E4BB9}" type="presOf" srcId="{B0A63B65-0BDA-9E4B-9819-5A91710A6709}" destId="{B1A33558-C3FD-3B43-BDA5-1ED83C38D871}" srcOrd="0" destOrd="0" presId="urn:microsoft.com/office/officeart/2005/8/layout/hierarchy6"/>
    <dgm:cxn modelId="{7BEFC62D-0C03-48A0-B6D8-EA84669CF079}" type="presOf" srcId="{07B6ADD5-0041-CD43-A00D-1452555C612E}" destId="{5C898253-548E-DA4F-B5CF-0D8464743193}" srcOrd="0" destOrd="0" presId="urn:microsoft.com/office/officeart/2005/8/layout/hierarchy6"/>
    <dgm:cxn modelId="{0820A9F3-CB0D-124A-8776-1D824F938320}" srcId="{530B6A35-6D72-A248-810B-7F87BB89C855}" destId="{6A23C257-3DBA-8E4D-B0BF-E7E3E7E9336E}" srcOrd="1" destOrd="0" parTransId="{0D5D20AA-3FCE-F243-BE00-A014747404B4}" sibTransId="{C9C4D2EC-9C87-A74E-8AE7-3C642727691B}"/>
    <dgm:cxn modelId="{A28BCF55-B9EC-4215-81D7-DD251533D64A}" type="presOf" srcId="{40E93012-1C9F-0144-83B0-B354F3C6A963}" destId="{7EB36DB8-3514-7340-A480-159548F62196}" srcOrd="0" destOrd="0" presId="urn:microsoft.com/office/officeart/2005/8/layout/hierarchy6"/>
    <dgm:cxn modelId="{24ACC00F-A79A-40CD-BE33-A2C81B1EEB3B}" type="presOf" srcId="{A31A0470-314B-AA41-8402-ABFAEA0D5638}" destId="{AB694EDF-CA1D-6445-A44B-56A99ED1427E}" srcOrd="0" destOrd="0" presId="urn:microsoft.com/office/officeart/2005/8/layout/hierarchy6"/>
    <dgm:cxn modelId="{E75B4CE0-7C9E-2747-850D-04287052E347}" srcId="{530B6A35-6D72-A248-810B-7F87BB89C855}" destId="{63AAC6C1-E571-684E-95DE-98C023CD0707}" srcOrd="2" destOrd="0" parTransId="{D8DBD89C-D012-BE40-A8D6-56834B033BF5}" sibTransId="{C144CC3A-61F7-7D4A-8A36-65544824BEB9}"/>
    <dgm:cxn modelId="{D0327BC4-ED30-4FC5-8F48-6C471F5B1E37}" type="presOf" srcId="{CF104854-1FD0-944C-B61B-5281710A687D}" destId="{EFC1EB44-904D-6C45-BBDC-BCC8562B1B63}" srcOrd="1" destOrd="0" presId="urn:microsoft.com/office/officeart/2005/8/layout/hierarchy6"/>
    <dgm:cxn modelId="{7DB2AAC3-47AA-8941-8D44-AA991674F5F0}" srcId="{794E57AE-0EFB-9B45-BE13-787BAC2774B7}" destId="{9EEABB3A-9DF3-7140-8EED-2052069C50D4}" srcOrd="2" destOrd="0" parTransId="{4CD9C9A4-DD32-1B4A-A3E3-F6314ABD9D58}" sibTransId="{F9AB1582-1BF4-9B4D-A3D7-CAC5BDB34F30}"/>
    <dgm:cxn modelId="{7AB4233D-9DD3-46F7-99FB-CB9B7FE4C647}" type="presOf" srcId="{31A825A8-0D20-0544-B656-63A7BB501149}" destId="{46AB25BD-F58B-3749-A677-D92968572A9A}" srcOrd="0" destOrd="0" presId="urn:microsoft.com/office/officeart/2005/8/layout/hierarchy6"/>
    <dgm:cxn modelId="{9423A13A-AB11-4E07-B174-891E871E3E58}" type="presOf" srcId="{4196489D-3D1D-804F-A072-1DD909687792}" destId="{57BA3E17-452D-994A-91F0-4AD71FB9D03F}" srcOrd="0" destOrd="0" presId="urn:microsoft.com/office/officeart/2005/8/layout/hierarchy6"/>
    <dgm:cxn modelId="{655A844C-C9F6-5D49-AEBE-E39A9C22A877}" srcId="{530B6A35-6D72-A248-810B-7F87BB89C855}" destId="{BE2915BD-474B-AA48-B2ED-2F2568EF4B5B}" srcOrd="5" destOrd="0" parTransId="{9E330277-C427-E34E-A202-2F6745C6AB11}" sibTransId="{C1416462-E2EB-984C-944A-55E02B60F30E}"/>
    <dgm:cxn modelId="{2254C025-141A-4DF0-9631-3D36D32F46E8}" type="presOf" srcId="{34A06777-FEB7-8849-BC2E-C9F007D96290}" destId="{938F8DE4-BC3C-E04A-9D33-BD7E4738FDB9}" srcOrd="0" destOrd="0" presId="urn:microsoft.com/office/officeart/2005/8/layout/hierarchy6"/>
    <dgm:cxn modelId="{250E7254-156E-5B4E-9F98-5FF66D5E9722}" srcId="{A02939A8-7C25-B043-8EA8-596BE396E372}" destId="{A31A0470-314B-AA41-8402-ABFAEA0D5638}" srcOrd="0" destOrd="0" parTransId="{40E93012-1C9F-0144-83B0-B354F3C6A963}" sibTransId="{3657B926-3BEA-FB44-B2CE-366FF88F892B}"/>
    <dgm:cxn modelId="{532B30EF-C622-4A2D-988D-1C9AD740C880}" type="presOf" srcId="{9EEABB3A-9DF3-7140-8EED-2052069C50D4}" destId="{848BD61E-7034-FC4C-B002-24045EF7895D}" srcOrd="0" destOrd="0" presId="urn:microsoft.com/office/officeart/2005/8/layout/hierarchy6"/>
    <dgm:cxn modelId="{965F4539-6838-49C8-8E94-9E4E7C8C38C2}" type="presOf" srcId="{A02939A8-7C25-B043-8EA8-596BE396E372}" destId="{34BDA8E4-074B-E24C-83B6-E761FE08AA16}" srcOrd="0" destOrd="0" presId="urn:microsoft.com/office/officeart/2005/8/layout/hierarchy6"/>
    <dgm:cxn modelId="{3A17BA3E-8E05-BF46-9C29-F6F9389AD86C}" srcId="{C82DB12A-C808-794A-ACBA-17F20650D07F}" destId="{D82FA415-2EC8-BC4D-B536-1B029578BA93}" srcOrd="0" destOrd="0" parTransId="{4E137A69-A18A-B64E-9B3D-45085438FA82}" sibTransId="{0A083679-A510-FB41-8C9F-D0F9C9C9D17C}"/>
    <dgm:cxn modelId="{CD7BA015-9129-4D75-83EB-BD13DDE50D87}" type="presOf" srcId="{7E03E3B6-CF2E-0F46-BEBF-B065945CA5E7}" destId="{4EF12772-E395-3F4F-AA83-20CB7EB080A7}" srcOrd="0" destOrd="0" presId="urn:microsoft.com/office/officeart/2005/8/layout/hierarchy6"/>
    <dgm:cxn modelId="{1010DAB9-E2E1-4826-899D-033F2C2D287D}" type="presOf" srcId="{0E83D78C-A27C-DD43-A65D-6D4F3D0D162D}" destId="{52DFEFD5-E777-0B40-9876-8A86E56ACCFD}" srcOrd="0" destOrd="0" presId="urn:microsoft.com/office/officeart/2005/8/layout/hierarchy6"/>
    <dgm:cxn modelId="{62A1B827-F097-4F44-8C4B-9F0FC02BF2A5}" type="presOf" srcId="{C82DB12A-C808-794A-ACBA-17F20650D07F}" destId="{C9C80516-0712-E94C-ADCA-D6FAB3002E93}" srcOrd="0" destOrd="0" presId="urn:microsoft.com/office/officeart/2005/8/layout/hierarchy6"/>
    <dgm:cxn modelId="{C85C84C7-C237-0C49-9ADD-41590BA64DEA}" srcId="{794E57AE-0EFB-9B45-BE13-787BAC2774B7}" destId="{546B15FE-F68C-9840-A23F-29CFE8426A8D}" srcOrd="3" destOrd="0" parTransId="{0E83D78C-A27C-DD43-A65D-6D4F3D0D162D}" sibTransId="{C56DC434-8F59-A748-8990-0E933CBFA8AE}"/>
    <dgm:cxn modelId="{6B11BF2E-2C63-4298-8E6B-6D3F6F4CE370}" type="presOf" srcId="{9AD2E87F-8916-304B-BFBA-4C091949B53A}" destId="{09A88717-8E93-D546-935B-85D3A6556405}" srcOrd="0" destOrd="0" presId="urn:microsoft.com/office/officeart/2005/8/layout/hierarchy6"/>
    <dgm:cxn modelId="{C99CB396-5C98-4DED-A47D-FBFEEA2388B3}" type="presOf" srcId="{63AAC6C1-E571-684E-95DE-98C023CD0707}" destId="{6937AF52-DCCC-6540-A0E8-CA796F11987C}" srcOrd="1" destOrd="0" presId="urn:microsoft.com/office/officeart/2005/8/layout/hierarchy6"/>
    <dgm:cxn modelId="{4F58179C-6E90-4CBE-9FD6-46077FB5B14D}" type="presOf" srcId="{28AF0E3E-381F-2A45-AEC4-FE989A06A7CF}" destId="{32568ED0-F14F-D54E-A287-5B1EE2F42C70}" srcOrd="1" destOrd="0" presId="urn:microsoft.com/office/officeart/2005/8/layout/hierarchy6"/>
    <dgm:cxn modelId="{D01FA837-B961-43D5-B36D-082BA4286D23}" type="presOf" srcId="{0380C61B-EDF8-074F-8F90-C71A354CFFE1}" destId="{E0D86FC8-9480-A34C-A45C-14F26BC2EB2D}" srcOrd="0" destOrd="0" presId="urn:microsoft.com/office/officeart/2005/8/layout/hierarchy6"/>
    <dgm:cxn modelId="{37801E56-FCE0-468C-BAEE-58AD9448AD0E}" type="presOf" srcId="{D741E8B3-45D2-494B-88A0-B0A313E4B8D3}" destId="{C535E999-CBDC-6C45-A3BE-B542E7121C2F}" srcOrd="0" destOrd="0" presId="urn:microsoft.com/office/officeart/2005/8/layout/hierarchy6"/>
    <dgm:cxn modelId="{C038AC64-A1C1-4082-B661-0042DB665DC9}" type="presOf" srcId="{198A045A-08AB-8F40-B0C1-B6378EA8F449}" destId="{2F7493ED-AEBB-7F4D-B24E-B156DF26D80A}" srcOrd="0" destOrd="0" presId="urn:microsoft.com/office/officeart/2005/8/layout/hierarchy6"/>
    <dgm:cxn modelId="{0D7F66FA-D624-4859-9200-09112F705D83}" type="presOf" srcId="{62C4499E-50D9-DC4D-90FF-D26D3BE63DA1}" destId="{2F3EEE40-1F02-E448-9719-CA8DC3126F70}" srcOrd="0" destOrd="0" presId="urn:microsoft.com/office/officeart/2005/8/layout/hierarchy6"/>
    <dgm:cxn modelId="{23F0188F-E9F7-4E0C-8145-08F043E127A6}" type="presOf" srcId="{095B5F75-A839-6C41-8880-E2A75A14D33A}" destId="{A4EA9C09-8BDB-8D4C-8898-AA92AB480B55}" srcOrd="0" destOrd="0" presId="urn:microsoft.com/office/officeart/2005/8/layout/hierarchy6"/>
    <dgm:cxn modelId="{63FBAD1C-93D5-4608-BC14-08A3039B1D0B}" type="presOf" srcId="{1990C061-6E31-2F4A-B6A1-CCF259FD349F}" destId="{B707356E-A657-D049-BD56-AA40F790F54D}" srcOrd="0" destOrd="0" presId="urn:microsoft.com/office/officeart/2005/8/layout/hierarchy6"/>
    <dgm:cxn modelId="{4D1A348C-44AD-7945-932B-F39F87DAEA77}" srcId="{488B84D1-47F4-2548-981C-E89EF031E116}" destId="{72C91F37-8030-9847-8473-CB06007807E6}" srcOrd="0" destOrd="0" parTransId="{96E5278C-FBD7-9640-8672-CF27337788B4}" sibTransId="{E55C1E1E-FE34-2842-BF77-6B6D12B4B6D3}"/>
    <dgm:cxn modelId="{A197E314-DF1A-46CC-B11A-AC3622C41A07}" type="presOf" srcId="{6316FE2B-8142-494D-99CF-8CEF7AF5108A}" destId="{77A67DB0-B265-BC43-A7CB-0CCB4E79D8E2}" srcOrd="0" destOrd="0" presId="urn:microsoft.com/office/officeart/2005/8/layout/hierarchy6"/>
    <dgm:cxn modelId="{E7777711-B229-40B2-A852-D16CB89450B6}" type="presOf" srcId="{96E5278C-FBD7-9640-8672-CF27337788B4}" destId="{C9566D97-C3F0-7F4F-B0B3-4F23B5612AEC}" srcOrd="0" destOrd="0" presId="urn:microsoft.com/office/officeart/2005/8/layout/hierarchy6"/>
    <dgm:cxn modelId="{2CBB5679-7AAE-694E-BED0-9F9F4A93A786}" srcId="{530B6A35-6D72-A248-810B-7F87BB89C855}" destId="{28AF0E3E-381F-2A45-AEC4-FE989A06A7CF}" srcOrd="4" destOrd="0" parTransId="{5072DC63-273D-3E4A-ADD4-C365070F72F4}" sibTransId="{2B4C9F49-8525-E044-96FE-DDDBD3148473}"/>
    <dgm:cxn modelId="{DC020C9A-D378-344B-A15E-82BE6DFE9CD1}" srcId="{62C4499E-50D9-DC4D-90FF-D26D3BE63DA1}" destId="{4196489D-3D1D-804F-A072-1DD909687792}" srcOrd="0" destOrd="0" parTransId="{D741E8B3-45D2-494B-88A0-B0A313E4B8D3}" sibTransId="{0BF1992B-8954-2C4A-8931-234678346447}"/>
    <dgm:cxn modelId="{2440A562-95E8-48E0-864E-90431605DEC7}" type="presOf" srcId="{530B6A35-6D72-A248-810B-7F87BB89C855}" destId="{4A1AC22C-73F0-7E48-8BE3-F91FDFA0CB76}" srcOrd="0" destOrd="0" presId="urn:microsoft.com/office/officeart/2005/8/layout/hierarchy6"/>
    <dgm:cxn modelId="{CB5231C0-0254-484B-9A26-99445FC63474}" srcId="{D82FA415-2EC8-BC4D-B536-1B029578BA93}" destId="{0380C61B-EDF8-074F-8F90-C71A354CFFE1}" srcOrd="0" destOrd="0" parTransId="{1990C061-6E31-2F4A-B6A1-CCF259FD349F}" sibTransId="{8873ED56-BC84-2449-9B8B-DAA08896B6D3}"/>
    <dgm:cxn modelId="{52E67877-6D47-4588-8CD3-5222CADA7BE2}" type="presOf" srcId="{C9F36DA2-7EA2-7F42-AE72-A73F350F27C4}" destId="{31849D49-4FB4-5D44-B96B-45A423FB93FD}" srcOrd="0" destOrd="0" presId="urn:microsoft.com/office/officeart/2005/8/layout/hierarchy6"/>
    <dgm:cxn modelId="{BF67F29D-E7F0-41CB-890C-1EDFAA20A68C}" type="presOf" srcId="{4CD9C9A4-DD32-1B4A-A3E3-F6314ABD9D58}" destId="{C0EBB89C-1132-2541-9ED1-E42B8D95D842}" srcOrd="0" destOrd="0" presId="urn:microsoft.com/office/officeart/2005/8/layout/hierarchy6"/>
    <dgm:cxn modelId="{09F8F501-7AD3-084A-996A-E8955A5FB736}" srcId="{C9F36DA2-7EA2-7F42-AE72-A73F350F27C4}" destId="{D278D4A5-BF6B-6043-BFC0-20C729BB1EAB}" srcOrd="0" destOrd="0" parTransId="{7E03E3B6-CF2E-0F46-BEBF-B065945CA5E7}" sibTransId="{19BBBF1E-845D-3642-BF82-0231B00D1F51}"/>
    <dgm:cxn modelId="{58B92B2D-E168-43C2-8146-003E2E1697A0}" type="presOf" srcId="{D82FA415-2EC8-BC4D-B536-1B029578BA93}" destId="{0D5667AD-6F76-CC47-8856-502C3553AC2F}" srcOrd="0" destOrd="0" presId="urn:microsoft.com/office/officeart/2005/8/layout/hierarchy6"/>
    <dgm:cxn modelId="{C53ED32B-F2A0-4E3A-9007-9B1F50ABF2F5}" type="presOf" srcId="{EEC20706-13E8-154A-88B2-6B376CC7E88A}" destId="{419060F1-1FE3-4448-AA66-AC37920503D6}" srcOrd="0" destOrd="0" presId="urn:microsoft.com/office/officeart/2005/8/layout/hierarchy6"/>
    <dgm:cxn modelId="{8AB79F46-887E-405A-8025-7F67310C232E}" type="presOf" srcId="{D278D4A5-BF6B-6043-BFC0-20C729BB1EAB}" destId="{F13AC43B-3701-654C-A9CA-8B597AF5D20B}" srcOrd="0" destOrd="0" presId="urn:microsoft.com/office/officeart/2005/8/layout/hierarchy6"/>
    <dgm:cxn modelId="{66463A72-5C7E-4C70-9470-5FFAF9939BA0}" type="presParOf" srcId="{4A1AC22C-73F0-7E48-8BE3-F91FDFA0CB76}" destId="{66110624-E89A-E749-B22F-69D57F0D549F}" srcOrd="0" destOrd="0" presId="urn:microsoft.com/office/officeart/2005/8/layout/hierarchy6"/>
    <dgm:cxn modelId="{8737A378-0746-47A2-BFAF-7F362BE6327B}" type="presParOf" srcId="{66110624-E89A-E749-B22F-69D57F0D549F}" destId="{6E562594-5230-BE40-B2CB-A9E92CE76C52}" srcOrd="0" destOrd="0" presId="urn:microsoft.com/office/officeart/2005/8/layout/hierarchy6"/>
    <dgm:cxn modelId="{C8C5B35A-0CB6-45F7-A98D-6A646F878D0D}" type="presParOf" srcId="{66110624-E89A-E749-B22F-69D57F0D549F}" destId="{CFA8B355-320E-D94A-AA21-B2ED2ED10FC3}" srcOrd="1" destOrd="0" presId="urn:microsoft.com/office/officeart/2005/8/layout/hierarchy6"/>
    <dgm:cxn modelId="{19203FA9-4580-46A3-A1B8-0548F62B483C}" type="presParOf" srcId="{CFA8B355-320E-D94A-AA21-B2ED2ED10FC3}" destId="{3ACE2BE4-20E6-2242-B2A9-3C2A95844548}" srcOrd="0" destOrd="0" presId="urn:microsoft.com/office/officeart/2005/8/layout/hierarchy6"/>
    <dgm:cxn modelId="{5554F74D-82A2-4B03-A347-3BEA360DD812}" type="presParOf" srcId="{3ACE2BE4-20E6-2242-B2A9-3C2A95844548}" destId="{EA4D87FA-4A21-3D43-9DBA-CF67A1D2F6EC}" srcOrd="0" destOrd="0" presId="urn:microsoft.com/office/officeart/2005/8/layout/hierarchy6"/>
    <dgm:cxn modelId="{E7CCC4B5-7260-48A7-A765-F6E30EA7B932}" type="presParOf" srcId="{3ACE2BE4-20E6-2242-B2A9-3C2A95844548}" destId="{1FC8C889-FED9-D342-9B80-B2ADD3C0C709}" srcOrd="1" destOrd="0" presId="urn:microsoft.com/office/officeart/2005/8/layout/hierarchy6"/>
    <dgm:cxn modelId="{1EF64317-40FD-45AE-B98F-28C276D27398}" type="presParOf" srcId="{1FC8C889-FED9-D342-9B80-B2ADD3C0C709}" destId="{46AB25BD-F58B-3749-A677-D92968572A9A}" srcOrd="0" destOrd="0" presId="urn:microsoft.com/office/officeart/2005/8/layout/hierarchy6"/>
    <dgm:cxn modelId="{27DDC55F-CA08-4D73-B8C7-C6CB515D117E}" type="presParOf" srcId="{1FC8C889-FED9-D342-9B80-B2ADD3C0C709}" destId="{C183C040-7E60-0941-A439-056C53F714C0}" srcOrd="1" destOrd="0" presId="urn:microsoft.com/office/officeart/2005/8/layout/hierarchy6"/>
    <dgm:cxn modelId="{34F96080-6592-4488-8F0C-3FDC6E122524}" type="presParOf" srcId="{C183C040-7E60-0941-A439-056C53F714C0}" destId="{C9C80516-0712-E94C-ADCA-D6FAB3002E93}" srcOrd="0" destOrd="0" presId="urn:microsoft.com/office/officeart/2005/8/layout/hierarchy6"/>
    <dgm:cxn modelId="{1E67EF52-2918-4F24-B0A2-B7A28449C9A8}" type="presParOf" srcId="{C183C040-7E60-0941-A439-056C53F714C0}" destId="{1EC1A314-0E46-7A46-8EF9-3D321E51932B}" srcOrd="1" destOrd="0" presId="urn:microsoft.com/office/officeart/2005/8/layout/hierarchy6"/>
    <dgm:cxn modelId="{AE414981-6A74-4EF7-8237-5552C3E5DD8E}" type="presParOf" srcId="{1EC1A314-0E46-7A46-8EF9-3D321E51932B}" destId="{288801B9-5417-6B4F-9133-C42FD27A48BD}" srcOrd="0" destOrd="0" presId="urn:microsoft.com/office/officeart/2005/8/layout/hierarchy6"/>
    <dgm:cxn modelId="{2468DC37-E488-4AE0-99DC-8B90C62745BB}" type="presParOf" srcId="{1EC1A314-0E46-7A46-8EF9-3D321E51932B}" destId="{C0FF0512-0FD0-964F-B541-C321D8BBAEA5}" srcOrd="1" destOrd="0" presId="urn:microsoft.com/office/officeart/2005/8/layout/hierarchy6"/>
    <dgm:cxn modelId="{24AED0F6-DFD8-4972-A087-C55C45D37D15}" type="presParOf" srcId="{C0FF0512-0FD0-964F-B541-C321D8BBAEA5}" destId="{0D5667AD-6F76-CC47-8856-502C3553AC2F}" srcOrd="0" destOrd="0" presId="urn:microsoft.com/office/officeart/2005/8/layout/hierarchy6"/>
    <dgm:cxn modelId="{1DB90332-FAAE-4C14-AC04-4C53A565E8B5}" type="presParOf" srcId="{C0FF0512-0FD0-964F-B541-C321D8BBAEA5}" destId="{5F9CE191-7741-CD4C-81F6-1657688A8ABB}" srcOrd="1" destOrd="0" presId="urn:microsoft.com/office/officeart/2005/8/layout/hierarchy6"/>
    <dgm:cxn modelId="{9EE2C508-7204-4C61-85F2-755EC1496D97}" type="presParOf" srcId="{5F9CE191-7741-CD4C-81F6-1657688A8ABB}" destId="{B707356E-A657-D049-BD56-AA40F790F54D}" srcOrd="0" destOrd="0" presId="urn:microsoft.com/office/officeart/2005/8/layout/hierarchy6"/>
    <dgm:cxn modelId="{B9C0293B-9BA9-4750-9B7C-A5117E5F1468}" type="presParOf" srcId="{5F9CE191-7741-CD4C-81F6-1657688A8ABB}" destId="{ED2EA168-6EC2-4F44-AA52-CF8963630447}" srcOrd="1" destOrd="0" presId="urn:microsoft.com/office/officeart/2005/8/layout/hierarchy6"/>
    <dgm:cxn modelId="{08212564-8FAD-47C5-B801-93BA13F14D7F}" type="presParOf" srcId="{ED2EA168-6EC2-4F44-AA52-CF8963630447}" destId="{E0D86FC8-9480-A34C-A45C-14F26BC2EB2D}" srcOrd="0" destOrd="0" presId="urn:microsoft.com/office/officeart/2005/8/layout/hierarchy6"/>
    <dgm:cxn modelId="{E0BC5E39-3D8D-4C47-B8E8-32F0AD94A2BF}" type="presParOf" srcId="{ED2EA168-6EC2-4F44-AA52-CF8963630447}" destId="{CFF714E5-30C0-B641-8D83-CA921F78B0FC}" srcOrd="1" destOrd="0" presId="urn:microsoft.com/office/officeart/2005/8/layout/hierarchy6"/>
    <dgm:cxn modelId="{59836B42-33F5-467F-8465-40DA8B500FA8}" type="presParOf" srcId="{CFF714E5-30C0-B641-8D83-CA921F78B0FC}" destId="{9A3AE737-1479-0043-8BE9-4C87D08E8A76}" srcOrd="0" destOrd="0" presId="urn:microsoft.com/office/officeart/2005/8/layout/hierarchy6"/>
    <dgm:cxn modelId="{792238C6-A3FB-4841-8362-1E0CADEB7985}" type="presParOf" srcId="{CFF714E5-30C0-B641-8D83-CA921F78B0FC}" destId="{26630D7F-6C0F-934F-886E-7929A57F1ECE}" srcOrd="1" destOrd="0" presId="urn:microsoft.com/office/officeart/2005/8/layout/hierarchy6"/>
    <dgm:cxn modelId="{C4DBBF87-A033-4E18-85EA-E18C1F93E350}" type="presParOf" srcId="{26630D7F-6C0F-934F-886E-7929A57F1ECE}" destId="{52413BD0-F315-0540-829B-4D9B0026A557}" srcOrd="0" destOrd="0" presId="urn:microsoft.com/office/officeart/2005/8/layout/hierarchy6"/>
    <dgm:cxn modelId="{4897EDE4-06E6-4DC7-B362-7C8FA38F21D5}" type="presParOf" srcId="{26630D7F-6C0F-934F-886E-7929A57F1ECE}" destId="{1E209CD3-D441-174B-A74A-8FFF7A80D66A}" srcOrd="1" destOrd="0" presId="urn:microsoft.com/office/officeart/2005/8/layout/hierarchy6"/>
    <dgm:cxn modelId="{99A224D4-5E19-4AC1-8AAE-0775D770C4E7}" type="presParOf" srcId="{1FC8C889-FED9-D342-9B80-B2ADD3C0C709}" destId="{2ADD5497-5C23-434B-B629-C10D0793BC65}" srcOrd="2" destOrd="0" presId="urn:microsoft.com/office/officeart/2005/8/layout/hierarchy6"/>
    <dgm:cxn modelId="{D6C7857B-12D0-45AA-B777-937DEB8E1B64}" type="presParOf" srcId="{1FC8C889-FED9-D342-9B80-B2ADD3C0C709}" destId="{CA965D26-D78C-A64B-B0F4-F6ECF44DF21E}" srcOrd="3" destOrd="0" presId="urn:microsoft.com/office/officeart/2005/8/layout/hierarchy6"/>
    <dgm:cxn modelId="{74EEBF07-F6EC-4ECA-B3AD-BBE5A73BE6DD}" type="presParOf" srcId="{CA965D26-D78C-A64B-B0F4-F6ECF44DF21E}" destId="{2F3EEE40-1F02-E448-9719-CA8DC3126F70}" srcOrd="0" destOrd="0" presId="urn:microsoft.com/office/officeart/2005/8/layout/hierarchy6"/>
    <dgm:cxn modelId="{AB05CA60-2CC0-4E6F-BABF-2353763D0704}" type="presParOf" srcId="{CA965D26-D78C-A64B-B0F4-F6ECF44DF21E}" destId="{33A8E38E-ED94-3C48-A50C-69C13271A6AD}" srcOrd="1" destOrd="0" presId="urn:microsoft.com/office/officeart/2005/8/layout/hierarchy6"/>
    <dgm:cxn modelId="{704BAD8A-1369-4FDC-A502-29A41FD6FD01}" type="presParOf" srcId="{33A8E38E-ED94-3C48-A50C-69C13271A6AD}" destId="{C535E999-CBDC-6C45-A3BE-B542E7121C2F}" srcOrd="0" destOrd="0" presId="urn:microsoft.com/office/officeart/2005/8/layout/hierarchy6"/>
    <dgm:cxn modelId="{6ED6E2D8-9511-4208-BE23-BA10799EDD56}" type="presParOf" srcId="{33A8E38E-ED94-3C48-A50C-69C13271A6AD}" destId="{978416CF-8635-E846-981E-C802AF7FEEAC}" srcOrd="1" destOrd="0" presId="urn:microsoft.com/office/officeart/2005/8/layout/hierarchy6"/>
    <dgm:cxn modelId="{52B64620-243C-48CC-88EC-73CDE471AF50}" type="presParOf" srcId="{978416CF-8635-E846-981E-C802AF7FEEAC}" destId="{57BA3E17-452D-994A-91F0-4AD71FB9D03F}" srcOrd="0" destOrd="0" presId="urn:microsoft.com/office/officeart/2005/8/layout/hierarchy6"/>
    <dgm:cxn modelId="{40939F2C-905D-4ED7-9CB6-B98EBE0333E2}" type="presParOf" srcId="{978416CF-8635-E846-981E-C802AF7FEEAC}" destId="{43AFCDFB-9CEB-914A-983B-ABADBB858C8D}" srcOrd="1" destOrd="0" presId="urn:microsoft.com/office/officeart/2005/8/layout/hierarchy6"/>
    <dgm:cxn modelId="{D1907A0F-3DF7-47D9-A365-287704622CD4}" type="presParOf" srcId="{1FC8C889-FED9-D342-9B80-B2ADD3C0C709}" destId="{C0EBB89C-1132-2541-9ED1-E42B8D95D842}" srcOrd="4" destOrd="0" presId="urn:microsoft.com/office/officeart/2005/8/layout/hierarchy6"/>
    <dgm:cxn modelId="{FAF16286-31C5-4625-AF51-2A92799065BA}" type="presParOf" srcId="{1FC8C889-FED9-D342-9B80-B2ADD3C0C709}" destId="{BAD414E8-0D5B-AC47-9582-BDC197310350}" srcOrd="5" destOrd="0" presId="urn:microsoft.com/office/officeart/2005/8/layout/hierarchy6"/>
    <dgm:cxn modelId="{8C448C2A-C26E-4ED9-ACCA-D366A33331CB}" type="presParOf" srcId="{BAD414E8-0D5B-AC47-9582-BDC197310350}" destId="{848BD61E-7034-FC4C-B002-24045EF7895D}" srcOrd="0" destOrd="0" presId="urn:microsoft.com/office/officeart/2005/8/layout/hierarchy6"/>
    <dgm:cxn modelId="{07062CDB-9061-4CA0-ACA3-85ED14605A07}" type="presParOf" srcId="{BAD414E8-0D5B-AC47-9582-BDC197310350}" destId="{D1011A4B-D4D5-C84A-B1BA-FAEBE6560D1F}" srcOrd="1" destOrd="0" presId="urn:microsoft.com/office/officeart/2005/8/layout/hierarchy6"/>
    <dgm:cxn modelId="{E1F33F30-59D6-4A9A-896D-1352C7CAB209}" type="presParOf" srcId="{D1011A4B-D4D5-C84A-B1BA-FAEBE6560D1F}" destId="{938F8DE4-BC3C-E04A-9D33-BD7E4738FDB9}" srcOrd="0" destOrd="0" presId="urn:microsoft.com/office/officeart/2005/8/layout/hierarchy6"/>
    <dgm:cxn modelId="{C4B94B37-17FE-4473-93E7-1456C75278A0}" type="presParOf" srcId="{D1011A4B-D4D5-C84A-B1BA-FAEBE6560D1F}" destId="{58058ED5-0200-0D45-AC72-DB31F8FB3083}" srcOrd="1" destOrd="0" presId="urn:microsoft.com/office/officeart/2005/8/layout/hierarchy6"/>
    <dgm:cxn modelId="{F1110ADC-F763-48E5-9E2D-AC1CC0057A37}" type="presParOf" srcId="{58058ED5-0200-0D45-AC72-DB31F8FB3083}" destId="{419060F1-1FE3-4448-AA66-AC37920503D6}" srcOrd="0" destOrd="0" presId="urn:microsoft.com/office/officeart/2005/8/layout/hierarchy6"/>
    <dgm:cxn modelId="{3A129530-1336-4326-BD3C-4E83E8A0FAEE}" type="presParOf" srcId="{58058ED5-0200-0D45-AC72-DB31F8FB3083}" destId="{33424224-F24E-3A43-A5E1-4966FD3E5F69}" srcOrd="1" destOrd="0" presId="urn:microsoft.com/office/officeart/2005/8/layout/hierarchy6"/>
    <dgm:cxn modelId="{0891FD18-F4CD-4CE1-BF36-3724CE1E5342}" type="presParOf" srcId="{33424224-F24E-3A43-A5E1-4966FD3E5F69}" destId="{5C898253-548E-DA4F-B5CF-0D8464743193}" srcOrd="0" destOrd="0" presId="urn:microsoft.com/office/officeart/2005/8/layout/hierarchy6"/>
    <dgm:cxn modelId="{8164CB29-0FB9-4D06-8430-66BEEF906B79}" type="presParOf" srcId="{33424224-F24E-3A43-A5E1-4966FD3E5F69}" destId="{9EC81F4B-F6FF-0742-A473-AD35EBB2A246}" srcOrd="1" destOrd="0" presId="urn:microsoft.com/office/officeart/2005/8/layout/hierarchy6"/>
    <dgm:cxn modelId="{015EB8CD-8464-4C76-A5EB-E75F5DCA4804}" type="presParOf" srcId="{9EC81F4B-F6FF-0742-A473-AD35EBB2A246}" destId="{681CA204-4193-3A42-9412-6EBD5A9B1A3B}" srcOrd="0" destOrd="0" presId="urn:microsoft.com/office/officeart/2005/8/layout/hierarchy6"/>
    <dgm:cxn modelId="{E3C7E96D-6F3D-43D2-879A-E19664EC7AB6}" type="presParOf" srcId="{9EC81F4B-F6FF-0742-A473-AD35EBB2A246}" destId="{4299A0BF-E966-0344-BFCD-835296E0523B}" srcOrd="1" destOrd="0" presId="urn:microsoft.com/office/officeart/2005/8/layout/hierarchy6"/>
    <dgm:cxn modelId="{E13DDBEF-5DFC-4961-BAA4-2B8C918384D2}" type="presParOf" srcId="{1FC8C889-FED9-D342-9B80-B2ADD3C0C709}" destId="{52DFEFD5-E777-0B40-9876-8A86E56ACCFD}" srcOrd="6" destOrd="0" presId="urn:microsoft.com/office/officeart/2005/8/layout/hierarchy6"/>
    <dgm:cxn modelId="{D1BBC838-A62D-45C6-8CBF-385F4475B9BA}" type="presParOf" srcId="{1FC8C889-FED9-D342-9B80-B2ADD3C0C709}" destId="{7DF25F93-6717-F144-B10C-908BEB663F6E}" srcOrd="7" destOrd="0" presId="urn:microsoft.com/office/officeart/2005/8/layout/hierarchy6"/>
    <dgm:cxn modelId="{989B8596-1D50-426D-B77C-C4307A291C05}" type="presParOf" srcId="{7DF25F93-6717-F144-B10C-908BEB663F6E}" destId="{38082CAD-FF11-624D-BB5B-EAE17C644611}" srcOrd="0" destOrd="0" presId="urn:microsoft.com/office/officeart/2005/8/layout/hierarchy6"/>
    <dgm:cxn modelId="{93B4B90F-BE38-41CC-A6D5-3928365B3AAF}" type="presParOf" srcId="{7DF25F93-6717-F144-B10C-908BEB663F6E}" destId="{2B78167A-D2C7-6B48-9203-892286F75E93}" srcOrd="1" destOrd="0" presId="urn:microsoft.com/office/officeart/2005/8/layout/hierarchy6"/>
    <dgm:cxn modelId="{8654C1A0-9CFA-467A-B7E2-3E103197717D}" type="presParOf" srcId="{2B78167A-D2C7-6B48-9203-892286F75E93}" destId="{09A88717-8E93-D546-935B-85D3A6556405}" srcOrd="0" destOrd="0" presId="urn:microsoft.com/office/officeart/2005/8/layout/hierarchy6"/>
    <dgm:cxn modelId="{45BEAFE2-23BA-4155-A24D-8DB8CA97B356}" type="presParOf" srcId="{2B78167A-D2C7-6B48-9203-892286F75E93}" destId="{0AE929DA-1055-A847-A6B3-23B25DC95CCA}" srcOrd="1" destOrd="0" presId="urn:microsoft.com/office/officeart/2005/8/layout/hierarchy6"/>
    <dgm:cxn modelId="{D7BA6601-966B-456E-BED5-B4400ADDBD3A}" type="presParOf" srcId="{0AE929DA-1055-A847-A6B3-23B25DC95CCA}" destId="{31849D49-4FB4-5D44-B96B-45A423FB93FD}" srcOrd="0" destOrd="0" presId="urn:microsoft.com/office/officeart/2005/8/layout/hierarchy6"/>
    <dgm:cxn modelId="{B6DF7912-5068-4D4B-82BB-8AED7F9BAADC}" type="presParOf" srcId="{0AE929DA-1055-A847-A6B3-23B25DC95CCA}" destId="{B34A12F8-610D-2C49-A9F3-6126C2E7B87E}" srcOrd="1" destOrd="0" presId="urn:microsoft.com/office/officeart/2005/8/layout/hierarchy6"/>
    <dgm:cxn modelId="{CFDA4EEB-28DD-4FE2-990B-255138E29BB2}" type="presParOf" srcId="{B34A12F8-610D-2C49-A9F3-6126C2E7B87E}" destId="{4EF12772-E395-3F4F-AA83-20CB7EB080A7}" srcOrd="0" destOrd="0" presId="urn:microsoft.com/office/officeart/2005/8/layout/hierarchy6"/>
    <dgm:cxn modelId="{8690A321-CDDE-4C6C-82CA-3931BB9C273C}" type="presParOf" srcId="{B34A12F8-610D-2C49-A9F3-6126C2E7B87E}" destId="{2858935F-0048-6945-96B4-E10B0D028762}" srcOrd="1" destOrd="0" presId="urn:microsoft.com/office/officeart/2005/8/layout/hierarchy6"/>
    <dgm:cxn modelId="{1B1CCEAD-1AA3-4370-A5C4-78296034A423}" type="presParOf" srcId="{2858935F-0048-6945-96B4-E10B0D028762}" destId="{F13AC43B-3701-654C-A9CA-8B597AF5D20B}" srcOrd="0" destOrd="0" presId="urn:microsoft.com/office/officeart/2005/8/layout/hierarchy6"/>
    <dgm:cxn modelId="{A7C3604F-BF50-4076-8766-A6B93A74FBB3}" type="presParOf" srcId="{2858935F-0048-6945-96B4-E10B0D028762}" destId="{546B952E-44CB-6C4A-B499-6D644D1EB9DE}" srcOrd="1" destOrd="0" presId="urn:microsoft.com/office/officeart/2005/8/layout/hierarchy6"/>
    <dgm:cxn modelId="{113BCBDB-8FF0-460E-90FF-B0224B23A019}" type="presParOf" srcId="{1FC8C889-FED9-D342-9B80-B2ADD3C0C709}" destId="{2F7493ED-AEBB-7F4D-B24E-B156DF26D80A}" srcOrd="8" destOrd="0" presId="urn:microsoft.com/office/officeart/2005/8/layout/hierarchy6"/>
    <dgm:cxn modelId="{9A881467-D679-4E19-9CEA-954C733091C0}" type="presParOf" srcId="{1FC8C889-FED9-D342-9B80-B2ADD3C0C709}" destId="{609D34A2-93DE-0B47-ADDC-A1363910BBF9}" srcOrd="9" destOrd="0" presId="urn:microsoft.com/office/officeart/2005/8/layout/hierarchy6"/>
    <dgm:cxn modelId="{9830A74A-41E9-4187-A02B-6E1481828715}" type="presParOf" srcId="{609D34A2-93DE-0B47-ADDC-A1363910BBF9}" destId="{A4EA9C09-8BDB-8D4C-8898-AA92AB480B55}" srcOrd="0" destOrd="0" presId="urn:microsoft.com/office/officeart/2005/8/layout/hierarchy6"/>
    <dgm:cxn modelId="{904A33E0-97AF-4FA1-9C7E-29C2A0E4FD83}" type="presParOf" srcId="{609D34A2-93DE-0B47-ADDC-A1363910BBF9}" destId="{52A02CAA-E195-694C-B3F1-70985322B133}" srcOrd="1" destOrd="0" presId="urn:microsoft.com/office/officeart/2005/8/layout/hierarchy6"/>
    <dgm:cxn modelId="{04A106B1-2553-43E3-BE77-07983790A687}" type="presParOf" srcId="{1FC8C889-FED9-D342-9B80-B2ADD3C0C709}" destId="{FE84D422-D38E-E147-BBCA-B8672E335698}" srcOrd="10" destOrd="0" presId="urn:microsoft.com/office/officeart/2005/8/layout/hierarchy6"/>
    <dgm:cxn modelId="{B97C7A1B-BEAE-4EEC-9DD3-DE9CE73305A6}" type="presParOf" srcId="{1FC8C889-FED9-D342-9B80-B2ADD3C0C709}" destId="{69AADF95-7363-9D4E-B79E-2B85ED8C7899}" srcOrd="11" destOrd="0" presId="urn:microsoft.com/office/officeart/2005/8/layout/hierarchy6"/>
    <dgm:cxn modelId="{E96E10A5-1DA8-413C-8EC1-B7449D731C2F}" type="presParOf" srcId="{69AADF95-7363-9D4E-B79E-2B85ED8C7899}" destId="{34BDA8E4-074B-E24C-83B6-E761FE08AA16}" srcOrd="0" destOrd="0" presId="urn:microsoft.com/office/officeart/2005/8/layout/hierarchy6"/>
    <dgm:cxn modelId="{6CBFF691-8509-4393-ADFF-126EE034E802}" type="presParOf" srcId="{69AADF95-7363-9D4E-B79E-2B85ED8C7899}" destId="{44946649-6575-F74F-BF6B-8D5E4E37BDB0}" srcOrd="1" destOrd="0" presId="urn:microsoft.com/office/officeart/2005/8/layout/hierarchy6"/>
    <dgm:cxn modelId="{80CE20E3-6505-4B7E-9034-02B468754B30}" type="presParOf" srcId="{44946649-6575-F74F-BF6B-8D5E4E37BDB0}" destId="{7EB36DB8-3514-7340-A480-159548F62196}" srcOrd="0" destOrd="0" presId="urn:microsoft.com/office/officeart/2005/8/layout/hierarchy6"/>
    <dgm:cxn modelId="{1FA61FA0-7E6A-4829-B8CD-3D8256E6C7BC}" type="presParOf" srcId="{44946649-6575-F74F-BF6B-8D5E4E37BDB0}" destId="{FF27632D-4D7B-9D4F-BFC8-AD959ADE53BF}" srcOrd="1" destOrd="0" presId="urn:microsoft.com/office/officeart/2005/8/layout/hierarchy6"/>
    <dgm:cxn modelId="{72ADF227-D72C-4DE9-8377-B0B2F1E4F7B4}" type="presParOf" srcId="{FF27632D-4D7B-9D4F-BFC8-AD959ADE53BF}" destId="{AB694EDF-CA1D-6445-A44B-56A99ED1427E}" srcOrd="0" destOrd="0" presId="urn:microsoft.com/office/officeart/2005/8/layout/hierarchy6"/>
    <dgm:cxn modelId="{08F70D05-D3F2-4659-ABBD-81105CECEA9B}" type="presParOf" srcId="{FF27632D-4D7B-9D4F-BFC8-AD959ADE53BF}" destId="{31530A80-65F9-3043-82B0-F060182F43FA}" srcOrd="1" destOrd="0" presId="urn:microsoft.com/office/officeart/2005/8/layout/hierarchy6"/>
    <dgm:cxn modelId="{0F03A45F-70AE-4CD8-8542-AC35B504BD49}" type="presParOf" srcId="{31530A80-65F9-3043-82B0-F060182F43FA}" destId="{B1A33558-C3FD-3B43-BDA5-1ED83C38D871}" srcOrd="0" destOrd="0" presId="urn:microsoft.com/office/officeart/2005/8/layout/hierarchy6"/>
    <dgm:cxn modelId="{1B23F384-5A76-42F3-990B-E0BCF8FDD45C}" type="presParOf" srcId="{31530A80-65F9-3043-82B0-F060182F43FA}" destId="{5F037764-5E6A-734D-80AA-C2C62532F4A2}" srcOrd="1" destOrd="0" presId="urn:microsoft.com/office/officeart/2005/8/layout/hierarchy6"/>
    <dgm:cxn modelId="{FF96C5E2-6B84-4E75-B1CA-BF52EFFD3FE3}" type="presParOf" srcId="{5F037764-5E6A-734D-80AA-C2C62532F4A2}" destId="{44F850AE-ADB9-DC4D-B3CE-5C45F5F15B3E}" srcOrd="0" destOrd="0" presId="urn:microsoft.com/office/officeart/2005/8/layout/hierarchy6"/>
    <dgm:cxn modelId="{B544F077-2B59-4282-9105-4A049B33188F}" type="presParOf" srcId="{5F037764-5E6A-734D-80AA-C2C62532F4A2}" destId="{9802EA9A-56C7-2C43-9911-5B2701F4779B}" srcOrd="1" destOrd="0" presId="urn:microsoft.com/office/officeart/2005/8/layout/hierarchy6"/>
    <dgm:cxn modelId="{2382F5D8-2BAC-4382-94C1-36FAA039D447}" type="presParOf" srcId="{9802EA9A-56C7-2C43-9911-5B2701F4779B}" destId="{46CFD97B-B0E6-A54A-9802-F98DB8D4D6E8}" srcOrd="0" destOrd="0" presId="urn:microsoft.com/office/officeart/2005/8/layout/hierarchy6"/>
    <dgm:cxn modelId="{8F21F138-3ED8-429D-8D91-9C43AC8AC069}" type="presParOf" srcId="{9802EA9A-56C7-2C43-9911-5B2701F4779B}" destId="{57196567-5BC9-E54F-A021-4A63CFD0B434}" srcOrd="1" destOrd="0" presId="urn:microsoft.com/office/officeart/2005/8/layout/hierarchy6"/>
    <dgm:cxn modelId="{4F717535-657B-41EC-816D-46586E802D3D}" type="presParOf" srcId="{57196567-5BC9-E54F-A021-4A63CFD0B434}" destId="{77A67DB0-B265-BC43-A7CB-0CCB4E79D8E2}" srcOrd="0" destOrd="0" presId="urn:microsoft.com/office/officeart/2005/8/layout/hierarchy6"/>
    <dgm:cxn modelId="{A76911F7-AAD3-4AF0-8768-284F1F81228B}" type="presParOf" srcId="{57196567-5BC9-E54F-A021-4A63CFD0B434}" destId="{0D378720-F77A-504E-BDFF-528BDA39FC7D}" srcOrd="1" destOrd="0" presId="urn:microsoft.com/office/officeart/2005/8/layout/hierarchy6"/>
    <dgm:cxn modelId="{E3CB5D7E-72B5-4BA8-B2F6-4663E18B1A87}" type="presParOf" srcId="{1FC8C889-FED9-D342-9B80-B2ADD3C0C709}" destId="{060CC184-2F23-2448-85A5-F170983B1D05}" srcOrd="12" destOrd="0" presId="urn:microsoft.com/office/officeart/2005/8/layout/hierarchy6"/>
    <dgm:cxn modelId="{590FAE11-98EA-43CB-A2BC-972B9A14A888}" type="presParOf" srcId="{1FC8C889-FED9-D342-9B80-B2ADD3C0C709}" destId="{BB368485-931A-CE49-9D14-33CB9215D1F3}" srcOrd="13" destOrd="0" presId="urn:microsoft.com/office/officeart/2005/8/layout/hierarchy6"/>
    <dgm:cxn modelId="{1FD28E90-C478-47CE-ADB4-17541EEFE4BE}" type="presParOf" srcId="{BB368485-931A-CE49-9D14-33CB9215D1F3}" destId="{7ADAC34F-D397-8842-B46F-22D67905F0C8}" srcOrd="0" destOrd="0" presId="urn:microsoft.com/office/officeart/2005/8/layout/hierarchy6"/>
    <dgm:cxn modelId="{5AC21BC4-CF78-4262-9ABD-B9AFBF934F59}" type="presParOf" srcId="{BB368485-931A-CE49-9D14-33CB9215D1F3}" destId="{ECE00C53-67CE-F94B-935F-D498E8E48E2D}" srcOrd="1" destOrd="0" presId="urn:microsoft.com/office/officeart/2005/8/layout/hierarchy6"/>
    <dgm:cxn modelId="{7ACBB8A1-F7E8-4BA1-BDBC-2E1D177A25BD}" type="presParOf" srcId="{ECE00C53-67CE-F94B-935F-D498E8E48E2D}" destId="{C9566D97-C3F0-7F4F-B0B3-4F23B5612AEC}" srcOrd="0" destOrd="0" presId="urn:microsoft.com/office/officeart/2005/8/layout/hierarchy6"/>
    <dgm:cxn modelId="{BC637CE0-A1EF-4063-BDA0-50A5EC4057B5}" type="presParOf" srcId="{ECE00C53-67CE-F94B-935F-D498E8E48E2D}" destId="{50648C9E-0981-BF47-AA40-7CE5857FF5CD}" srcOrd="1" destOrd="0" presId="urn:microsoft.com/office/officeart/2005/8/layout/hierarchy6"/>
    <dgm:cxn modelId="{612338A7-7A3A-4CF4-A317-0A08776793EC}" type="presParOf" srcId="{50648C9E-0981-BF47-AA40-7CE5857FF5CD}" destId="{5FFCCE20-97FB-9B4B-B626-B86C40ADBABD}" srcOrd="0" destOrd="0" presId="urn:microsoft.com/office/officeart/2005/8/layout/hierarchy6"/>
    <dgm:cxn modelId="{7116B45F-2911-493A-A460-208F81E5AD5D}" type="presParOf" srcId="{50648C9E-0981-BF47-AA40-7CE5857FF5CD}" destId="{EC906E19-C382-A14D-B707-3302B27284FF}" srcOrd="1" destOrd="0" presId="urn:microsoft.com/office/officeart/2005/8/layout/hierarchy6"/>
    <dgm:cxn modelId="{0C438FAA-84E4-45BC-A112-AB811B08A5A7}" type="presParOf" srcId="{1FC8C889-FED9-D342-9B80-B2ADD3C0C709}" destId="{6020B5B9-8A87-B349-A4D7-B722917DFA10}" srcOrd="14" destOrd="0" presId="urn:microsoft.com/office/officeart/2005/8/layout/hierarchy6"/>
    <dgm:cxn modelId="{B40B6ED3-3BBF-4896-87CB-060B3024002E}" type="presParOf" srcId="{1FC8C889-FED9-D342-9B80-B2ADD3C0C709}" destId="{08E76752-FED3-A24E-B056-0199EACA4F95}" srcOrd="15" destOrd="0" presId="urn:microsoft.com/office/officeart/2005/8/layout/hierarchy6"/>
    <dgm:cxn modelId="{CB12D870-AAEE-4952-B7BC-FAC3017BFEEE}" type="presParOf" srcId="{08E76752-FED3-A24E-B056-0199EACA4F95}" destId="{D010171C-E8BF-3849-A32B-5F1E7A65FCD6}" srcOrd="0" destOrd="0" presId="urn:microsoft.com/office/officeart/2005/8/layout/hierarchy6"/>
    <dgm:cxn modelId="{8D018C64-F380-437F-ADE3-B7396E2E432C}" type="presParOf" srcId="{08E76752-FED3-A24E-B056-0199EACA4F95}" destId="{D94E4251-85CE-E345-978C-9DFE03F99970}" srcOrd="1" destOrd="0" presId="urn:microsoft.com/office/officeart/2005/8/layout/hierarchy6"/>
    <dgm:cxn modelId="{A0632A59-8629-484B-9C62-D28C303D7909}" type="presParOf" srcId="{4A1AC22C-73F0-7E48-8BE3-F91FDFA0CB76}" destId="{AF8EF975-95A8-E84F-9EB8-36511B5F37DE}" srcOrd="1" destOrd="0" presId="urn:microsoft.com/office/officeart/2005/8/layout/hierarchy6"/>
    <dgm:cxn modelId="{A60D3B13-AB31-4EFE-833F-61493E6A7F48}" type="presParOf" srcId="{AF8EF975-95A8-E84F-9EB8-36511B5F37DE}" destId="{7258129A-3F1D-B64A-8580-8ACEA0D7AAD2}" srcOrd="0" destOrd="0" presId="urn:microsoft.com/office/officeart/2005/8/layout/hierarchy6"/>
    <dgm:cxn modelId="{45464FBA-5D97-4DA6-8A1B-38C925FBFC9C}" type="presParOf" srcId="{7258129A-3F1D-B64A-8580-8ACEA0D7AAD2}" destId="{C90DF278-E356-2C49-9278-72956A827DBF}" srcOrd="0" destOrd="0" presId="urn:microsoft.com/office/officeart/2005/8/layout/hierarchy6"/>
    <dgm:cxn modelId="{378B773D-64F9-4495-96D4-4278C81406EA}" type="presParOf" srcId="{7258129A-3F1D-B64A-8580-8ACEA0D7AAD2}" destId="{8D0E4A8A-B041-6349-A168-22675ABE1E24}" srcOrd="1" destOrd="0" presId="urn:microsoft.com/office/officeart/2005/8/layout/hierarchy6"/>
    <dgm:cxn modelId="{B385EC5A-352D-4F6E-8602-850F890C6A9F}" type="presParOf" srcId="{AF8EF975-95A8-E84F-9EB8-36511B5F37DE}" destId="{AD7E408C-8CBC-A949-8A49-7A6531776A63}" srcOrd="1" destOrd="0" presId="urn:microsoft.com/office/officeart/2005/8/layout/hierarchy6"/>
    <dgm:cxn modelId="{F14A5645-441A-4427-9631-8ACB686D8F37}" type="presParOf" srcId="{AD7E408C-8CBC-A949-8A49-7A6531776A63}" destId="{6BB120F3-5281-1F48-898D-576B886090DE}" srcOrd="0" destOrd="0" presId="urn:microsoft.com/office/officeart/2005/8/layout/hierarchy6"/>
    <dgm:cxn modelId="{6011E921-9994-4DDF-838A-1BE40412D78F}" type="presParOf" srcId="{AF8EF975-95A8-E84F-9EB8-36511B5F37DE}" destId="{EA36A1CA-E34D-064B-8FBC-B04C3AD10445}" srcOrd="2" destOrd="0" presId="urn:microsoft.com/office/officeart/2005/8/layout/hierarchy6"/>
    <dgm:cxn modelId="{3EB55804-6EA3-44A0-97D8-2150B2F55963}" type="presParOf" srcId="{EA36A1CA-E34D-064B-8FBC-B04C3AD10445}" destId="{A971637C-39EB-854B-B9B5-975A26144568}" srcOrd="0" destOrd="0" presId="urn:microsoft.com/office/officeart/2005/8/layout/hierarchy6"/>
    <dgm:cxn modelId="{B0C38535-1BB8-4E94-ABE1-19ABFF0DE6BF}" type="presParOf" srcId="{EA36A1CA-E34D-064B-8FBC-B04C3AD10445}" destId="{6937AF52-DCCC-6540-A0E8-CA796F11987C}" srcOrd="1" destOrd="0" presId="urn:microsoft.com/office/officeart/2005/8/layout/hierarchy6"/>
    <dgm:cxn modelId="{623B620B-A166-4F5E-9F41-49F2F70CC5CF}" type="presParOf" srcId="{AF8EF975-95A8-E84F-9EB8-36511B5F37DE}" destId="{F30FA9A4-FDD2-3F46-8F9E-C00CC22B7C66}" srcOrd="3" destOrd="0" presId="urn:microsoft.com/office/officeart/2005/8/layout/hierarchy6"/>
    <dgm:cxn modelId="{5E10DD1B-8D0E-403B-AB38-5481D6570D0C}" type="presParOf" srcId="{F30FA9A4-FDD2-3F46-8F9E-C00CC22B7C66}" destId="{FFCCB4EE-2735-7845-A30F-A0ED3661B9CF}" srcOrd="0" destOrd="0" presId="urn:microsoft.com/office/officeart/2005/8/layout/hierarchy6"/>
    <dgm:cxn modelId="{B455D533-F083-487F-B678-5C55A046794D}" type="presParOf" srcId="{AF8EF975-95A8-E84F-9EB8-36511B5F37DE}" destId="{FFB4FA38-DD1B-9846-B7F5-EC8431C483AB}" srcOrd="4" destOrd="0" presId="urn:microsoft.com/office/officeart/2005/8/layout/hierarchy6"/>
    <dgm:cxn modelId="{6996D1B8-B58B-4018-92CB-BD05D18A7D35}" type="presParOf" srcId="{FFB4FA38-DD1B-9846-B7F5-EC8431C483AB}" destId="{FE92E8C1-4F22-0441-BD9A-6800DEFC0AF3}" srcOrd="0" destOrd="0" presId="urn:microsoft.com/office/officeart/2005/8/layout/hierarchy6"/>
    <dgm:cxn modelId="{9651CCB3-A693-416E-AA89-E586A92CC18E}" type="presParOf" srcId="{FFB4FA38-DD1B-9846-B7F5-EC8431C483AB}" destId="{EFC1EB44-904D-6C45-BBDC-BCC8562B1B63}" srcOrd="1" destOrd="0" presId="urn:microsoft.com/office/officeart/2005/8/layout/hierarchy6"/>
    <dgm:cxn modelId="{C2A7CAFF-CF4C-4829-9193-D9988CA9BD20}" type="presParOf" srcId="{AF8EF975-95A8-E84F-9EB8-36511B5F37DE}" destId="{4FECFF06-8BA8-F844-8B85-6AD9EBBBD16D}" srcOrd="5" destOrd="0" presId="urn:microsoft.com/office/officeart/2005/8/layout/hierarchy6"/>
    <dgm:cxn modelId="{449EF566-8EB7-43D9-B7CF-75AE0676A834}" type="presParOf" srcId="{4FECFF06-8BA8-F844-8B85-6AD9EBBBD16D}" destId="{3E6CECCD-DEAE-B544-9BB7-2490C0848322}" srcOrd="0" destOrd="0" presId="urn:microsoft.com/office/officeart/2005/8/layout/hierarchy6"/>
    <dgm:cxn modelId="{34B5EC9C-FA3A-4E8E-8903-F8D9D7EE2331}" type="presParOf" srcId="{AF8EF975-95A8-E84F-9EB8-36511B5F37DE}" destId="{71AD9E40-C677-2C4C-8657-F5B8594F0C6B}" srcOrd="6" destOrd="0" presId="urn:microsoft.com/office/officeart/2005/8/layout/hierarchy6"/>
    <dgm:cxn modelId="{6BA6DE0B-228C-4D1A-8EFC-A319AA278D8B}" type="presParOf" srcId="{71AD9E40-C677-2C4C-8657-F5B8594F0C6B}" destId="{7F955147-9AEA-D94B-80AB-3AAD06E26597}" srcOrd="0" destOrd="0" presId="urn:microsoft.com/office/officeart/2005/8/layout/hierarchy6"/>
    <dgm:cxn modelId="{82BFCD6B-B9DB-4A23-9725-C9401D05C8CE}" type="presParOf" srcId="{71AD9E40-C677-2C4C-8657-F5B8594F0C6B}" destId="{32568ED0-F14F-D54E-A287-5B1EE2F42C70}" srcOrd="1" destOrd="0" presId="urn:microsoft.com/office/officeart/2005/8/layout/hierarchy6"/>
    <dgm:cxn modelId="{C489C3C5-0D69-4F8D-9123-9505ECEBF427}" type="presParOf" srcId="{AF8EF975-95A8-E84F-9EB8-36511B5F37DE}" destId="{9165EC84-F21D-4544-A2E3-0B45676B3813}" srcOrd="7" destOrd="0" presId="urn:microsoft.com/office/officeart/2005/8/layout/hierarchy6"/>
    <dgm:cxn modelId="{19C8D166-4F30-44D3-9F3B-795C783D3264}" type="presParOf" srcId="{9165EC84-F21D-4544-A2E3-0B45676B3813}" destId="{45E791EC-077B-034D-B3EA-0D2A89590C23}" srcOrd="0" destOrd="0" presId="urn:microsoft.com/office/officeart/2005/8/layout/hierarchy6"/>
    <dgm:cxn modelId="{F0453E43-FAB0-41AE-9F51-92F8B26FAEB3}" type="presParOf" srcId="{AF8EF975-95A8-E84F-9EB8-36511B5F37DE}" destId="{E2EBAE37-0306-BA45-9B83-2FDF061FFB84}" srcOrd="8" destOrd="0" presId="urn:microsoft.com/office/officeart/2005/8/layout/hierarchy6"/>
    <dgm:cxn modelId="{4783F81E-4390-42CF-B489-FBC07E762494}" type="presParOf" srcId="{E2EBAE37-0306-BA45-9B83-2FDF061FFB84}" destId="{F02FA628-FE3C-0745-8728-F80F8402BD4D}" srcOrd="0" destOrd="0" presId="urn:microsoft.com/office/officeart/2005/8/layout/hierarchy6"/>
    <dgm:cxn modelId="{A0970797-319D-4C9B-9FAF-F5DB40630153}" type="presParOf" srcId="{E2EBAE37-0306-BA45-9B83-2FDF061FFB84}" destId="{658DC685-8E55-5B4E-812B-7CE2BF8BDD1C}" srcOrd="1" destOrd="0" presId="urn:microsoft.com/office/officeart/2005/8/layout/hierarchy6"/>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B8B8612-77FB-954F-8B4D-85F5FB94AE45}" type="doc">
      <dgm:prSet loTypeId="urn:microsoft.com/office/officeart/2005/8/layout/process4" loCatId="" qsTypeId="urn:microsoft.com/office/officeart/2005/8/quickstyle/simple1" qsCatId="simple" csTypeId="urn:microsoft.com/office/officeart/2005/8/colors/accent4_5" csCatId="accent4" phldr="1"/>
      <dgm:spPr/>
      <dgm:t>
        <a:bodyPr/>
        <a:lstStyle/>
        <a:p>
          <a:endParaRPr lang="fr-FR"/>
        </a:p>
      </dgm:t>
    </dgm:pt>
    <dgm:pt modelId="{B9BCEA11-4DF8-7A4A-9023-1C688A34996D}">
      <dgm:prSet phldrT="[Texte]" custT="1"/>
      <dgm:spPr/>
      <dgm:t>
        <a:bodyPr/>
        <a:lstStyle/>
        <a:p>
          <a:r>
            <a:rPr lang="fr-FR" sz="1200"/>
            <a:t>ENI CBC Overarching Strategic Objective A</a:t>
          </a:r>
        </a:p>
      </dgm:t>
    </dgm:pt>
    <dgm:pt modelId="{DD67A57A-7A8A-EC4D-92D0-67B864110427}" type="parTrans" cxnId="{ACCFB2D7-BD8B-114C-B5F8-169D718DFFD0}">
      <dgm:prSet/>
      <dgm:spPr/>
      <dgm:t>
        <a:bodyPr/>
        <a:lstStyle/>
        <a:p>
          <a:endParaRPr lang="fr-FR"/>
        </a:p>
      </dgm:t>
    </dgm:pt>
    <dgm:pt modelId="{74850DD5-D7B5-AF44-AED0-415B7D79E98A}" type="sibTrans" cxnId="{ACCFB2D7-BD8B-114C-B5F8-169D718DFFD0}">
      <dgm:prSet/>
      <dgm:spPr/>
      <dgm:t>
        <a:bodyPr/>
        <a:lstStyle/>
        <a:p>
          <a:endParaRPr lang="fr-FR"/>
        </a:p>
      </dgm:t>
    </dgm:pt>
    <dgm:pt modelId="{29A0D074-3E59-A449-A042-B4D5992CD7A1}">
      <dgm:prSet phldrT="[Texte]"/>
      <dgm:spPr/>
      <dgm:t>
        <a:bodyPr/>
        <a:lstStyle/>
        <a:p>
          <a:r>
            <a:rPr lang="en-GB"/>
            <a:t>Promote economic and social development in regions on both sides of common borders</a:t>
          </a:r>
          <a:endParaRPr lang="fr-FR"/>
        </a:p>
      </dgm:t>
    </dgm:pt>
    <dgm:pt modelId="{090D49B7-B97E-174D-B6B1-770E0B657351}" type="parTrans" cxnId="{76EDC30E-D0C0-1D43-A79A-8B11CB6967E3}">
      <dgm:prSet/>
      <dgm:spPr/>
      <dgm:t>
        <a:bodyPr/>
        <a:lstStyle/>
        <a:p>
          <a:endParaRPr lang="fr-FR"/>
        </a:p>
      </dgm:t>
    </dgm:pt>
    <dgm:pt modelId="{F4F13387-58B5-454A-8498-EAD7412CAE1A}" type="sibTrans" cxnId="{76EDC30E-D0C0-1D43-A79A-8B11CB6967E3}">
      <dgm:prSet/>
      <dgm:spPr/>
      <dgm:t>
        <a:bodyPr/>
        <a:lstStyle/>
        <a:p>
          <a:endParaRPr lang="fr-FR"/>
        </a:p>
      </dgm:t>
    </dgm:pt>
    <dgm:pt modelId="{D24582B5-DCCE-614D-ACDA-1B1819BF2FBE}">
      <dgm:prSet phldrT="[Texte]" custT="1"/>
      <dgm:spPr/>
      <dgm:t>
        <a:bodyPr/>
        <a:lstStyle/>
        <a:p>
          <a:r>
            <a:rPr lang="fr-FR" sz="1200"/>
            <a:t>ENI CBC Thematic Objective 1</a:t>
          </a:r>
        </a:p>
      </dgm:t>
    </dgm:pt>
    <dgm:pt modelId="{47A499FE-AC1C-FC4E-904F-29F039629FBD}" type="parTrans" cxnId="{7539759B-C128-7A40-8680-F4CE00398EA9}">
      <dgm:prSet/>
      <dgm:spPr/>
      <dgm:t>
        <a:bodyPr/>
        <a:lstStyle/>
        <a:p>
          <a:endParaRPr lang="fr-FR"/>
        </a:p>
      </dgm:t>
    </dgm:pt>
    <dgm:pt modelId="{9C7B6D34-6D42-2342-8A10-DFD9A54E9836}" type="sibTrans" cxnId="{7539759B-C128-7A40-8680-F4CE00398EA9}">
      <dgm:prSet/>
      <dgm:spPr/>
      <dgm:t>
        <a:bodyPr/>
        <a:lstStyle/>
        <a:p>
          <a:endParaRPr lang="fr-FR"/>
        </a:p>
      </dgm:t>
    </dgm:pt>
    <dgm:pt modelId="{19E19C0F-AF5B-2A46-A2FB-5A0537B53EBF}">
      <dgm:prSet phldrT="[Texte]" custT="1"/>
      <dgm:spPr/>
      <dgm:t>
        <a:bodyPr/>
        <a:lstStyle/>
        <a:p>
          <a:r>
            <a:rPr lang="fr-FR" sz="1200"/>
            <a:t>Business and SME development</a:t>
          </a:r>
        </a:p>
      </dgm:t>
    </dgm:pt>
    <dgm:pt modelId="{F6961F8A-121C-3248-9602-4918D90D7036}" type="parTrans" cxnId="{B88A1DFF-79E2-C04C-BB32-C36BF38DD4D2}">
      <dgm:prSet/>
      <dgm:spPr/>
      <dgm:t>
        <a:bodyPr/>
        <a:lstStyle/>
        <a:p>
          <a:endParaRPr lang="fr-FR"/>
        </a:p>
      </dgm:t>
    </dgm:pt>
    <dgm:pt modelId="{4B5C7BB0-DDEE-A14F-A878-98E16C02F5C2}" type="sibTrans" cxnId="{B88A1DFF-79E2-C04C-BB32-C36BF38DD4D2}">
      <dgm:prSet/>
      <dgm:spPr/>
      <dgm:t>
        <a:bodyPr/>
        <a:lstStyle/>
        <a:p>
          <a:endParaRPr lang="fr-FR"/>
        </a:p>
      </dgm:t>
    </dgm:pt>
    <dgm:pt modelId="{5BCF6014-5D8E-294A-B26E-EB67CEBA2A75}">
      <dgm:prSet phldrT="[Texte]" custT="1"/>
      <dgm:spPr/>
      <dgm:t>
        <a:bodyPr/>
        <a:lstStyle/>
        <a:p>
          <a:r>
            <a:rPr lang="fr-FR" sz="1200"/>
            <a:t>Black Sea Basin Programme Objective 1</a:t>
          </a:r>
        </a:p>
      </dgm:t>
    </dgm:pt>
    <dgm:pt modelId="{A916E58A-7E6C-1340-8D5A-6C57865D2D16}" type="parTrans" cxnId="{60ADC3C4-02D9-E240-9D22-A1EEFD017C0D}">
      <dgm:prSet/>
      <dgm:spPr/>
      <dgm:t>
        <a:bodyPr/>
        <a:lstStyle/>
        <a:p>
          <a:endParaRPr lang="fr-FR"/>
        </a:p>
      </dgm:t>
    </dgm:pt>
    <dgm:pt modelId="{BCB190A3-5349-1B41-866F-7A5768797584}" type="sibTrans" cxnId="{60ADC3C4-02D9-E240-9D22-A1EEFD017C0D}">
      <dgm:prSet/>
      <dgm:spPr/>
      <dgm:t>
        <a:bodyPr/>
        <a:lstStyle/>
        <a:p>
          <a:endParaRPr lang="fr-FR"/>
        </a:p>
      </dgm:t>
    </dgm:pt>
    <dgm:pt modelId="{B5E03A3A-0DFE-0548-B18E-D20ADEB346AB}">
      <dgm:prSet phldrT="[Texte]"/>
      <dgm:spPr/>
      <dgm:t>
        <a:bodyPr/>
        <a:lstStyle/>
        <a:p>
          <a:r>
            <a:rPr lang="en-GB" b="0"/>
            <a:t>Promote business and entrepreneurship within the Black Sea Basin </a:t>
          </a:r>
          <a:endParaRPr lang="fr-FR" b="0"/>
        </a:p>
      </dgm:t>
    </dgm:pt>
    <dgm:pt modelId="{FF15CBC5-26A2-6048-889B-36648920B6B3}" type="parTrans" cxnId="{D803D840-4F92-6446-B88B-C150B9B36880}">
      <dgm:prSet/>
      <dgm:spPr/>
      <dgm:t>
        <a:bodyPr/>
        <a:lstStyle/>
        <a:p>
          <a:endParaRPr lang="fr-FR"/>
        </a:p>
      </dgm:t>
    </dgm:pt>
    <dgm:pt modelId="{3F7D471E-521D-4A48-BA9E-61E02EC707F8}" type="sibTrans" cxnId="{D803D840-4F92-6446-B88B-C150B9B36880}">
      <dgm:prSet/>
      <dgm:spPr/>
      <dgm:t>
        <a:bodyPr/>
        <a:lstStyle/>
        <a:p>
          <a:endParaRPr lang="fr-FR"/>
        </a:p>
      </dgm:t>
    </dgm:pt>
    <dgm:pt modelId="{0C806010-91FA-FC40-9264-D1711C8010F8}" type="pres">
      <dgm:prSet presAssocID="{AB8B8612-77FB-954F-8B4D-85F5FB94AE45}" presName="Name0" presStyleCnt="0">
        <dgm:presLayoutVars>
          <dgm:dir/>
          <dgm:animLvl val="lvl"/>
          <dgm:resizeHandles val="exact"/>
        </dgm:presLayoutVars>
      </dgm:prSet>
      <dgm:spPr/>
      <dgm:t>
        <a:bodyPr/>
        <a:lstStyle/>
        <a:p>
          <a:endParaRPr lang="fr-FR"/>
        </a:p>
      </dgm:t>
    </dgm:pt>
    <dgm:pt modelId="{9823E97E-B34A-C34C-A0C3-C56A8B1738FC}" type="pres">
      <dgm:prSet presAssocID="{5BCF6014-5D8E-294A-B26E-EB67CEBA2A75}" presName="boxAndChildren" presStyleCnt="0"/>
      <dgm:spPr/>
    </dgm:pt>
    <dgm:pt modelId="{BF13155E-E1D4-C94E-840D-E3B6147F579F}" type="pres">
      <dgm:prSet presAssocID="{5BCF6014-5D8E-294A-B26E-EB67CEBA2A75}" presName="parentTextBox" presStyleLbl="node1" presStyleIdx="0" presStyleCnt="3"/>
      <dgm:spPr/>
      <dgm:t>
        <a:bodyPr/>
        <a:lstStyle/>
        <a:p>
          <a:endParaRPr lang="fr-FR"/>
        </a:p>
      </dgm:t>
    </dgm:pt>
    <dgm:pt modelId="{936A3711-A388-FB49-BFF6-552795C30A53}" type="pres">
      <dgm:prSet presAssocID="{5BCF6014-5D8E-294A-B26E-EB67CEBA2A75}" presName="entireBox" presStyleLbl="node1" presStyleIdx="0" presStyleCnt="3" custLinFactNeighborY="1049"/>
      <dgm:spPr/>
      <dgm:t>
        <a:bodyPr/>
        <a:lstStyle/>
        <a:p>
          <a:endParaRPr lang="fr-FR"/>
        </a:p>
      </dgm:t>
    </dgm:pt>
    <dgm:pt modelId="{0E41FF41-CC5E-814F-AC06-DAEF1CAF8352}" type="pres">
      <dgm:prSet presAssocID="{5BCF6014-5D8E-294A-B26E-EB67CEBA2A75}" presName="descendantBox" presStyleCnt="0"/>
      <dgm:spPr/>
    </dgm:pt>
    <dgm:pt modelId="{B11730FB-18E1-C943-B084-4CDF1F59127B}" type="pres">
      <dgm:prSet presAssocID="{B5E03A3A-0DFE-0548-B18E-D20ADEB346AB}" presName="childTextBox" presStyleLbl="fgAccFollowNode1" presStyleIdx="0" presStyleCnt="3">
        <dgm:presLayoutVars>
          <dgm:bulletEnabled val="1"/>
        </dgm:presLayoutVars>
      </dgm:prSet>
      <dgm:spPr/>
      <dgm:t>
        <a:bodyPr/>
        <a:lstStyle/>
        <a:p>
          <a:endParaRPr lang="fr-FR"/>
        </a:p>
      </dgm:t>
    </dgm:pt>
    <dgm:pt modelId="{0056E223-4919-5841-B300-29C7E7C262C1}" type="pres">
      <dgm:prSet presAssocID="{9C7B6D34-6D42-2342-8A10-DFD9A54E9836}" presName="sp" presStyleCnt="0"/>
      <dgm:spPr/>
    </dgm:pt>
    <dgm:pt modelId="{E12FFFDB-907F-7846-918E-A80AD247B760}" type="pres">
      <dgm:prSet presAssocID="{D24582B5-DCCE-614D-ACDA-1B1819BF2FBE}" presName="arrowAndChildren" presStyleCnt="0"/>
      <dgm:spPr/>
    </dgm:pt>
    <dgm:pt modelId="{AD4AA184-E06C-1343-BDF3-D32F35A6F300}" type="pres">
      <dgm:prSet presAssocID="{D24582B5-DCCE-614D-ACDA-1B1819BF2FBE}" presName="parentTextArrow" presStyleLbl="node1" presStyleIdx="0" presStyleCnt="3"/>
      <dgm:spPr/>
      <dgm:t>
        <a:bodyPr/>
        <a:lstStyle/>
        <a:p>
          <a:endParaRPr lang="fr-FR"/>
        </a:p>
      </dgm:t>
    </dgm:pt>
    <dgm:pt modelId="{56F73381-5B2C-D24B-B832-B5FAE6BF7A7E}" type="pres">
      <dgm:prSet presAssocID="{D24582B5-DCCE-614D-ACDA-1B1819BF2FBE}" presName="arrow" presStyleLbl="node1" presStyleIdx="1" presStyleCnt="3"/>
      <dgm:spPr/>
      <dgm:t>
        <a:bodyPr/>
        <a:lstStyle/>
        <a:p>
          <a:endParaRPr lang="fr-FR"/>
        </a:p>
      </dgm:t>
    </dgm:pt>
    <dgm:pt modelId="{BA2DF540-A247-F84F-A8DD-20534248739B}" type="pres">
      <dgm:prSet presAssocID="{D24582B5-DCCE-614D-ACDA-1B1819BF2FBE}" presName="descendantArrow" presStyleCnt="0"/>
      <dgm:spPr/>
    </dgm:pt>
    <dgm:pt modelId="{1A2A1C0C-BF5A-0847-8E7B-04D461F52224}" type="pres">
      <dgm:prSet presAssocID="{19E19C0F-AF5B-2A46-A2FB-5A0537B53EBF}" presName="childTextArrow" presStyleLbl="fgAccFollowNode1" presStyleIdx="1" presStyleCnt="3">
        <dgm:presLayoutVars>
          <dgm:bulletEnabled val="1"/>
        </dgm:presLayoutVars>
      </dgm:prSet>
      <dgm:spPr/>
      <dgm:t>
        <a:bodyPr/>
        <a:lstStyle/>
        <a:p>
          <a:endParaRPr lang="fr-FR"/>
        </a:p>
      </dgm:t>
    </dgm:pt>
    <dgm:pt modelId="{92394C7B-B3DC-D942-9EAE-B273069C8A9A}" type="pres">
      <dgm:prSet presAssocID="{74850DD5-D7B5-AF44-AED0-415B7D79E98A}" presName="sp" presStyleCnt="0"/>
      <dgm:spPr/>
    </dgm:pt>
    <dgm:pt modelId="{827199D0-4FA4-1B43-A9F9-676E1B001FE1}" type="pres">
      <dgm:prSet presAssocID="{B9BCEA11-4DF8-7A4A-9023-1C688A34996D}" presName="arrowAndChildren" presStyleCnt="0"/>
      <dgm:spPr/>
    </dgm:pt>
    <dgm:pt modelId="{90F00A74-CD56-0642-BBA2-6588A72D2CEC}" type="pres">
      <dgm:prSet presAssocID="{B9BCEA11-4DF8-7A4A-9023-1C688A34996D}" presName="parentTextArrow" presStyleLbl="node1" presStyleIdx="1" presStyleCnt="3"/>
      <dgm:spPr/>
      <dgm:t>
        <a:bodyPr/>
        <a:lstStyle/>
        <a:p>
          <a:endParaRPr lang="fr-FR"/>
        </a:p>
      </dgm:t>
    </dgm:pt>
    <dgm:pt modelId="{1F20F8E4-735C-9148-8848-5FB51BE7FC46}" type="pres">
      <dgm:prSet presAssocID="{B9BCEA11-4DF8-7A4A-9023-1C688A34996D}" presName="arrow" presStyleLbl="node1" presStyleIdx="2" presStyleCnt="3"/>
      <dgm:spPr/>
      <dgm:t>
        <a:bodyPr/>
        <a:lstStyle/>
        <a:p>
          <a:endParaRPr lang="fr-FR"/>
        </a:p>
      </dgm:t>
    </dgm:pt>
    <dgm:pt modelId="{8B636B42-2EB2-4745-BC3A-704FC1AF5A11}" type="pres">
      <dgm:prSet presAssocID="{B9BCEA11-4DF8-7A4A-9023-1C688A34996D}" presName="descendantArrow" presStyleCnt="0"/>
      <dgm:spPr/>
    </dgm:pt>
    <dgm:pt modelId="{87155499-1E5A-8E48-BFC0-FF4E62E7012B}" type="pres">
      <dgm:prSet presAssocID="{29A0D074-3E59-A449-A042-B4D5992CD7A1}" presName="childTextArrow" presStyleLbl="fgAccFollowNode1" presStyleIdx="2" presStyleCnt="3">
        <dgm:presLayoutVars>
          <dgm:bulletEnabled val="1"/>
        </dgm:presLayoutVars>
      </dgm:prSet>
      <dgm:spPr/>
      <dgm:t>
        <a:bodyPr/>
        <a:lstStyle/>
        <a:p>
          <a:endParaRPr lang="fr-FR"/>
        </a:p>
      </dgm:t>
    </dgm:pt>
  </dgm:ptLst>
  <dgm:cxnLst>
    <dgm:cxn modelId="{E360C08B-948A-431F-8E69-A9ECDF369F08}" type="presOf" srcId="{5BCF6014-5D8E-294A-B26E-EB67CEBA2A75}" destId="{936A3711-A388-FB49-BFF6-552795C30A53}" srcOrd="1" destOrd="0" presId="urn:microsoft.com/office/officeart/2005/8/layout/process4"/>
    <dgm:cxn modelId="{4327F810-86E5-4372-922A-D955715CFAFA}" type="presOf" srcId="{B5E03A3A-0DFE-0548-B18E-D20ADEB346AB}" destId="{B11730FB-18E1-C943-B084-4CDF1F59127B}" srcOrd="0" destOrd="0" presId="urn:microsoft.com/office/officeart/2005/8/layout/process4"/>
    <dgm:cxn modelId="{D89DCFE0-EC37-4CF0-8DEF-3A62B3A1C39B}" type="presOf" srcId="{19E19C0F-AF5B-2A46-A2FB-5A0537B53EBF}" destId="{1A2A1C0C-BF5A-0847-8E7B-04D461F52224}" srcOrd="0" destOrd="0" presId="urn:microsoft.com/office/officeart/2005/8/layout/process4"/>
    <dgm:cxn modelId="{6AF74F6C-8B6B-40EF-A217-3DB39D936735}" type="presOf" srcId="{5BCF6014-5D8E-294A-B26E-EB67CEBA2A75}" destId="{BF13155E-E1D4-C94E-840D-E3B6147F579F}" srcOrd="0" destOrd="0" presId="urn:microsoft.com/office/officeart/2005/8/layout/process4"/>
    <dgm:cxn modelId="{F505A907-A70F-4DC2-970E-F2AA9983E7A9}" type="presOf" srcId="{29A0D074-3E59-A449-A042-B4D5992CD7A1}" destId="{87155499-1E5A-8E48-BFC0-FF4E62E7012B}" srcOrd="0" destOrd="0" presId="urn:microsoft.com/office/officeart/2005/8/layout/process4"/>
    <dgm:cxn modelId="{B88A1DFF-79E2-C04C-BB32-C36BF38DD4D2}" srcId="{D24582B5-DCCE-614D-ACDA-1B1819BF2FBE}" destId="{19E19C0F-AF5B-2A46-A2FB-5A0537B53EBF}" srcOrd="0" destOrd="0" parTransId="{F6961F8A-121C-3248-9602-4918D90D7036}" sibTransId="{4B5C7BB0-DDEE-A14F-A878-98E16C02F5C2}"/>
    <dgm:cxn modelId="{3BF60C7E-134A-4F00-9ED9-CC60566087F9}" type="presOf" srcId="{D24582B5-DCCE-614D-ACDA-1B1819BF2FBE}" destId="{AD4AA184-E06C-1343-BDF3-D32F35A6F300}" srcOrd="0" destOrd="0" presId="urn:microsoft.com/office/officeart/2005/8/layout/process4"/>
    <dgm:cxn modelId="{A76F97AF-83B3-4969-AF0D-ABB995F45997}" type="presOf" srcId="{D24582B5-DCCE-614D-ACDA-1B1819BF2FBE}" destId="{56F73381-5B2C-D24B-B832-B5FAE6BF7A7E}" srcOrd="1" destOrd="0" presId="urn:microsoft.com/office/officeart/2005/8/layout/process4"/>
    <dgm:cxn modelId="{76EDC30E-D0C0-1D43-A79A-8B11CB6967E3}" srcId="{B9BCEA11-4DF8-7A4A-9023-1C688A34996D}" destId="{29A0D074-3E59-A449-A042-B4D5992CD7A1}" srcOrd="0" destOrd="0" parTransId="{090D49B7-B97E-174D-B6B1-770E0B657351}" sibTransId="{F4F13387-58B5-454A-8498-EAD7412CAE1A}"/>
    <dgm:cxn modelId="{2F41EB2C-AAD7-4837-A661-CF0713C0A8C9}" type="presOf" srcId="{B9BCEA11-4DF8-7A4A-9023-1C688A34996D}" destId="{90F00A74-CD56-0642-BBA2-6588A72D2CEC}" srcOrd="0" destOrd="0" presId="urn:microsoft.com/office/officeart/2005/8/layout/process4"/>
    <dgm:cxn modelId="{3A718D90-7896-4C28-8697-78896FEA98AB}" type="presOf" srcId="{B9BCEA11-4DF8-7A4A-9023-1C688A34996D}" destId="{1F20F8E4-735C-9148-8848-5FB51BE7FC46}" srcOrd="1" destOrd="0" presId="urn:microsoft.com/office/officeart/2005/8/layout/process4"/>
    <dgm:cxn modelId="{D803D840-4F92-6446-B88B-C150B9B36880}" srcId="{5BCF6014-5D8E-294A-B26E-EB67CEBA2A75}" destId="{B5E03A3A-0DFE-0548-B18E-D20ADEB346AB}" srcOrd="0" destOrd="0" parTransId="{FF15CBC5-26A2-6048-889B-36648920B6B3}" sibTransId="{3F7D471E-521D-4A48-BA9E-61E02EC707F8}"/>
    <dgm:cxn modelId="{78E01B65-E1D9-4891-A5B9-E47294C212DA}" type="presOf" srcId="{AB8B8612-77FB-954F-8B4D-85F5FB94AE45}" destId="{0C806010-91FA-FC40-9264-D1711C8010F8}" srcOrd="0" destOrd="0" presId="urn:microsoft.com/office/officeart/2005/8/layout/process4"/>
    <dgm:cxn modelId="{7539759B-C128-7A40-8680-F4CE00398EA9}" srcId="{AB8B8612-77FB-954F-8B4D-85F5FB94AE45}" destId="{D24582B5-DCCE-614D-ACDA-1B1819BF2FBE}" srcOrd="1" destOrd="0" parTransId="{47A499FE-AC1C-FC4E-904F-29F039629FBD}" sibTransId="{9C7B6D34-6D42-2342-8A10-DFD9A54E9836}"/>
    <dgm:cxn modelId="{60ADC3C4-02D9-E240-9D22-A1EEFD017C0D}" srcId="{AB8B8612-77FB-954F-8B4D-85F5FB94AE45}" destId="{5BCF6014-5D8E-294A-B26E-EB67CEBA2A75}" srcOrd="2" destOrd="0" parTransId="{A916E58A-7E6C-1340-8D5A-6C57865D2D16}" sibTransId="{BCB190A3-5349-1B41-866F-7A5768797584}"/>
    <dgm:cxn modelId="{ACCFB2D7-BD8B-114C-B5F8-169D718DFFD0}" srcId="{AB8B8612-77FB-954F-8B4D-85F5FB94AE45}" destId="{B9BCEA11-4DF8-7A4A-9023-1C688A34996D}" srcOrd="0" destOrd="0" parTransId="{DD67A57A-7A8A-EC4D-92D0-67B864110427}" sibTransId="{74850DD5-D7B5-AF44-AED0-415B7D79E98A}"/>
    <dgm:cxn modelId="{D692CBE9-0790-464D-BCFA-E9389A1B3924}" type="presParOf" srcId="{0C806010-91FA-FC40-9264-D1711C8010F8}" destId="{9823E97E-B34A-C34C-A0C3-C56A8B1738FC}" srcOrd="0" destOrd="0" presId="urn:microsoft.com/office/officeart/2005/8/layout/process4"/>
    <dgm:cxn modelId="{F6AE385E-716C-48F9-A8A2-376E511FE404}" type="presParOf" srcId="{9823E97E-B34A-C34C-A0C3-C56A8B1738FC}" destId="{BF13155E-E1D4-C94E-840D-E3B6147F579F}" srcOrd="0" destOrd="0" presId="urn:microsoft.com/office/officeart/2005/8/layout/process4"/>
    <dgm:cxn modelId="{E5148564-120A-495C-8C7F-AF96D71D0935}" type="presParOf" srcId="{9823E97E-B34A-C34C-A0C3-C56A8B1738FC}" destId="{936A3711-A388-FB49-BFF6-552795C30A53}" srcOrd="1" destOrd="0" presId="urn:microsoft.com/office/officeart/2005/8/layout/process4"/>
    <dgm:cxn modelId="{10EF02DF-1C6D-48EC-9225-860430FDF291}" type="presParOf" srcId="{9823E97E-B34A-C34C-A0C3-C56A8B1738FC}" destId="{0E41FF41-CC5E-814F-AC06-DAEF1CAF8352}" srcOrd="2" destOrd="0" presId="urn:microsoft.com/office/officeart/2005/8/layout/process4"/>
    <dgm:cxn modelId="{D444AEFB-78BE-4B4D-820B-3F4FB0369C77}" type="presParOf" srcId="{0E41FF41-CC5E-814F-AC06-DAEF1CAF8352}" destId="{B11730FB-18E1-C943-B084-4CDF1F59127B}" srcOrd="0" destOrd="0" presId="urn:microsoft.com/office/officeart/2005/8/layout/process4"/>
    <dgm:cxn modelId="{149B6A7B-F9D4-45A2-B1DE-FF5863ABFE49}" type="presParOf" srcId="{0C806010-91FA-FC40-9264-D1711C8010F8}" destId="{0056E223-4919-5841-B300-29C7E7C262C1}" srcOrd="1" destOrd="0" presId="urn:microsoft.com/office/officeart/2005/8/layout/process4"/>
    <dgm:cxn modelId="{B571C2CE-10BF-4475-B97C-3655305173F2}" type="presParOf" srcId="{0C806010-91FA-FC40-9264-D1711C8010F8}" destId="{E12FFFDB-907F-7846-918E-A80AD247B760}" srcOrd="2" destOrd="0" presId="urn:microsoft.com/office/officeart/2005/8/layout/process4"/>
    <dgm:cxn modelId="{D013ABD5-FE98-4226-A1B6-0889AAF90B31}" type="presParOf" srcId="{E12FFFDB-907F-7846-918E-A80AD247B760}" destId="{AD4AA184-E06C-1343-BDF3-D32F35A6F300}" srcOrd="0" destOrd="0" presId="urn:microsoft.com/office/officeart/2005/8/layout/process4"/>
    <dgm:cxn modelId="{18C31DA1-3B49-474E-BDDD-4BAD27191683}" type="presParOf" srcId="{E12FFFDB-907F-7846-918E-A80AD247B760}" destId="{56F73381-5B2C-D24B-B832-B5FAE6BF7A7E}" srcOrd="1" destOrd="0" presId="urn:microsoft.com/office/officeart/2005/8/layout/process4"/>
    <dgm:cxn modelId="{0C2EC9F5-466B-43BC-9604-F9627672BA49}" type="presParOf" srcId="{E12FFFDB-907F-7846-918E-A80AD247B760}" destId="{BA2DF540-A247-F84F-A8DD-20534248739B}" srcOrd="2" destOrd="0" presId="urn:microsoft.com/office/officeart/2005/8/layout/process4"/>
    <dgm:cxn modelId="{7BA6A8BE-DC3B-4B6F-8F99-A4CC76E5F070}" type="presParOf" srcId="{BA2DF540-A247-F84F-A8DD-20534248739B}" destId="{1A2A1C0C-BF5A-0847-8E7B-04D461F52224}" srcOrd="0" destOrd="0" presId="urn:microsoft.com/office/officeart/2005/8/layout/process4"/>
    <dgm:cxn modelId="{61080CB9-54B6-4EF1-90B7-61E3C739AF74}" type="presParOf" srcId="{0C806010-91FA-FC40-9264-D1711C8010F8}" destId="{92394C7B-B3DC-D942-9EAE-B273069C8A9A}" srcOrd="3" destOrd="0" presId="urn:microsoft.com/office/officeart/2005/8/layout/process4"/>
    <dgm:cxn modelId="{C2894BCD-A128-4FC3-9780-8E2485E567E5}" type="presParOf" srcId="{0C806010-91FA-FC40-9264-D1711C8010F8}" destId="{827199D0-4FA4-1B43-A9F9-676E1B001FE1}" srcOrd="4" destOrd="0" presId="urn:microsoft.com/office/officeart/2005/8/layout/process4"/>
    <dgm:cxn modelId="{A129E1F1-8A5D-4876-9462-8403CE866400}" type="presParOf" srcId="{827199D0-4FA4-1B43-A9F9-676E1B001FE1}" destId="{90F00A74-CD56-0642-BBA2-6588A72D2CEC}" srcOrd="0" destOrd="0" presId="urn:microsoft.com/office/officeart/2005/8/layout/process4"/>
    <dgm:cxn modelId="{BD7B8BD7-73C2-4732-A4B8-9235AB1D165C}" type="presParOf" srcId="{827199D0-4FA4-1B43-A9F9-676E1B001FE1}" destId="{1F20F8E4-735C-9148-8848-5FB51BE7FC46}" srcOrd="1" destOrd="0" presId="urn:microsoft.com/office/officeart/2005/8/layout/process4"/>
    <dgm:cxn modelId="{CAF8B36D-4CDE-4A46-911A-EC7C0F974EE7}" type="presParOf" srcId="{827199D0-4FA4-1B43-A9F9-676E1B001FE1}" destId="{8B636B42-2EB2-4745-BC3A-704FC1AF5A11}" srcOrd="2" destOrd="0" presId="urn:microsoft.com/office/officeart/2005/8/layout/process4"/>
    <dgm:cxn modelId="{6769D574-1C2D-4D66-AF36-5AEB66DCFAB0}" type="presParOf" srcId="{8B636B42-2EB2-4745-BC3A-704FC1AF5A11}" destId="{87155499-1E5A-8E48-BFC0-FF4E62E7012B}" srcOrd="0" destOrd="0" presId="urn:microsoft.com/office/officeart/2005/8/layout/process4"/>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B8B8612-77FB-954F-8B4D-85F5FB94AE45}" type="doc">
      <dgm:prSet loTypeId="urn:microsoft.com/office/officeart/2005/8/layout/process4" loCatId="" qsTypeId="urn:microsoft.com/office/officeart/2005/8/quickstyle/simple1" qsCatId="simple" csTypeId="urn:microsoft.com/office/officeart/2005/8/colors/accent4_5" csCatId="accent4" phldr="1"/>
      <dgm:spPr/>
      <dgm:t>
        <a:bodyPr/>
        <a:lstStyle/>
        <a:p>
          <a:endParaRPr lang="fr-FR"/>
        </a:p>
      </dgm:t>
    </dgm:pt>
    <dgm:pt modelId="{B9BCEA11-4DF8-7A4A-9023-1C688A34996D}">
      <dgm:prSet phldrT="[Texte]" custT="1"/>
      <dgm:spPr/>
      <dgm:t>
        <a:bodyPr/>
        <a:lstStyle/>
        <a:p>
          <a:r>
            <a:rPr lang="fr-FR" sz="1200"/>
            <a:t>ENI CBC Overarching Strategic Objective B</a:t>
          </a:r>
        </a:p>
      </dgm:t>
    </dgm:pt>
    <dgm:pt modelId="{DD67A57A-7A8A-EC4D-92D0-67B864110427}" type="parTrans" cxnId="{ACCFB2D7-BD8B-114C-B5F8-169D718DFFD0}">
      <dgm:prSet/>
      <dgm:spPr/>
      <dgm:t>
        <a:bodyPr/>
        <a:lstStyle/>
        <a:p>
          <a:endParaRPr lang="fr-FR"/>
        </a:p>
      </dgm:t>
    </dgm:pt>
    <dgm:pt modelId="{74850DD5-D7B5-AF44-AED0-415B7D79E98A}" type="sibTrans" cxnId="{ACCFB2D7-BD8B-114C-B5F8-169D718DFFD0}">
      <dgm:prSet/>
      <dgm:spPr/>
      <dgm:t>
        <a:bodyPr/>
        <a:lstStyle/>
        <a:p>
          <a:endParaRPr lang="fr-FR"/>
        </a:p>
      </dgm:t>
    </dgm:pt>
    <dgm:pt modelId="{29A0D074-3E59-A449-A042-B4D5992CD7A1}">
      <dgm:prSet phldrT="[Texte]"/>
      <dgm:spPr/>
      <dgm:t>
        <a:bodyPr/>
        <a:lstStyle/>
        <a:p>
          <a:r>
            <a:rPr lang="en-GB"/>
            <a:t>Address common challenges in environment, public health, safety and security</a:t>
          </a:r>
          <a:endParaRPr lang="fr-FR"/>
        </a:p>
      </dgm:t>
    </dgm:pt>
    <dgm:pt modelId="{090D49B7-B97E-174D-B6B1-770E0B657351}" type="parTrans" cxnId="{76EDC30E-D0C0-1D43-A79A-8B11CB6967E3}">
      <dgm:prSet/>
      <dgm:spPr/>
      <dgm:t>
        <a:bodyPr/>
        <a:lstStyle/>
        <a:p>
          <a:endParaRPr lang="fr-FR"/>
        </a:p>
      </dgm:t>
    </dgm:pt>
    <dgm:pt modelId="{F4F13387-58B5-454A-8498-EAD7412CAE1A}" type="sibTrans" cxnId="{76EDC30E-D0C0-1D43-A79A-8B11CB6967E3}">
      <dgm:prSet/>
      <dgm:spPr/>
      <dgm:t>
        <a:bodyPr/>
        <a:lstStyle/>
        <a:p>
          <a:endParaRPr lang="fr-FR"/>
        </a:p>
      </dgm:t>
    </dgm:pt>
    <dgm:pt modelId="{D24582B5-DCCE-614D-ACDA-1B1819BF2FBE}">
      <dgm:prSet phldrT="[Texte]" custT="1"/>
      <dgm:spPr/>
      <dgm:t>
        <a:bodyPr/>
        <a:lstStyle/>
        <a:p>
          <a:r>
            <a:rPr lang="fr-FR" sz="1200"/>
            <a:t>ENI CBC Thematic Objective 6</a:t>
          </a:r>
        </a:p>
      </dgm:t>
    </dgm:pt>
    <dgm:pt modelId="{47A499FE-AC1C-FC4E-904F-29F039629FBD}" type="parTrans" cxnId="{7539759B-C128-7A40-8680-F4CE00398EA9}">
      <dgm:prSet/>
      <dgm:spPr/>
      <dgm:t>
        <a:bodyPr/>
        <a:lstStyle/>
        <a:p>
          <a:endParaRPr lang="fr-FR"/>
        </a:p>
      </dgm:t>
    </dgm:pt>
    <dgm:pt modelId="{9C7B6D34-6D42-2342-8A10-DFD9A54E9836}" type="sibTrans" cxnId="{7539759B-C128-7A40-8680-F4CE00398EA9}">
      <dgm:prSet/>
      <dgm:spPr/>
      <dgm:t>
        <a:bodyPr/>
        <a:lstStyle/>
        <a:p>
          <a:endParaRPr lang="fr-FR"/>
        </a:p>
      </dgm:t>
    </dgm:pt>
    <dgm:pt modelId="{19E19C0F-AF5B-2A46-A2FB-5A0537B53EBF}">
      <dgm:prSet phldrT="[Texte]" custT="1"/>
      <dgm:spPr/>
      <dgm:t>
        <a:bodyPr/>
        <a:lstStyle/>
        <a:p>
          <a:r>
            <a:rPr lang="en-GB" sz="1200"/>
            <a:t>Environmental protection, and climate change mitigation and adaptation</a:t>
          </a:r>
          <a:endParaRPr lang="fr-FR" sz="1200"/>
        </a:p>
      </dgm:t>
    </dgm:pt>
    <dgm:pt modelId="{F6961F8A-121C-3248-9602-4918D90D7036}" type="parTrans" cxnId="{B88A1DFF-79E2-C04C-BB32-C36BF38DD4D2}">
      <dgm:prSet/>
      <dgm:spPr/>
      <dgm:t>
        <a:bodyPr/>
        <a:lstStyle/>
        <a:p>
          <a:endParaRPr lang="fr-FR"/>
        </a:p>
      </dgm:t>
    </dgm:pt>
    <dgm:pt modelId="{4B5C7BB0-DDEE-A14F-A878-98E16C02F5C2}" type="sibTrans" cxnId="{B88A1DFF-79E2-C04C-BB32-C36BF38DD4D2}">
      <dgm:prSet/>
      <dgm:spPr/>
      <dgm:t>
        <a:bodyPr/>
        <a:lstStyle/>
        <a:p>
          <a:endParaRPr lang="fr-FR"/>
        </a:p>
      </dgm:t>
    </dgm:pt>
    <dgm:pt modelId="{5BCF6014-5D8E-294A-B26E-EB67CEBA2A75}">
      <dgm:prSet phldrT="[Texte]" custT="1"/>
      <dgm:spPr/>
      <dgm:t>
        <a:bodyPr/>
        <a:lstStyle/>
        <a:p>
          <a:r>
            <a:rPr lang="fr-FR" sz="1200"/>
            <a:t>Black Sea Basin Programme Objective 2</a:t>
          </a:r>
        </a:p>
      </dgm:t>
    </dgm:pt>
    <dgm:pt modelId="{A916E58A-7E6C-1340-8D5A-6C57865D2D16}" type="parTrans" cxnId="{60ADC3C4-02D9-E240-9D22-A1EEFD017C0D}">
      <dgm:prSet/>
      <dgm:spPr/>
      <dgm:t>
        <a:bodyPr/>
        <a:lstStyle/>
        <a:p>
          <a:endParaRPr lang="fr-FR"/>
        </a:p>
      </dgm:t>
    </dgm:pt>
    <dgm:pt modelId="{BCB190A3-5349-1B41-866F-7A5768797584}" type="sibTrans" cxnId="{60ADC3C4-02D9-E240-9D22-A1EEFD017C0D}">
      <dgm:prSet/>
      <dgm:spPr/>
      <dgm:t>
        <a:bodyPr/>
        <a:lstStyle/>
        <a:p>
          <a:endParaRPr lang="fr-FR"/>
        </a:p>
      </dgm:t>
    </dgm:pt>
    <dgm:pt modelId="{B5E03A3A-0DFE-0548-B18E-D20ADEB346AB}">
      <dgm:prSet phldrT="[Texte]"/>
      <dgm:spPr/>
      <dgm:t>
        <a:bodyPr/>
        <a:lstStyle/>
        <a:p>
          <a:r>
            <a:rPr lang="en-GB" b="0"/>
            <a:t>Promote coordination of environmental protection and joint reduction of marine litter </a:t>
          </a:r>
          <a:endParaRPr lang="fr-FR" b="0"/>
        </a:p>
      </dgm:t>
    </dgm:pt>
    <dgm:pt modelId="{FF15CBC5-26A2-6048-889B-36648920B6B3}" type="parTrans" cxnId="{D803D840-4F92-6446-B88B-C150B9B36880}">
      <dgm:prSet/>
      <dgm:spPr/>
      <dgm:t>
        <a:bodyPr/>
        <a:lstStyle/>
        <a:p>
          <a:endParaRPr lang="fr-FR"/>
        </a:p>
      </dgm:t>
    </dgm:pt>
    <dgm:pt modelId="{3F7D471E-521D-4A48-BA9E-61E02EC707F8}" type="sibTrans" cxnId="{D803D840-4F92-6446-B88B-C150B9B36880}">
      <dgm:prSet/>
      <dgm:spPr/>
      <dgm:t>
        <a:bodyPr/>
        <a:lstStyle/>
        <a:p>
          <a:endParaRPr lang="fr-FR"/>
        </a:p>
      </dgm:t>
    </dgm:pt>
    <dgm:pt modelId="{0C806010-91FA-FC40-9264-D1711C8010F8}" type="pres">
      <dgm:prSet presAssocID="{AB8B8612-77FB-954F-8B4D-85F5FB94AE45}" presName="Name0" presStyleCnt="0">
        <dgm:presLayoutVars>
          <dgm:dir/>
          <dgm:animLvl val="lvl"/>
          <dgm:resizeHandles val="exact"/>
        </dgm:presLayoutVars>
      </dgm:prSet>
      <dgm:spPr/>
      <dgm:t>
        <a:bodyPr/>
        <a:lstStyle/>
        <a:p>
          <a:endParaRPr lang="fr-FR"/>
        </a:p>
      </dgm:t>
    </dgm:pt>
    <dgm:pt modelId="{9823E97E-B34A-C34C-A0C3-C56A8B1738FC}" type="pres">
      <dgm:prSet presAssocID="{5BCF6014-5D8E-294A-B26E-EB67CEBA2A75}" presName="boxAndChildren" presStyleCnt="0"/>
      <dgm:spPr/>
    </dgm:pt>
    <dgm:pt modelId="{BF13155E-E1D4-C94E-840D-E3B6147F579F}" type="pres">
      <dgm:prSet presAssocID="{5BCF6014-5D8E-294A-B26E-EB67CEBA2A75}" presName="parentTextBox" presStyleLbl="node1" presStyleIdx="0" presStyleCnt="3"/>
      <dgm:spPr/>
      <dgm:t>
        <a:bodyPr/>
        <a:lstStyle/>
        <a:p>
          <a:endParaRPr lang="fr-FR"/>
        </a:p>
      </dgm:t>
    </dgm:pt>
    <dgm:pt modelId="{936A3711-A388-FB49-BFF6-552795C30A53}" type="pres">
      <dgm:prSet presAssocID="{5BCF6014-5D8E-294A-B26E-EB67CEBA2A75}" presName="entireBox" presStyleLbl="node1" presStyleIdx="0" presStyleCnt="3"/>
      <dgm:spPr/>
      <dgm:t>
        <a:bodyPr/>
        <a:lstStyle/>
        <a:p>
          <a:endParaRPr lang="fr-FR"/>
        </a:p>
      </dgm:t>
    </dgm:pt>
    <dgm:pt modelId="{0E41FF41-CC5E-814F-AC06-DAEF1CAF8352}" type="pres">
      <dgm:prSet presAssocID="{5BCF6014-5D8E-294A-B26E-EB67CEBA2A75}" presName="descendantBox" presStyleCnt="0"/>
      <dgm:spPr/>
    </dgm:pt>
    <dgm:pt modelId="{B11730FB-18E1-C943-B084-4CDF1F59127B}" type="pres">
      <dgm:prSet presAssocID="{B5E03A3A-0DFE-0548-B18E-D20ADEB346AB}" presName="childTextBox" presStyleLbl="fgAccFollowNode1" presStyleIdx="0" presStyleCnt="3">
        <dgm:presLayoutVars>
          <dgm:bulletEnabled val="1"/>
        </dgm:presLayoutVars>
      </dgm:prSet>
      <dgm:spPr/>
      <dgm:t>
        <a:bodyPr/>
        <a:lstStyle/>
        <a:p>
          <a:endParaRPr lang="fr-FR"/>
        </a:p>
      </dgm:t>
    </dgm:pt>
    <dgm:pt modelId="{0056E223-4919-5841-B300-29C7E7C262C1}" type="pres">
      <dgm:prSet presAssocID="{9C7B6D34-6D42-2342-8A10-DFD9A54E9836}" presName="sp" presStyleCnt="0"/>
      <dgm:spPr/>
    </dgm:pt>
    <dgm:pt modelId="{E12FFFDB-907F-7846-918E-A80AD247B760}" type="pres">
      <dgm:prSet presAssocID="{D24582B5-DCCE-614D-ACDA-1B1819BF2FBE}" presName="arrowAndChildren" presStyleCnt="0"/>
      <dgm:spPr/>
    </dgm:pt>
    <dgm:pt modelId="{AD4AA184-E06C-1343-BDF3-D32F35A6F300}" type="pres">
      <dgm:prSet presAssocID="{D24582B5-DCCE-614D-ACDA-1B1819BF2FBE}" presName="parentTextArrow" presStyleLbl="node1" presStyleIdx="0" presStyleCnt="3"/>
      <dgm:spPr/>
      <dgm:t>
        <a:bodyPr/>
        <a:lstStyle/>
        <a:p>
          <a:endParaRPr lang="fr-FR"/>
        </a:p>
      </dgm:t>
    </dgm:pt>
    <dgm:pt modelId="{56F73381-5B2C-D24B-B832-B5FAE6BF7A7E}" type="pres">
      <dgm:prSet presAssocID="{D24582B5-DCCE-614D-ACDA-1B1819BF2FBE}" presName="arrow" presStyleLbl="node1" presStyleIdx="1" presStyleCnt="3"/>
      <dgm:spPr/>
      <dgm:t>
        <a:bodyPr/>
        <a:lstStyle/>
        <a:p>
          <a:endParaRPr lang="fr-FR"/>
        </a:p>
      </dgm:t>
    </dgm:pt>
    <dgm:pt modelId="{BA2DF540-A247-F84F-A8DD-20534248739B}" type="pres">
      <dgm:prSet presAssocID="{D24582B5-DCCE-614D-ACDA-1B1819BF2FBE}" presName="descendantArrow" presStyleCnt="0"/>
      <dgm:spPr/>
    </dgm:pt>
    <dgm:pt modelId="{1A2A1C0C-BF5A-0847-8E7B-04D461F52224}" type="pres">
      <dgm:prSet presAssocID="{19E19C0F-AF5B-2A46-A2FB-5A0537B53EBF}" presName="childTextArrow" presStyleLbl="fgAccFollowNode1" presStyleIdx="1" presStyleCnt="3">
        <dgm:presLayoutVars>
          <dgm:bulletEnabled val="1"/>
        </dgm:presLayoutVars>
      </dgm:prSet>
      <dgm:spPr/>
      <dgm:t>
        <a:bodyPr/>
        <a:lstStyle/>
        <a:p>
          <a:endParaRPr lang="fr-FR"/>
        </a:p>
      </dgm:t>
    </dgm:pt>
    <dgm:pt modelId="{92394C7B-B3DC-D942-9EAE-B273069C8A9A}" type="pres">
      <dgm:prSet presAssocID="{74850DD5-D7B5-AF44-AED0-415B7D79E98A}" presName="sp" presStyleCnt="0"/>
      <dgm:spPr/>
    </dgm:pt>
    <dgm:pt modelId="{827199D0-4FA4-1B43-A9F9-676E1B001FE1}" type="pres">
      <dgm:prSet presAssocID="{B9BCEA11-4DF8-7A4A-9023-1C688A34996D}" presName="arrowAndChildren" presStyleCnt="0"/>
      <dgm:spPr/>
    </dgm:pt>
    <dgm:pt modelId="{90F00A74-CD56-0642-BBA2-6588A72D2CEC}" type="pres">
      <dgm:prSet presAssocID="{B9BCEA11-4DF8-7A4A-9023-1C688A34996D}" presName="parentTextArrow" presStyleLbl="node1" presStyleIdx="1" presStyleCnt="3"/>
      <dgm:spPr/>
      <dgm:t>
        <a:bodyPr/>
        <a:lstStyle/>
        <a:p>
          <a:endParaRPr lang="fr-FR"/>
        </a:p>
      </dgm:t>
    </dgm:pt>
    <dgm:pt modelId="{1F20F8E4-735C-9148-8848-5FB51BE7FC46}" type="pres">
      <dgm:prSet presAssocID="{B9BCEA11-4DF8-7A4A-9023-1C688A34996D}" presName="arrow" presStyleLbl="node1" presStyleIdx="2" presStyleCnt="3"/>
      <dgm:spPr/>
      <dgm:t>
        <a:bodyPr/>
        <a:lstStyle/>
        <a:p>
          <a:endParaRPr lang="fr-FR"/>
        </a:p>
      </dgm:t>
    </dgm:pt>
    <dgm:pt modelId="{8B636B42-2EB2-4745-BC3A-704FC1AF5A11}" type="pres">
      <dgm:prSet presAssocID="{B9BCEA11-4DF8-7A4A-9023-1C688A34996D}" presName="descendantArrow" presStyleCnt="0"/>
      <dgm:spPr/>
    </dgm:pt>
    <dgm:pt modelId="{87155499-1E5A-8E48-BFC0-FF4E62E7012B}" type="pres">
      <dgm:prSet presAssocID="{29A0D074-3E59-A449-A042-B4D5992CD7A1}" presName="childTextArrow" presStyleLbl="fgAccFollowNode1" presStyleIdx="2" presStyleCnt="3">
        <dgm:presLayoutVars>
          <dgm:bulletEnabled val="1"/>
        </dgm:presLayoutVars>
      </dgm:prSet>
      <dgm:spPr/>
      <dgm:t>
        <a:bodyPr/>
        <a:lstStyle/>
        <a:p>
          <a:endParaRPr lang="fr-FR"/>
        </a:p>
      </dgm:t>
    </dgm:pt>
  </dgm:ptLst>
  <dgm:cxnLst>
    <dgm:cxn modelId="{801CA4D0-0B73-4048-9AF9-30D8CDE727EF}" type="presOf" srcId="{D24582B5-DCCE-614D-ACDA-1B1819BF2FBE}" destId="{56F73381-5B2C-D24B-B832-B5FAE6BF7A7E}" srcOrd="1" destOrd="0" presId="urn:microsoft.com/office/officeart/2005/8/layout/process4"/>
    <dgm:cxn modelId="{CFD13C52-C679-489A-B132-C32391057082}" type="presOf" srcId="{29A0D074-3E59-A449-A042-B4D5992CD7A1}" destId="{87155499-1E5A-8E48-BFC0-FF4E62E7012B}" srcOrd="0" destOrd="0" presId="urn:microsoft.com/office/officeart/2005/8/layout/process4"/>
    <dgm:cxn modelId="{B88A1DFF-79E2-C04C-BB32-C36BF38DD4D2}" srcId="{D24582B5-DCCE-614D-ACDA-1B1819BF2FBE}" destId="{19E19C0F-AF5B-2A46-A2FB-5A0537B53EBF}" srcOrd="0" destOrd="0" parTransId="{F6961F8A-121C-3248-9602-4918D90D7036}" sibTransId="{4B5C7BB0-DDEE-A14F-A878-98E16C02F5C2}"/>
    <dgm:cxn modelId="{D9076399-A89A-4FF5-8CFD-24E2A702A22F}" type="presOf" srcId="{B9BCEA11-4DF8-7A4A-9023-1C688A34996D}" destId="{90F00A74-CD56-0642-BBA2-6588A72D2CEC}" srcOrd="0" destOrd="0" presId="urn:microsoft.com/office/officeart/2005/8/layout/process4"/>
    <dgm:cxn modelId="{76EDC30E-D0C0-1D43-A79A-8B11CB6967E3}" srcId="{B9BCEA11-4DF8-7A4A-9023-1C688A34996D}" destId="{29A0D074-3E59-A449-A042-B4D5992CD7A1}" srcOrd="0" destOrd="0" parTransId="{090D49B7-B97E-174D-B6B1-770E0B657351}" sibTransId="{F4F13387-58B5-454A-8498-EAD7412CAE1A}"/>
    <dgm:cxn modelId="{C1B136BC-0577-4197-AA9D-DB5B6F1785BE}" type="presOf" srcId="{5BCF6014-5D8E-294A-B26E-EB67CEBA2A75}" destId="{BF13155E-E1D4-C94E-840D-E3B6147F579F}" srcOrd="0" destOrd="0" presId="urn:microsoft.com/office/officeart/2005/8/layout/process4"/>
    <dgm:cxn modelId="{D803D840-4F92-6446-B88B-C150B9B36880}" srcId="{5BCF6014-5D8E-294A-B26E-EB67CEBA2A75}" destId="{B5E03A3A-0DFE-0548-B18E-D20ADEB346AB}" srcOrd="0" destOrd="0" parTransId="{FF15CBC5-26A2-6048-889B-36648920B6B3}" sibTransId="{3F7D471E-521D-4A48-BA9E-61E02EC707F8}"/>
    <dgm:cxn modelId="{D328FF54-7AF7-427A-9ED0-3C2D36CADBB4}" type="presOf" srcId="{5BCF6014-5D8E-294A-B26E-EB67CEBA2A75}" destId="{936A3711-A388-FB49-BFF6-552795C30A53}" srcOrd="1" destOrd="0" presId="urn:microsoft.com/office/officeart/2005/8/layout/process4"/>
    <dgm:cxn modelId="{EB9B90C6-FC97-4473-8A69-A56790ADEFBD}" type="presOf" srcId="{19E19C0F-AF5B-2A46-A2FB-5A0537B53EBF}" destId="{1A2A1C0C-BF5A-0847-8E7B-04D461F52224}" srcOrd="0" destOrd="0" presId="urn:microsoft.com/office/officeart/2005/8/layout/process4"/>
    <dgm:cxn modelId="{08D9468A-5CDB-4598-B02D-29AFBF63B47E}" type="presOf" srcId="{B5E03A3A-0DFE-0548-B18E-D20ADEB346AB}" destId="{B11730FB-18E1-C943-B084-4CDF1F59127B}" srcOrd="0" destOrd="0" presId="urn:microsoft.com/office/officeart/2005/8/layout/process4"/>
    <dgm:cxn modelId="{7017E658-F327-4CB5-88A3-E9EDB06CD718}" type="presOf" srcId="{AB8B8612-77FB-954F-8B4D-85F5FB94AE45}" destId="{0C806010-91FA-FC40-9264-D1711C8010F8}" srcOrd="0" destOrd="0" presId="urn:microsoft.com/office/officeart/2005/8/layout/process4"/>
    <dgm:cxn modelId="{7539759B-C128-7A40-8680-F4CE00398EA9}" srcId="{AB8B8612-77FB-954F-8B4D-85F5FB94AE45}" destId="{D24582B5-DCCE-614D-ACDA-1B1819BF2FBE}" srcOrd="1" destOrd="0" parTransId="{47A499FE-AC1C-FC4E-904F-29F039629FBD}" sibTransId="{9C7B6D34-6D42-2342-8A10-DFD9A54E9836}"/>
    <dgm:cxn modelId="{60ADC3C4-02D9-E240-9D22-A1EEFD017C0D}" srcId="{AB8B8612-77FB-954F-8B4D-85F5FB94AE45}" destId="{5BCF6014-5D8E-294A-B26E-EB67CEBA2A75}" srcOrd="2" destOrd="0" parTransId="{A916E58A-7E6C-1340-8D5A-6C57865D2D16}" sibTransId="{BCB190A3-5349-1B41-866F-7A5768797584}"/>
    <dgm:cxn modelId="{0F9A61F5-B846-4183-97A5-82406BB48995}" type="presOf" srcId="{B9BCEA11-4DF8-7A4A-9023-1C688A34996D}" destId="{1F20F8E4-735C-9148-8848-5FB51BE7FC46}" srcOrd="1" destOrd="0" presId="urn:microsoft.com/office/officeart/2005/8/layout/process4"/>
    <dgm:cxn modelId="{1E11EED8-BAEC-4F82-9D8B-B79142E1380B}" type="presOf" srcId="{D24582B5-DCCE-614D-ACDA-1B1819BF2FBE}" destId="{AD4AA184-E06C-1343-BDF3-D32F35A6F300}" srcOrd="0" destOrd="0" presId="urn:microsoft.com/office/officeart/2005/8/layout/process4"/>
    <dgm:cxn modelId="{ACCFB2D7-BD8B-114C-B5F8-169D718DFFD0}" srcId="{AB8B8612-77FB-954F-8B4D-85F5FB94AE45}" destId="{B9BCEA11-4DF8-7A4A-9023-1C688A34996D}" srcOrd="0" destOrd="0" parTransId="{DD67A57A-7A8A-EC4D-92D0-67B864110427}" sibTransId="{74850DD5-D7B5-AF44-AED0-415B7D79E98A}"/>
    <dgm:cxn modelId="{AB93155A-39A5-4820-9CE1-E4752B4D15F9}" type="presParOf" srcId="{0C806010-91FA-FC40-9264-D1711C8010F8}" destId="{9823E97E-B34A-C34C-A0C3-C56A8B1738FC}" srcOrd="0" destOrd="0" presId="urn:microsoft.com/office/officeart/2005/8/layout/process4"/>
    <dgm:cxn modelId="{CB7B4D82-8255-4D7E-800C-019127DE89EA}" type="presParOf" srcId="{9823E97E-B34A-C34C-A0C3-C56A8B1738FC}" destId="{BF13155E-E1D4-C94E-840D-E3B6147F579F}" srcOrd="0" destOrd="0" presId="urn:microsoft.com/office/officeart/2005/8/layout/process4"/>
    <dgm:cxn modelId="{BB88E465-8718-46EF-8178-1D09A6AA31D9}" type="presParOf" srcId="{9823E97E-B34A-C34C-A0C3-C56A8B1738FC}" destId="{936A3711-A388-FB49-BFF6-552795C30A53}" srcOrd="1" destOrd="0" presId="urn:microsoft.com/office/officeart/2005/8/layout/process4"/>
    <dgm:cxn modelId="{4EAD654B-FC08-40AF-A16C-A53C34F5BF45}" type="presParOf" srcId="{9823E97E-B34A-C34C-A0C3-C56A8B1738FC}" destId="{0E41FF41-CC5E-814F-AC06-DAEF1CAF8352}" srcOrd="2" destOrd="0" presId="urn:microsoft.com/office/officeart/2005/8/layout/process4"/>
    <dgm:cxn modelId="{37661F75-39BD-4AEB-93B3-23914D24ABE7}" type="presParOf" srcId="{0E41FF41-CC5E-814F-AC06-DAEF1CAF8352}" destId="{B11730FB-18E1-C943-B084-4CDF1F59127B}" srcOrd="0" destOrd="0" presId="urn:microsoft.com/office/officeart/2005/8/layout/process4"/>
    <dgm:cxn modelId="{3DD578A8-A2EB-4DA5-90E6-5935E367049C}" type="presParOf" srcId="{0C806010-91FA-FC40-9264-D1711C8010F8}" destId="{0056E223-4919-5841-B300-29C7E7C262C1}" srcOrd="1" destOrd="0" presId="urn:microsoft.com/office/officeart/2005/8/layout/process4"/>
    <dgm:cxn modelId="{453C6D97-1EEC-4392-8792-812A7D80A196}" type="presParOf" srcId="{0C806010-91FA-FC40-9264-D1711C8010F8}" destId="{E12FFFDB-907F-7846-918E-A80AD247B760}" srcOrd="2" destOrd="0" presId="urn:microsoft.com/office/officeart/2005/8/layout/process4"/>
    <dgm:cxn modelId="{C2EE5D45-D458-4A1C-82AC-97E2D84DC3C5}" type="presParOf" srcId="{E12FFFDB-907F-7846-918E-A80AD247B760}" destId="{AD4AA184-E06C-1343-BDF3-D32F35A6F300}" srcOrd="0" destOrd="0" presId="urn:microsoft.com/office/officeart/2005/8/layout/process4"/>
    <dgm:cxn modelId="{6E569096-CEA2-4E97-821D-AA1DB46B8DBD}" type="presParOf" srcId="{E12FFFDB-907F-7846-918E-A80AD247B760}" destId="{56F73381-5B2C-D24B-B832-B5FAE6BF7A7E}" srcOrd="1" destOrd="0" presId="urn:microsoft.com/office/officeart/2005/8/layout/process4"/>
    <dgm:cxn modelId="{B6F0DCC3-5742-4DD0-AC8B-2B59D993EC02}" type="presParOf" srcId="{E12FFFDB-907F-7846-918E-A80AD247B760}" destId="{BA2DF540-A247-F84F-A8DD-20534248739B}" srcOrd="2" destOrd="0" presId="urn:microsoft.com/office/officeart/2005/8/layout/process4"/>
    <dgm:cxn modelId="{2C3B8B22-4ED8-4B4F-A919-7E61F76A8AEE}" type="presParOf" srcId="{BA2DF540-A247-F84F-A8DD-20534248739B}" destId="{1A2A1C0C-BF5A-0847-8E7B-04D461F52224}" srcOrd="0" destOrd="0" presId="urn:microsoft.com/office/officeart/2005/8/layout/process4"/>
    <dgm:cxn modelId="{EB448E64-0D0C-41C7-B5C9-8EFE4284F2D1}" type="presParOf" srcId="{0C806010-91FA-FC40-9264-D1711C8010F8}" destId="{92394C7B-B3DC-D942-9EAE-B273069C8A9A}" srcOrd="3" destOrd="0" presId="urn:microsoft.com/office/officeart/2005/8/layout/process4"/>
    <dgm:cxn modelId="{488BB09B-1ED5-4E82-8317-556920DB8E8B}" type="presParOf" srcId="{0C806010-91FA-FC40-9264-D1711C8010F8}" destId="{827199D0-4FA4-1B43-A9F9-676E1B001FE1}" srcOrd="4" destOrd="0" presId="urn:microsoft.com/office/officeart/2005/8/layout/process4"/>
    <dgm:cxn modelId="{EFFC8126-6811-4402-A901-2C825EFEA4BB}" type="presParOf" srcId="{827199D0-4FA4-1B43-A9F9-676E1B001FE1}" destId="{90F00A74-CD56-0642-BBA2-6588A72D2CEC}" srcOrd="0" destOrd="0" presId="urn:microsoft.com/office/officeart/2005/8/layout/process4"/>
    <dgm:cxn modelId="{154164A6-BDB5-4AFF-9BC8-DEDC0E0C6AD9}" type="presParOf" srcId="{827199D0-4FA4-1B43-A9F9-676E1B001FE1}" destId="{1F20F8E4-735C-9148-8848-5FB51BE7FC46}" srcOrd="1" destOrd="0" presId="urn:microsoft.com/office/officeart/2005/8/layout/process4"/>
    <dgm:cxn modelId="{DD497689-43AA-46CF-A2A6-C7EE13D75CAD}" type="presParOf" srcId="{827199D0-4FA4-1B43-A9F9-676E1B001FE1}" destId="{8B636B42-2EB2-4745-BC3A-704FC1AF5A11}" srcOrd="2" destOrd="0" presId="urn:microsoft.com/office/officeart/2005/8/layout/process4"/>
    <dgm:cxn modelId="{969AE499-E476-4042-942C-65507F8C1DE6}" type="presParOf" srcId="{8B636B42-2EB2-4745-BC3A-704FC1AF5A11}" destId="{87155499-1E5A-8E48-BFC0-FF4E62E7012B}" srcOrd="0" destOrd="0" presId="urn:microsoft.com/office/officeart/2005/8/layout/process4"/>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2FA628-FE3C-0745-8728-F80F8402BD4D}">
      <dsp:nvSpPr>
        <dsp:cNvPr id="0" name=""/>
        <dsp:cNvSpPr/>
      </dsp:nvSpPr>
      <dsp:spPr>
        <a:xfrm>
          <a:off x="0" y="3174695"/>
          <a:ext cx="5972810" cy="67273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dirty="0" smtClean="0"/>
            <a:t>Proposed BSB strategy</a:t>
          </a:r>
          <a:endParaRPr lang="en-GB" sz="1200" b="1" kern="1200" dirty="0"/>
        </a:p>
      </dsp:txBody>
      <dsp:txXfrm>
        <a:off x="0" y="3174695"/>
        <a:ext cx="1791843" cy="672738"/>
      </dsp:txXfrm>
    </dsp:sp>
    <dsp:sp modelId="{7F955147-9AEA-D94B-80AB-3AAD06E26597}">
      <dsp:nvSpPr>
        <dsp:cNvPr id="0" name=""/>
        <dsp:cNvSpPr/>
      </dsp:nvSpPr>
      <dsp:spPr>
        <a:xfrm>
          <a:off x="0" y="2459383"/>
          <a:ext cx="5972810" cy="737948"/>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dirty="0" smtClean="0"/>
            <a:t>Outcome of coherence analysis with other EU programmes</a:t>
          </a:r>
          <a:endParaRPr lang="en-GB" sz="1200" b="1" kern="1200" dirty="0"/>
        </a:p>
      </dsp:txBody>
      <dsp:txXfrm>
        <a:off x="0" y="2459383"/>
        <a:ext cx="1791843" cy="737948"/>
      </dsp:txXfrm>
    </dsp:sp>
    <dsp:sp modelId="{FE92E8C1-4F22-0441-BD9A-6800DEFC0AF3}">
      <dsp:nvSpPr>
        <dsp:cNvPr id="0" name=""/>
        <dsp:cNvSpPr/>
      </dsp:nvSpPr>
      <dsp:spPr>
        <a:xfrm>
          <a:off x="0" y="1658340"/>
          <a:ext cx="5972810" cy="737951"/>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dirty="0" smtClean="0"/>
            <a:t>Outcome of consultations</a:t>
          </a:r>
          <a:endParaRPr lang="en-GB" sz="1200" b="1" kern="1200" dirty="0"/>
        </a:p>
      </dsp:txBody>
      <dsp:txXfrm>
        <a:off x="0" y="1658340"/>
        <a:ext cx="1791843" cy="737951"/>
      </dsp:txXfrm>
    </dsp:sp>
    <dsp:sp modelId="{A971637C-39EB-854B-B9B5-975A26144568}">
      <dsp:nvSpPr>
        <dsp:cNvPr id="0" name=""/>
        <dsp:cNvSpPr/>
      </dsp:nvSpPr>
      <dsp:spPr>
        <a:xfrm>
          <a:off x="0" y="834071"/>
          <a:ext cx="5972810" cy="78023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dirty="0" smtClean="0"/>
            <a:t>Outcome of SWOT + past experience analyses</a:t>
          </a:r>
          <a:endParaRPr lang="en-GB" sz="1200" b="1" kern="1200" dirty="0"/>
        </a:p>
      </dsp:txBody>
      <dsp:txXfrm>
        <a:off x="0" y="834071"/>
        <a:ext cx="1791843" cy="780230"/>
      </dsp:txXfrm>
    </dsp:sp>
    <dsp:sp modelId="{C90DF278-E356-2C49-9278-72956A827DBF}">
      <dsp:nvSpPr>
        <dsp:cNvPr id="0" name=""/>
        <dsp:cNvSpPr/>
      </dsp:nvSpPr>
      <dsp:spPr>
        <a:xfrm>
          <a:off x="0" y="0"/>
          <a:ext cx="5972810" cy="779206"/>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dirty="0" smtClean="0"/>
            <a:t>ENI</a:t>
          </a:r>
          <a:r>
            <a:rPr lang="en-GB" sz="1200" kern="1200" dirty="0" smtClean="0"/>
            <a:t> </a:t>
          </a:r>
          <a:r>
            <a:rPr lang="en-GB" sz="1200" b="1" kern="1200" dirty="0" smtClean="0"/>
            <a:t>CBC</a:t>
          </a:r>
          <a:r>
            <a:rPr lang="en-GB" sz="1200" kern="1200" dirty="0" smtClean="0"/>
            <a:t> </a:t>
          </a:r>
          <a:r>
            <a:rPr lang="en-GB" sz="1200" b="1" kern="1200" dirty="0" smtClean="0"/>
            <a:t>strategy</a:t>
          </a:r>
          <a:endParaRPr lang="en-GB" sz="1200" b="1" kern="1200" dirty="0"/>
        </a:p>
      </dsp:txBody>
      <dsp:txXfrm>
        <a:off x="0" y="0"/>
        <a:ext cx="1791843" cy="779206"/>
      </dsp:txXfrm>
    </dsp:sp>
    <dsp:sp modelId="{EA4D87FA-4A21-3D43-9DBA-CF67A1D2F6EC}">
      <dsp:nvSpPr>
        <dsp:cNvPr id="0" name=""/>
        <dsp:cNvSpPr/>
      </dsp:nvSpPr>
      <dsp:spPr>
        <a:xfrm>
          <a:off x="1852147" y="221735"/>
          <a:ext cx="3987463" cy="3143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dirty="0" smtClean="0"/>
            <a:t>10 thematic objectives (TO)</a:t>
          </a:r>
          <a:endParaRPr lang="en-GB" sz="1200" b="1" kern="1200" dirty="0"/>
        </a:p>
      </dsp:txBody>
      <dsp:txXfrm>
        <a:off x="1861353" y="230941"/>
        <a:ext cx="3969051" cy="295911"/>
      </dsp:txXfrm>
    </dsp:sp>
    <dsp:sp modelId="{46AB25BD-F58B-3749-A677-D92968572A9A}">
      <dsp:nvSpPr>
        <dsp:cNvPr id="0" name=""/>
        <dsp:cNvSpPr/>
      </dsp:nvSpPr>
      <dsp:spPr>
        <a:xfrm>
          <a:off x="2000855" y="536058"/>
          <a:ext cx="1845023" cy="572400"/>
        </a:xfrm>
        <a:custGeom>
          <a:avLst/>
          <a:gdLst/>
          <a:ahLst/>
          <a:cxnLst/>
          <a:rect l="0" t="0" r="0" b="0"/>
          <a:pathLst>
            <a:path>
              <a:moveTo>
                <a:pt x="1845023" y="0"/>
              </a:moveTo>
              <a:lnTo>
                <a:pt x="1845023" y="286200"/>
              </a:lnTo>
              <a:lnTo>
                <a:pt x="0" y="286200"/>
              </a:lnTo>
              <a:lnTo>
                <a:pt x="0"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C80516-0712-E94C-ADCA-D6FAB3002E93}">
      <dsp:nvSpPr>
        <dsp:cNvPr id="0" name=""/>
        <dsp:cNvSpPr/>
      </dsp:nvSpPr>
      <dsp:spPr>
        <a:xfrm>
          <a:off x="1799988"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u="none" kern="1200" dirty="0" smtClean="0"/>
            <a:t>TO1</a:t>
          </a:r>
          <a:endParaRPr lang="en-GB" sz="1100" b="1" u="none" kern="1200" dirty="0"/>
        </a:p>
      </dsp:txBody>
      <dsp:txXfrm>
        <a:off x="1807832" y="1116303"/>
        <a:ext cx="386047" cy="252135"/>
      </dsp:txXfrm>
    </dsp:sp>
    <dsp:sp modelId="{288801B9-5417-6B4F-9133-C42FD27A48BD}">
      <dsp:nvSpPr>
        <dsp:cNvPr id="0" name=""/>
        <dsp:cNvSpPr/>
      </dsp:nvSpPr>
      <dsp:spPr>
        <a:xfrm>
          <a:off x="1955131" y="1376283"/>
          <a:ext cx="91440" cy="514583"/>
        </a:xfrm>
        <a:custGeom>
          <a:avLst/>
          <a:gdLst/>
          <a:ahLst/>
          <a:cxnLst/>
          <a:rect l="0" t="0" r="0" b="0"/>
          <a:pathLst>
            <a:path>
              <a:moveTo>
                <a:pt x="45724" y="0"/>
              </a:moveTo>
              <a:lnTo>
                <a:pt x="45724" y="257291"/>
              </a:lnTo>
              <a:lnTo>
                <a:pt x="45720" y="257291"/>
              </a:lnTo>
              <a:lnTo>
                <a:pt x="45720" y="514583"/>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667AD-6F76-CC47-8856-502C3553AC2F}">
      <dsp:nvSpPr>
        <dsp:cNvPr id="0" name=""/>
        <dsp:cNvSpPr/>
      </dsp:nvSpPr>
      <dsp:spPr>
        <a:xfrm>
          <a:off x="1799984" y="1890866"/>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TO1</a:t>
          </a:r>
          <a:endParaRPr lang="en-GB" sz="1100" b="1" kern="1200" dirty="0"/>
        </a:p>
      </dsp:txBody>
      <dsp:txXfrm>
        <a:off x="1807828" y="1898710"/>
        <a:ext cx="386047" cy="252135"/>
      </dsp:txXfrm>
    </dsp:sp>
    <dsp:sp modelId="{B707356E-A657-D049-BD56-AA40F790F54D}">
      <dsp:nvSpPr>
        <dsp:cNvPr id="0" name=""/>
        <dsp:cNvSpPr/>
      </dsp:nvSpPr>
      <dsp:spPr>
        <a:xfrm>
          <a:off x="1955131" y="2158690"/>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D86FC8-9480-A34C-A45C-14F26BC2EB2D}">
      <dsp:nvSpPr>
        <dsp:cNvPr id="0" name=""/>
        <dsp:cNvSpPr/>
      </dsp:nvSpPr>
      <dsp:spPr>
        <a:xfrm>
          <a:off x="1799984" y="2673270"/>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TO1</a:t>
          </a:r>
          <a:endParaRPr lang="en-GB" sz="1100" b="1" kern="1200" dirty="0"/>
        </a:p>
      </dsp:txBody>
      <dsp:txXfrm>
        <a:off x="1807828" y="2681114"/>
        <a:ext cx="386047" cy="252135"/>
      </dsp:txXfrm>
    </dsp:sp>
    <dsp:sp modelId="{9A3AE737-1479-0043-8BE9-4C87D08E8A76}">
      <dsp:nvSpPr>
        <dsp:cNvPr id="0" name=""/>
        <dsp:cNvSpPr/>
      </dsp:nvSpPr>
      <dsp:spPr>
        <a:xfrm>
          <a:off x="1955131" y="2941094"/>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413BD0-F315-0540-829B-4D9B0026A557}">
      <dsp:nvSpPr>
        <dsp:cNvPr id="0" name=""/>
        <dsp:cNvSpPr/>
      </dsp:nvSpPr>
      <dsp:spPr>
        <a:xfrm>
          <a:off x="1799984" y="3455675"/>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TO1</a:t>
          </a:r>
          <a:endParaRPr lang="en-GB" sz="1100" b="1" kern="1200" dirty="0"/>
        </a:p>
      </dsp:txBody>
      <dsp:txXfrm>
        <a:off x="1807828" y="3463519"/>
        <a:ext cx="386047" cy="252135"/>
      </dsp:txXfrm>
    </dsp:sp>
    <dsp:sp modelId="{2ADD5497-5C23-434B-B629-C10D0793BC65}">
      <dsp:nvSpPr>
        <dsp:cNvPr id="0" name=""/>
        <dsp:cNvSpPr/>
      </dsp:nvSpPr>
      <dsp:spPr>
        <a:xfrm>
          <a:off x="2522457" y="536058"/>
          <a:ext cx="1323421" cy="572400"/>
        </a:xfrm>
        <a:custGeom>
          <a:avLst/>
          <a:gdLst/>
          <a:ahLst/>
          <a:cxnLst/>
          <a:rect l="0" t="0" r="0" b="0"/>
          <a:pathLst>
            <a:path>
              <a:moveTo>
                <a:pt x="1323421" y="0"/>
              </a:moveTo>
              <a:lnTo>
                <a:pt x="1323421" y="286200"/>
              </a:lnTo>
              <a:lnTo>
                <a:pt x="0" y="286200"/>
              </a:lnTo>
              <a:lnTo>
                <a:pt x="0"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3EEE40-1F02-E448-9719-CA8DC3126F70}">
      <dsp:nvSpPr>
        <dsp:cNvPr id="0" name=""/>
        <dsp:cNvSpPr/>
      </dsp:nvSpPr>
      <dsp:spPr>
        <a:xfrm>
          <a:off x="2321589"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TO2</a:t>
          </a:r>
          <a:r>
            <a:rPr lang="en-GB" sz="1100" kern="1200" dirty="0" smtClean="0"/>
            <a:t> </a:t>
          </a:r>
          <a:endParaRPr lang="en-GB" sz="1100" kern="1200" dirty="0"/>
        </a:p>
      </dsp:txBody>
      <dsp:txXfrm>
        <a:off x="2329433" y="1116303"/>
        <a:ext cx="386047" cy="252135"/>
      </dsp:txXfrm>
    </dsp:sp>
    <dsp:sp modelId="{C535E999-CBDC-6C45-A3BE-B542E7121C2F}">
      <dsp:nvSpPr>
        <dsp:cNvPr id="0" name=""/>
        <dsp:cNvSpPr/>
      </dsp:nvSpPr>
      <dsp:spPr>
        <a:xfrm>
          <a:off x="2476737" y="1376283"/>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BA3E17-452D-994A-91F0-4AD71FB9D03F}">
      <dsp:nvSpPr>
        <dsp:cNvPr id="0" name=""/>
        <dsp:cNvSpPr/>
      </dsp:nvSpPr>
      <dsp:spPr>
        <a:xfrm>
          <a:off x="2321589" y="1890864"/>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0" kern="1200" dirty="0" smtClean="0"/>
            <a:t>TO2</a:t>
          </a:r>
          <a:endParaRPr lang="en-GB" sz="1100" b="0" kern="1200" dirty="0"/>
        </a:p>
      </dsp:txBody>
      <dsp:txXfrm>
        <a:off x="2329433" y="1898708"/>
        <a:ext cx="386047" cy="252135"/>
      </dsp:txXfrm>
    </dsp:sp>
    <dsp:sp modelId="{C0EBB89C-1132-2541-9ED1-E42B8D95D842}">
      <dsp:nvSpPr>
        <dsp:cNvPr id="0" name=""/>
        <dsp:cNvSpPr/>
      </dsp:nvSpPr>
      <dsp:spPr>
        <a:xfrm>
          <a:off x="3044058" y="536058"/>
          <a:ext cx="801820" cy="572400"/>
        </a:xfrm>
        <a:custGeom>
          <a:avLst/>
          <a:gdLst/>
          <a:ahLst/>
          <a:cxnLst/>
          <a:rect l="0" t="0" r="0" b="0"/>
          <a:pathLst>
            <a:path>
              <a:moveTo>
                <a:pt x="801820" y="0"/>
              </a:moveTo>
              <a:lnTo>
                <a:pt x="801820" y="286200"/>
              </a:lnTo>
              <a:lnTo>
                <a:pt x="0" y="286200"/>
              </a:lnTo>
              <a:lnTo>
                <a:pt x="0"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8BD61E-7034-FC4C-B002-24045EF7895D}">
      <dsp:nvSpPr>
        <dsp:cNvPr id="0" name=""/>
        <dsp:cNvSpPr/>
      </dsp:nvSpPr>
      <dsp:spPr>
        <a:xfrm>
          <a:off x="2843191"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TO3</a:t>
          </a:r>
          <a:endParaRPr lang="en-GB" sz="1100" b="1" kern="1200" dirty="0"/>
        </a:p>
      </dsp:txBody>
      <dsp:txXfrm>
        <a:off x="2851035" y="1116303"/>
        <a:ext cx="386047" cy="252135"/>
      </dsp:txXfrm>
    </dsp:sp>
    <dsp:sp modelId="{938F8DE4-BC3C-E04A-9D33-BD7E4738FDB9}">
      <dsp:nvSpPr>
        <dsp:cNvPr id="0" name=""/>
        <dsp:cNvSpPr/>
      </dsp:nvSpPr>
      <dsp:spPr>
        <a:xfrm>
          <a:off x="2998338" y="1376283"/>
          <a:ext cx="91440" cy="514583"/>
        </a:xfrm>
        <a:custGeom>
          <a:avLst/>
          <a:gdLst/>
          <a:ahLst/>
          <a:cxnLst/>
          <a:rect l="0" t="0" r="0" b="0"/>
          <a:pathLst>
            <a:path>
              <a:moveTo>
                <a:pt x="45720" y="0"/>
              </a:moveTo>
              <a:lnTo>
                <a:pt x="45720" y="514583"/>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9060F1-1FE3-4448-AA66-AC37920503D6}">
      <dsp:nvSpPr>
        <dsp:cNvPr id="0" name=""/>
        <dsp:cNvSpPr/>
      </dsp:nvSpPr>
      <dsp:spPr>
        <a:xfrm>
          <a:off x="2843191" y="1890866"/>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TO3</a:t>
          </a:r>
          <a:endParaRPr lang="en-GB" sz="1100" kern="1200" dirty="0"/>
        </a:p>
      </dsp:txBody>
      <dsp:txXfrm>
        <a:off x="2851035" y="1898710"/>
        <a:ext cx="386047" cy="252135"/>
      </dsp:txXfrm>
    </dsp:sp>
    <dsp:sp modelId="{5C898253-548E-DA4F-B5CF-0D8464743193}">
      <dsp:nvSpPr>
        <dsp:cNvPr id="0" name=""/>
        <dsp:cNvSpPr/>
      </dsp:nvSpPr>
      <dsp:spPr>
        <a:xfrm>
          <a:off x="2998338" y="2158690"/>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1CA204-4193-3A42-9412-6EBD5A9B1A3B}">
      <dsp:nvSpPr>
        <dsp:cNvPr id="0" name=""/>
        <dsp:cNvSpPr/>
      </dsp:nvSpPr>
      <dsp:spPr>
        <a:xfrm>
          <a:off x="2843191" y="2673270"/>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TO3</a:t>
          </a:r>
          <a:endParaRPr lang="en-GB" sz="1100" kern="1200" dirty="0"/>
        </a:p>
      </dsp:txBody>
      <dsp:txXfrm>
        <a:off x="2851035" y="2681114"/>
        <a:ext cx="386047" cy="252135"/>
      </dsp:txXfrm>
    </dsp:sp>
    <dsp:sp modelId="{52DFEFD5-E777-0B40-9876-8A86E56ACCFD}">
      <dsp:nvSpPr>
        <dsp:cNvPr id="0" name=""/>
        <dsp:cNvSpPr/>
      </dsp:nvSpPr>
      <dsp:spPr>
        <a:xfrm>
          <a:off x="3565664" y="536058"/>
          <a:ext cx="280214" cy="572400"/>
        </a:xfrm>
        <a:custGeom>
          <a:avLst/>
          <a:gdLst/>
          <a:ahLst/>
          <a:cxnLst/>
          <a:rect l="0" t="0" r="0" b="0"/>
          <a:pathLst>
            <a:path>
              <a:moveTo>
                <a:pt x="280214" y="0"/>
              </a:moveTo>
              <a:lnTo>
                <a:pt x="280214" y="286200"/>
              </a:lnTo>
              <a:lnTo>
                <a:pt x="0" y="286200"/>
              </a:lnTo>
              <a:lnTo>
                <a:pt x="0"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082CAD-FF11-624D-BB5B-EAE17C644611}">
      <dsp:nvSpPr>
        <dsp:cNvPr id="0" name=""/>
        <dsp:cNvSpPr/>
      </dsp:nvSpPr>
      <dsp:spPr>
        <a:xfrm>
          <a:off x="3364796"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u="none" kern="1200" dirty="0" smtClean="0"/>
            <a:t>TO4</a:t>
          </a:r>
          <a:endParaRPr lang="en-GB" sz="1100" b="1" u="none" kern="1200" dirty="0"/>
        </a:p>
      </dsp:txBody>
      <dsp:txXfrm>
        <a:off x="3372640" y="1116303"/>
        <a:ext cx="386047" cy="252135"/>
      </dsp:txXfrm>
    </dsp:sp>
    <dsp:sp modelId="{09A88717-8E93-D546-935B-85D3A6556405}">
      <dsp:nvSpPr>
        <dsp:cNvPr id="0" name=""/>
        <dsp:cNvSpPr/>
      </dsp:nvSpPr>
      <dsp:spPr>
        <a:xfrm>
          <a:off x="3519944" y="1376283"/>
          <a:ext cx="91440" cy="514583"/>
        </a:xfrm>
        <a:custGeom>
          <a:avLst/>
          <a:gdLst/>
          <a:ahLst/>
          <a:cxnLst/>
          <a:rect l="0" t="0" r="0" b="0"/>
          <a:pathLst>
            <a:path>
              <a:moveTo>
                <a:pt x="45720" y="0"/>
              </a:moveTo>
              <a:lnTo>
                <a:pt x="45720" y="514583"/>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849D49-4FB4-5D44-B96B-45A423FB93FD}">
      <dsp:nvSpPr>
        <dsp:cNvPr id="0" name=""/>
        <dsp:cNvSpPr/>
      </dsp:nvSpPr>
      <dsp:spPr>
        <a:xfrm>
          <a:off x="3364796" y="1890866"/>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TO4</a:t>
          </a:r>
          <a:endParaRPr lang="en-GB" sz="1100" kern="1200" dirty="0"/>
        </a:p>
      </dsp:txBody>
      <dsp:txXfrm>
        <a:off x="3372640" y="1898710"/>
        <a:ext cx="386047" cy="252135"/>
      </dsp:txXfrm>
    </dsp:sp>
    <dsp:sp modelId="{4EF12772-E395-3F4F-AA83-20CB7EB080A7}">
      <dsp:nvSpPr>
        <dsp:cNvPr id="0" name=""/>
        <dsp:cNvSpPr/>
      </dsp:nvSpPr>
      <dsp:spPr>
        <a:xfrm>
          <a:off x="3519944" y="2158690"/>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3AC43B-3701-654C-A9CA-8B597AF5D20B}">
      <dsp:nvSpPr>
        <dsp:cNvPr id="0" name=""/>
        <dsp:cNvSpPr/>
      </dsp:nvSpPr>
      <dsp:spPr>
        <a:xfrm>
          <a:off x="3364796" y="2673270"/>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TO4</a:t>
          </a:r>
          <a:endParaRPr lang="en-GB" sz="1100" kern="1200" dirty="0"/>
        </a:p>
      </dsp:txBody>
      <dsp:txXfrm>
        <a:off x="3372640" y="2681114"/>
        <a:ext cx="386047" cy="252135"/>
      </dsp:txXfrm>
    </dsp:sp>
    <dsp:sp modelId="{2F7493ED-AEBB-7F4D-B24E-B156DF26D80A}">
      <dsp:nvSpPr>
        <dsp:cNvPr id="0" name=""/>
        <dsp:cNvSpPr/>
      </dsp:nvSpPr>
      <dsp:spPr>
        <a:xfrm>
          <a:off x="3845878" y="536058"/>
          <a:ext cx="241386" cy="572400"/>
        </a:xfrm>
        <a:custGeom>
          <a:avLst/>
          <a:gdLst/>
          <a:ahLst/>
          <a:cxnLst/>
          <a:rect l="0" t="0" r="0" b="0"/>
          <a:pathLst>
            <a:path>
              <a:moveTo>
                <a:pt x="0" y="0"/>
              </a:moveTo>
              <a:lnTo>
                <a:pt x="0" y="286200"/>
              </a:lnTo>
              <a:lnTo>
                <a:pt x="241386" y="286200"/>
              </a:lnTo>
              <a:lnTo>
                <a:pt x="241386"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EA9C09-8BDB-8D4C-8898-AA92AB480B55}">
      <dsp:nvSpPr>
        <dsp:cNvPr id="0" name=""/>
        <dsp:cNvSpPr/>
      </dsp:nvSpPr>
      <dsp:spPr>
        <a:xfrm>
          <a:off x="3886398"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TO5</a:t>
          </a:r>
          <a:endParaRPr lang="en-GB" sz="1100" kern="1200" dirty="0"/>
        </a:p>
      </dsp:txBody>
      <dsp:txXfrm>
        <a:off x="3894242" y="1116303"/>
        <a:ext cx="386047" cy="252135"/>
      </dsp:txXfrm>
    </dsp:sp>
    <dsp:sp modelId="{FE84D422-D38E-E147-BBCA-B8672E335698}">
      <dsp:nvSpPr>
        <dsp:cNvPr id="0" name=""/>
        <dsp:cNvSpPr/>
      </dsp:nvSpPr>
      <dsp:spPr>
        <a:xfrm>
          <a:off x="3845878" y="536058"/>
          <a:ext cx="762988" cy="572400"/>
        </a:xfrm>
        <a:custGeom>
          <a:avLst/>
          <a:gdLst/>
          <a:ahLst/>
          <a:cxnLst/>
          <a:rect l="0" t="0" r="0" b="0"/>
          <a:pathLst>
            <a:path>
              <a:moveTo>
                <a:pt x="0" y="0"/>
              </a:moveTo>
              <a:lnTo>
                <a:pt x="0" y="286200"/>
              </a:lnTo>
              <a:lnTo>
                <a:pt x="762988" y="286200"/>
              </a:lnTo>
              <a:lnTo>
                <a:pt x="762988"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BDA8E4-074B-E24C-83B6-E761FE08AA16}">
      <dsp:nvSpPr>
        <dsp:cNvPr id="0" name=""/>
        <dsp:cNvSpPr/>
      </dsp:nvSpPr>
      <dsp:spPr>
        <a:xfrm>
          <a:off x="4407999"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u="none" kern="1200" dirty="0" smtClean="0"/>
            <a:t>TO6</a:t>
          </a:r>
          <a:endParaRPr lang="en-GB" sz="1100" b="1" u="none" kern="1200" dirty="0"/>
        </a:p>
      </dsp:txBody>
      <dsp:txXfrm>
        <a:off x="4415843" y="1116303"/>
        <a:ext cx="386047" cy="252135"/>
      </dsp:txXfrm>
    </dsp:sp>
    <dsp:sp modelId="{7EB36DB8-3514-7340-A480-159548F62196}">
      <dsp:nvSpPr>
        <dsp:cNvPr id="0" name=""/>
        <dsp:cNvSpPr/>
      </dsp:nvSpPr>
      <dsp:spPr>
        <a:xfrm>
          <a:off x="4563147" y="1376283"/>
          <a:ext cx="91440" cy="514583"/>
        </a:xfrm>
        <a:custGeom>
          <a:avLst/>
          <a:gdLst/>
          <a:ahLst/>
          <a:cxnLst/>
          <a:rect l="0" t="0" r="0" b="0"/>
          <a:pathLst>
            <a:path>
              <a:moveTo>
                <a:pt x="45720" y="0"/>
              </a:moveTo>
              <a:lnTo>
                <a:pt x="45720" y="514583"/>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694EDF-CA1D-6445-A44B-56A99ED1427E}">
      <dsp:nvSpPr>
        <dsp:cNvPr id="0" name=""/>
        <dsp:cNvSpPr/>
      </dsp:nvSpPr>
      <dsp:spPr>
        <a:xfrm>
          <a:off x="4407999" y="1890866"/>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TO6</a:t>
          </a:r>
          <a:endParaRPr lang="en-GB" sz="1100" b="1" kern="1200" dirty="0"/>
        </a:p>
      </dsp:txBody>
      <dsp:txXfrm>
        <a:off x="4415843" y="1898710"/>
        <a:ext cx="386047" cy="252135"/>
      </dsp:txXfrm>
    </dsp:sp>
    <dsp:sp modelId="{B1A33558-C3FD-3B43-BDA5-1ED83C38D871}">
      <dsp:nvSpPr>
        <dsp:cNvPr id="0" name=""/>
        <dsp:cNvSpPr/>
      </dsp:nvSpPr>
      <dsp:spPr>
        <a:xfrm>
          <a:off x="4563147" y="2158690"/>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850AE-ADB9-DC4D-B3CE-5C45F5F15B3E}">
      <dsp:nvSpPr>
        <dsp:cNvPr id="0" name=""/>
        <dsp:cNvSpPr/>
      </dsp:nvSpPr>
      <dsp:spPr>
        <a:xfrm>
          <a:off x="4407999" y="2673270"/>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TO6</a:t>
          </a:r>
          <a:endParaRPr lang="en-GB" sz="1100" b="1" kern="1200" dirty="0"/>
        </a:p>
      </dsp:txBody>
      <dsp:txXfrm>
        <a:off x="4415843" y="2681114"/>
        <a:ext cx="386047" cy="252135"/>
      </dsp:txXfrm>
    </dsp:sp>
    <dsp:sp modelId="{46CFD97B-B0E6-A54A-9802-F98DB8D4D6E8}">
      <dsp:nvSpPr>
        <dsp:cNvPr id="0" name=""/>
        <dsp:cNvSpPr/>
      </dsp:nvSpPr>
      <dsp:spPr>
        <a:xfrm>
          <a:off x="4563147" y="2941094"/>
          <a:ext cx="91440" cy="514580"/>
        </a:xfrm>
        <a:custGeom>
          <a:avLst/>
          <a:gdLst/>
          <a:ahLst/>
          <a:cxnLst/>
          <a:rect l="0" t="0" r="0" b="0"/>
          <a:pathLst>
            <a:path>
              <a:moveTo>
                <a:pt x="45720" y="0"/>
              </a:moveTo>
              <a:lnTo>
                <a:pt x="45720" y="514580"/>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A67DB0-B265-BC43-A7CB-0CCB4E79D8E2}">
      <dsp:nvSpPr>
        <dsp:cNvPr id="0" name=""/>
        <dsp:cNvSpPr/>
      </dsp:nvSpPr>
      <dsp:spPr>
        <a:xfrm>
          <a:off x="4407999" y="3455675"/>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TO6</a:t>
          </a:r>
          <a:endParaRPr lang="en-GB" sz="1100" b="1" kern="1200" dirty="0"/>
        </a:p>
      </dsp:txBody>
      <dsp:txXfrm>
        <a:off x="4415843" y="3463519"/>
        <a:ext cx="386047" cy="252135"/>
      </dsp:txXfrm>
    </dsp:sp>
    <dsp:sp modelId="{060CC184-2F23-2448-85A5-F170983B1D05}">
      <dsp:nvSpPr>
        <dsp:cNvPr id="0" name=""/>
        <dsp:cNvSpPr/>
      </dsp:nvSpPr>
      <dsp:spPr>
        <a:xfrm>
          <a:off x="3845878" y="536058"/>
          <a:ext cx="1284593" cy="572400"/>
        </a:xfrm>
        <a:custGeom>
          <a:avLst/>
          <a:gdLst/>
          <a:ahLst/>
          <a:cxnLst/>
          <a:rect l="0" t="0" r="0" b="0"/>
          <a:pathLst>
            <a:path>
              <a:moveTo>
                <a:pt x="0" y="0"/>
              </a:moveTo>
              <a:lnTo>
                <a:pt x="0" y="286200"/>
              </a:lnTo>
              <a:lnTo>
                <a:pt x="1284593" y="286200"/>
              </a:lnTo>
              <a:lnTo>
                <a:pt x="1284593"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DAC34F-D397-8842-B46F-22D67905F0C8}">
      <dsp:nvSpPr>
        <dsp:cNvPr id="0" name=""/>
        <dsp:cNvSpPr/>
      </dsp:nvSpPr>
      <dsp:spPr>
        <a:xfrm>
          <a:off x="4929605"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u="none" kern="1200" dirty="0" smtClean="0"/>
            <a:t>TO7</a:t>
          </a:r>
          <a:endParaRPr lang="en-GB" sz="1100" b="1" u="none" kern="1200" dirty="0"/>
        </a:p>
      </dsp:txBody>
      <dsp:txXfrm>
        <a:off x="4937449" y="1116303"/>
        <a:ext cx="386047" cy="252135"/>
      </dsp:txXfrm>
    </dsp:sp>
    <dsp:sp modelId="{C9566D97-C3F0-7F4F-B0B3-4F23B5612AEC}">
      <dsp:nvSpPr>
        <dsp:cNvPr id="0" name=""/>
        <dsp:cNvSpPr/>
      </dsp:nvSpPr>
      <dsp:spPr>
        <a:xfrm>
          <a:off x="5084752" y="1376283"/>
          <a:ext cx="91440" cy="514583"/>
        </a:xfrm>
        <a:custGeom>
          <a:avLst/>
          <a:gdLst/>
          <a:ahLst/>
          <a:cxnLst/>
          <a:rect l="0" t="0" r="0" b="0"/>
          <a:pathLst>
            <a:path>
              <a:moveTo>
                <a:pt x="45720" y="0"/>
              </a:moveTo>
              <a:lnTo>
                <a:pt x="45720" y="514583"/>
              </a:lnTo>
            </a:path>
          </a:pathLst>
        </a:custGeom>
        <a:noFill/>
        <a:ln w="3175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FCCE20-97FB-9B4B-B626-B86C40ADBABD}">
      <dsp:nvSpPr>
        <dsp:cNvPr id="0" name=""/>
        <dsp:cNvSpPr/>
      </dsp:nvSpPr>
      <dsp:spPr>
        <a:xfrm>
          <a:off x="4929605" y="1890866"/>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dirty="0" smtClean="0"/>
            <a:t>TO7</a:t>
          </a:r>
          <a:endParaRPr lang="en-GB" sz="1100" kern="1200" dirty="0"/>
        </a:p>
      </dsp:txBody>
      <dsp:txXfrm>
        <a:off x="4937449" y="1898710"/>
        <a:ext cx="386047" cy="252135"/>
      </dsp:txXfrm>
    </dsp:sp>
    <dsp:sp modelId="{6020B5B9-8A87-B349-A4D7-B722917DFA10}">
      <dsp:nvSpPr>
        <dsp:cNvPr id="0" name=""/>
        <dsp:cNvSpPr/>
      </dsp:nvSpPr>
      <dsp:spPr>
        <a:xfrm>
          <a:off x="3845878" y="536058"/>
          <a:ext cx="1806195" cy="572400"/>
        </a:xfrm>
        <a:custGeom>
          <a:avLst/>
          <a:gdLst/>
          <a:ahLst/>
          <a:cxnLst/>
          <a:rect l="0" t="0" r="0" b="0"/>
          <a:pathLst>
            <a:path>
              <a:moveTo>
                <a:pt x="0" y="0"/>
              </a:moveTo>
              <a:lnTo>
                <a:pt x="0" y="286200"/>
              </a:lnTo>
              <a:lnTo>
                <a:pt x="1806195" y="286200"/>
              </a:lnTo>
              <a:lnTo>
                <a:pt x="1806195" y="572400"/>
              </a:lnTo>
            </a:path>
          </a:pathLst>
        </a:custGeom>
        <a:noFill/>
        <a:ln w="3175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0171C-E8BF-3849-A32B-5F1E7A65FCD6}">
      <dsp:nvSpPr>
        <dsp:cNvPr id="0" name=""/>
        <dsp:cNvSpPr/>
      </dsp:nvSpPr>
      <dsp:spPr>
        <a:xfrm>
          <a:off x="5451206" y="1108459"/>
          <a:ext cx="401735" cy="267823"/>
        </a:xfrm>
        <a:prstGeom prst="roundRect">
          <a:avLst>
            <a:gd name="adj" fmla="val 10000"/>
          </a:avLst>
        </a:prstGeom>
        <a:blipFill rotWithShape="0">
          <a:blip xmlns:r="http://schemas.openxmlformats.org/officeDocument/2006/relationships" r:embed="rId1">
            <a:duotone>
              <a:schemeClr val="accent4">
                <a:hueOff val="0"/>
                <a:satOff val="0"/>
                <a:lumOff val="0"/>
                <a:alphaOff val="0"/>
                <a:satMod val="150000"/>
                <a:lumMod val="50000"/>
              </a:schemeClr>
              <a:schemeClr val="accent4">
                <a:hueOff val="0"/>
                <a:satOff val="0"/>
                <a:lumOff val="0"/>
                <a:alphaOff val="0"/>
                <a:satMod val="300000"/>
                <a:lumMod val="125000"/>
              </a:schemeClr>
            </a:duotone>
          </a:blip>
          <a:tile tx="0" ty="0" sx="100000" sy="100000" flip="none" algn="tl"/>
        </a:blip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b="1" kern="1200" dirty="0" smtClean="0"/>
            <a:t>TO8</a:t>
          </a:r>
          <a:endParaRPr lang="en-GB" sz="1100" b="1" kern="1200" dirty="0"/>
        </a:p>
      </dsp:txBody>
      <dsp:txXfrm>
        <a:off x="5459050" y="1116303"/>
        <a:ext cx="386047" cy="2521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A3711-A388-FB49-BFF6-552795C30A53}">
      <dsp:nvSpPr>
        <dsp:cNvPr id="0" name=""/>
        <dsp:cNvSpPr/>
      </dsp:nvSpPr>
      <dsp:spPr>
        <a:xfrm>
          <a:off x="0" y="1329388"/>
          <a:ext cx="6705600" cy="436232"/>
        </a:xfrm>
        <a:prstGeom prst="rect">
          <a:avLst/>
        </a:prstGeom>
        <a:solidFill>
          <a:schemeClr val="accent4">
            <a:alpha val="90000"/>
            <a:hueOff val="0"/>
            <a:satOff val="0"/>
            <a:lumOff val="0"/>
            <a:alphaOff val="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Black Sea Basin Programme Objective 1</a:t>
          </a:r>
        </a:p>
      </dsp:txBody>
      <dsp:txXfrm>
        <a:off x="0" y="1329388"/>
        <a:ext cx="6705600" cy="235565"/>
      </dsp:txXfrm>
    </dsp:sp>
    <dsp:sp modelId="{B11730FB-18E1-C943-B084-4CDF1F59127B}">
      <dsp:nvSpPr>
        <dsp:cNvPr id="0" name=""/>
        <dsp:cNvSpPr/>
      </dsp:nvSpPr>
      <dsp:spPr>
        <a:xfrm>
          <a:off x="0" y="1555917"/>
          <a:ext cx="6705600" cy="200666"/>
        </a:xfrm>
        <a:prstGeom prst="rect">
          <a:avLst/>
        </a:prstGeom>
        <a:solidFill>
          <a:schemeClr val="accent4">
            <a:alpha val="90000"/>
            <a:tint val="40000"/>
            <a:hueOff val="0"/>
            <a:satOff val="0"/>
            <a:lumOff val="0"/>
            <a:alphaOff val="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GB" sz="1200" b="0" kern="1200"/>
            <a:t>Promote business and entrepreneurship within the Black Sea Basin </a:t>
          </a:r>
          <a:endParaRPr lang="fr-FR" sz="1200" b="0" kern="1200"/>
        </a:p>
      </dsp:txBody>
      <dsp:txXfrm>
        <a:off x="0" y="1555917"/>
        <a:ext cx="6705600" cy="200666"/>
      </dsp:txXfrm>
    </dsp:sp>
    <dsp:sp modelId="{56F73381-5B2C-D24B-B832-B5FAE6BF7A7E}">
      <dsp:nvSpPr>
        <dsp:cNvPr id="0" name=""/>
        <dsp:cNvSpPr/>
      </dsp:nvSpPr>
      <dsp:spPr>
        <a:xfrm rot="10800000">
          <a:off x="0" y="664694"/>
          <a:ext cx="6705600" cy="670925"/>
        </a:xfrm>
        <a:prstGeom prst="upArrowCallout">
          <a:avLst/>
        </a:prstGeom>
        <a:solidFill>
          <a:schemeClr val="accent4">
            <a:alpha val="90000"/>
            <a:hueOff val="0"/>
            <a:satOff val="0"/>
            <a:lumOff val="0"/>
            <a:alphaOff val="-2000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ENI CBC Thematic Objective 1</a:t>
          </a:r>
        </a:p>
      </dsp:txBody>
      <dsp:txXfrm rot="-10800000">
        <a:off x="0" y="664694"/>
        <a:ext cx="6705600" cy="235494"/>
      </dsp:txXfrm>
    </dsp:sp>
    <dsp:sp modelId="{1A2A1C0C-BF5A-0847-8E7B-04D461F52224}">
      <dsp:nvSpPr>
        <dsp:cNvPr id="0" name=""/>
        <dsp:cNvSpPr/>
      </dsp:nvSpPr>
      <dsp:spPr>
        <a:xfrm>
          <a:off x="0" y="900189"/>
          <a:ext cx="6705600" cy="200606"/>
        </a:xfrm>
        <a:prstGeom prst="rect">
          <a:avLst/>
        </a:prstGeom>
        <a:solidFill>
          <a:schemeClr val="accent4">
            <a:alpha val="90000"/>
            <a:tint val="40000"/>
            <a:hueOff val="0"/>
            <a:satOff val="0"/>
            <a:lumOff val="0"/>
            <a:alphaOff val="-2000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fr-FR" sz="1200" kern="1200"/>
            <a:t>Business and SME development</a:t>
          </a:r>
        </a:p>
      </dsp:txBody>
      <dsp:txXfrm>
        <a:off x="0" y="900189"/>
        <a:ext cx="6705600" cy="200606"/>
      </dsp:txXfrm>
    </dsp:sp>
    <dsp:sp modelId="{1F20F8E4-735C-9148-8848-5FB51BE7FC46}">
      <dsp:nvSpPr>
        <dsp:cNvPr id="0" name=""/>
        <dsp:cNvSpPr/>
      </dsp:nvSpPr>
      <dsp:spPr>
        <a:xfrm rot="10800000">
          <a:off x="0" y="312"/>
          <a:ext cx="6705600" cy="670925"/>
        </a:xfrm>
        <a:prstGeom prst="upArrowCallout">
          <a:avLst/>
        </a:prstGeom>
        <a:solidFill>
          <a:schemeClr val="accent4">
            <a:alpha val="90000"/>
            <a:hueOff val="0"/>
            <a:satOff val="0"/>
            <a:lumOff val="0"/>
            <a:alphaOff val="-4000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ENI CBC Overarching Strategic Objective A</a:t>
          </a:r>
        </a:p>
      </dsp:txBody>
      <dsp:txXfrm rot="-10800000">
        <a:off x="0" y="312"/>
        <a:ext cx="6705600" cy="235494"/>
      </dsp:txXfrm>
    </dsp:sp>
    <dsp:sp modelId="{87155499-1E5A-8E48-BFC0-FF4E62E7012B}">
      <dsp:nvSpPr>
        <dsp:cNvPr id="0" name=""/>
        <dsp:cNvSpPr/>
      </dsp:nvSpPr>
      <dsp:spPr>
        <a:xfrm>
          <a:off x="0" y="235806"/>
          <a:ext cx="6705600" cy="200606"/>
        </a:xfrm>
        <a:prstGeom prst="rect">
          <a:avLst/>
        </a:prstGeom>
        <a:solidFill>
          <a:schemeClr val="accent4">
            <a:alpha val="90000"/>
            <a:tint val="40000"/>
            <a:hueOff val="0"/>
            <a:satOff val="0"/>
            <a:lumOff val="0"/>
            <a:alphaOff val="-4000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GB" sz="1200" kern="1200"/>
            <a:t>Promote economic and social development in regions on both sides of common borders</a:t>
          </a:r>
          <a:endParaRPr lang="fr-FR" sz="1200" kern="1200"/>
        </a:p>
      </dsp:txBody>
      <dsp:txXfrm>
        <a:off x="0" y="235806"/>
        <a:ext cx="6705600" cy="2006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6A3711-A388-FB49-BFF6-552795C30A53}">
      <dsp:nvSpPr>
        <dsp:cNvPr id="0" name=""/>
        <dsp:cNvSpPr/>
      </dsp:nvSpPr>
      <dsp:spPr>
        <a:xfrm>
          <a:off x="0" y="1327878"/>
          <a:ext cx="6635519" cy="435839"/>
        </a:xfrm>
        <a:prstGeom prst="rect">
          <a:avLst/>
        </a:prstGeom>
        <a:solidFill>
          <a:schemeClr val="accent4">
            <a:alpha val="90000"/>
            <a:hueOff val="0"/>
            <a:satOff val="0"/>
            <a:lumOff val="0"/>
            <a:alphaOff val="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Black Sea Basin Programme Objective 2</a:t>
          </a:r>
        </a:p>
      </dsp:txBody>
      <dsp:txXfrm>
        <a:off x="0" y="1327878"/>
        <a:ext cx="6635519" cy="235353"/>
      </dsp:txXfrm>
    </dsp:sp>
    <dsp:sp modelId="{B11730FB-18E1-C943-B084-4CDF1F59127B}">
      <dsp:nvSpPr>
        <dsp:cNvPr id="0" name=""/>
        <dsp:cNvSpPr/>
      </dsp:nvSpPr>
      <dsp:spPr>
        <a:xfrm>
          <a:off x="0" y="1554515"/>
          <a:ext cx="6635519" cy="200486"/>
        </a:xfrm>
        <a:prstGeom prst="rect">
          <a:avLst/>
        </a:prstGeom>
        <a:solidFill>
          <a:schemeClr val="accent4">
            <a:alpha val="90000"/>
            <a:tint val="40000"/>
            <a:hueOff val="0"/>
            <a:satOff val="0"/>
            <a:lumOff val="0"/>
            <a:alphaOff val="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GB" sz="1200" b="0" kern="1200"/>
            <a:t>Promote coordination of environmental protection and joint reduction of marine litter </a:t>
          </a:r>
          <a:endParaRPr lang="fr-FR" sz="1200" b="0" kern="1200"/>
        </a:p>
      </dsp:txBody>
      <dsp:txXfrm>
        <a:off x="0" y="1554515"/>
        <a:ext cx="6635519" cy="200486"/>
      </dsp:txXfrm>
    </dsp:sp>
    <dsp:sp modelId="{56F73381-5B2C-D24B-B832-B5FAE6BF7A7E}">
      <dsp:nvSpPr>
        <dsp:cNvPr id="0" name=""/>
        <dsp:cNvSpPr/>
      </dsp:nvSpPr>
      <dsp:spPr>
        <a:xfrm rot="10800000">
          <a:off x="0" y="664095"/>
          <a:ext cx="6635519" cy="670321"/>
        </a:xfrm>
        <a:prstGeom prst="upArrowCallout">
          <a:avLst/>
        </a:prstGeom>
        <a:solidFill>
          <a:schemeClr val="accent4">
            <a:alpha val="90000"/>
            <a:hueOff val="0"/>
            <a:satOff val="0"/>
            <a:lumOff val="0"/>
            <a:alphaOff val="-2000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ENI CBC Thematic Objective 6</a:t>
          </a:r>
        </a:p>
      </dsp:txBody>
      <dsp:txXfrm rot="-10800000">
        <a:off x="0" y="664095"/>
        <a:ext cx="6635519" cy="235282"/>
      </dsp:txXfrm>
    </dsp:sp>
    <dsp:sp modelId="{1A2A1C0C-BF5A-0847-8E7B-04D461F52224}">
      <dsp:nvSpPr>
        <dsp:cNvPr id="0" name=""/>
        <dsp:cNvSpPr/>
      </dsp:nvSpPr>
      <dsp:spPr>
        <a:xfrm>
          <a:off x="0" y="899377"/>
          <a:ext cx="6635519" cy="200425"/>
        </a:xfrm>
        <a:prstGeom prst="rect">
          <a:avLst/>
        </a:prstGeom>
        <a:solidFill>
          <a:schemeClr val="accent4">
            <a:alpha val="90000"/>
            <a:tint val="40000"/>
            <a:hueOff val="0"/>
            <a:satOff val="0"/>
            <a:lumOff val="0"/>
            <a:alphaOff val="-2000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GB" sz="1200" kern="1200"/>
            <a:t>Environmental protection, and climate change mitigation and adaptation</a:t>
          </a:r>
          <a:endParaRPr lang="fr-FR" sz="1200" kern="1200"/>
        </a:p>
      </dsp:txBody>
      <dsp:txXfrm>
        <a:off x="0" y="899377"/>
        <a:ext cx="6635519" cy="200425"/>
      </dsp:txXfrm>
    </dsp:sp>
    <dsp:sp modelId="{1F20F8E4-735C-9148-8848-5FB51BE7FC46}">
      <dsp:nvSpPr>
        <dsp:cNvPr id="0" name=""/>
        <dsp:cNvSpPr/>
      </dsp:nvSpPr>
      <dsp:spPr>
        <a:xfrm rot="10800000">
          <a:off x="0" y="311"/>
          <a:ext cx="6635519" cy="670321"/>
        </a:xfrm>
        <a:prstGeom prst="upArrowCallout">
          <a:avLst/>
        </a:prstGeom>
        <a:solidFill>
          <a:schemeClr val="accent4">
            <a:alpha val="90000"/>
            <a:hueOff val="0"/>
            <a:satOff val="0"/>
            <a:lumOff val="0"/>
            <a:alphaOff val="-40000"/>
          </a:schemeClr>
        </a:solidFill>
        <a:ln w="317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ENI CBC Overarching Strategic Objective B</a:t>
          </a:r>
        </a:p>
      </dsp:txBody>
      <dsp:txXfrm rot="-10800000">
        <a:off x="0" y="311"/>
        <a:ext cx="6635519" cy="235282"/>
      </dsp:txXfrm>
    </dsp:sp>
    <dsp:sp modelId="{87155499-1E5A-8E48-BFC0-FF4E62E7012B}">
      <dsp:nvSpPr>
        <dsp:cNvPr id="0" name=""/>
        <dsp:cNvSpPr/>
      </dsp:nvSpPr>
      <dsp:spPr>
        <a:xfrm>
          <a:off x="0" y="235594"/>
          <a:ext cx="6635519" cy="200425"/>
        </a:xfrm>
        <a:prstGeom prst="rect">
          <a:avLst/>
        </a:prstGeom>
        <a:solidFill>
          <a:schemeClr val="accent4">
            <a:alpha val="90000"/>
            <a:tint val="40000"/>
            <a:hueOff val="0"/>
            <a:satOff val="0"/>
            <a:lumOff val="0"/>
            <a:alphaOff val="-40000"/>
          </a:schemeClr>
        </a:solidFill>
        <a:ln w="31750" cap="flat" cmpd="sng" algn="ctr">
          <a:solidFill>
            <a:schemeClr val="accent4">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GB" sz="1200" kern="1200"/>
            <a:t>Address common challenges in environment, public health, safety and security</a:t>
          </a:r>
          <a:endParaRPr lang="fr-FR" sz="1200" kern="1200"/>
        </a:p>
      </dsp:txBody>
      <dsp:txXfrm>
        <a:off x="0" y="235594"/>
        <a:ext cx="6635519" cy="20042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C80A160D2ADC438A3B737CDBBCC658"/>
        <w:category>
          <w:name w:val="Général"/>
          <w:gallery w:val="placeholder"/>
        </w:category>
        <w:types>
          <w:type w:val="bbPlcHdr"/>
        </w:types>
        <w:behaviors>
          <w:behavior w:val="content"/>
        </w:behaviors>
        <w:guid w:val="{CD3B86BC-E2F0-DE42-9CE7-D18DD69DD1B9}"/>
      </w:docPartPr>
      <w:docPartBody>
        <w:p w:rsidR="00180317" w:rsidRDefault="00180317" w:rsidP="00180317">
          <w:pPr>
            <w:pStyle w:val="FDC80A160D2ADC438A3B737CDBBCC658"/>
          </w:pPr>
          <w:r>
            <w:t>Lorem Ipsum Dolor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horndale AMT">
    <w:altName w:val="Times New Roman"/>
    <w:charset w:val="00"/>
    <w:family w:val="roman"/>
    <w:pitch w:val="variable"/>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Utopia Std">
    <w:altName w:val="Cambria"/>
    <w:panose1 w:val="00000000000000000000"/>
    <w:charset w:val="4D"/>
    <w:family w:val="roman"/>
    <w:notTrueType/>
    <w:pitch w:val="default"/>
    <w:sig w:usb0="00000003" w:usb1="00000000" w:usb2="00000000" w:usb3="00000000" w:csb0="00000001" w:csb1="00000000"/>
  </w:font>
  <w:font w:name="Helvetica 65 Medium">
    <w:altName w:val="Cambria"/>
    <w:panose1 w:val="00000000000000000000"/>
    <w:charset w:val="4D"/>
    <w:family w:val="swiss"/>
    <w:notTrueType/>
    <w:pitch w:val="default"/>
    <w:sig w:usb0="00000003" w:usb1="00000000" w:usb2="00000000" w:usb3="00000000" w:csb0="00000001" w:csb1="00000000"/>
  </w:font>
  <w:font w:name="Swis721 Lt BT">
    <w:altName w:val="Trebuchet MS"/>
    <w:charset w:val="00"/>
    <w:family w:val="swiss"/>
    <w:pitch w:val="variable"/>
    <w:sig w:usb0="00000001" w:usb1="00000000" w:usb2="00000000" w:usb3="00000000" w:csb0="0000001B" w:csb1="00000000"/>
  </w:font>
  <w:font w:name="EUAlbertina">
    <w:altName w:val="EU Alberti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variable"/>
    <w:sig w:usb0="80000067"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àÔˇøﬁ‡Õ">
    <w:altName w:val="Cambria"/>
    <w:panose1 w:val="00000000000000000000"/>
    <w:charset w:val="4D"/>
    <w:family w:val="auto"/>
    <w:notTrueType/>
    <w:pitch w:val="default"/>
    <w:sig w:usb0="00000003" w:usb1="00000000" w:usb2="00000000" w:usb3="00000000" w:csb0="00000001" w:csb1="00000000"/>
  </w:font>
  <w:font w:name="Abadi MT Condensed Light">
    <w:altName w:val="MV Bol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57666E4"/>
    <w:lvl w:ilvl="0">
      <w:start w:val="1"/>
      <w:numFmt w:val="decimal"/>
      <w:pStyle w:val="ListNumber"/>
      <w:lvlText w:val="%1."/>
      <w:lvlJc w:val="left"/>
      <w:pPr>
        <w:tabs>
          <w:tab w:val="num" w:pos="360"/>
        </w:tabs>
        <w:ind w:left="360" w:hanging="360"/>
      </w:pPr>
      <w:rPr>
        <w:rFonts w:hint="default"/>
        <w:color w:val="808080" w:themeColor="background1" w:themeShade="80"/>
      </w:rPr>
    </w:lvl>
  </w:abstractNum>
  <w:abstractNum w:abstractNumId="1">
    <w:nsid w:val="FFFFFF89"/>
    <w:multiLevelType w:val="singleLevel"/>
    <w:tmpl w:val="7862CAF0"/>
    <w:lvl w:ilvl="0">
      <w:start w:val="1"/>
      <w:numFmt w:val="bullet"/>
      <w:pStyle w:val="ListBullet"/>
      <w:lvlText w:val="n"/>
      <w:lvlJc w:val="left"/>
      <w:pPr>
        <w:tabs>
          <w:tab w:val="num" w:pos="360"/>
        </w:tabs>
        <w:ind w:left="360" w:hanging="360"/>
      </w:pPr>
      <w:rPr>
        <w:rFonts w:ascii="Wingdings" w:hAnsi="Wingdings" w:hint="default"/>
        <w:color w:val="C0504D" w:themeColor="accent2"/>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09"/>
    <w:rsid w:val="00006255"/>
    <w:rsid w:val="000128B4"/>
    <w:rsid w:val="00040F72"/>
    <w:rsid w:val="00066E12"/>
    <w:rsid w:val="00086AB5"/>
    <w:rsid w:val="00094AF9"/>
    <w:rsid w:val="000A0C8F"/>
    <w:rsid w:val="000B7112"/>
    <w:rsid w:val="000D44BB"/>
    <w:rsid w:val="000F3209"/>
    <w:rsid w:val="001018C6"/>
    <w:rsid w:val="00110A9E"/>
    <w:rsid w:val="00180317"/>
    <w:rsid w:val="001C76D2"/>
    <w:rsid w:val="0020475C"/>
    <w:rsid w:val="0023796A"/>
    <w:rsid w:val="0025464E"/>
    <w:rsid w:val="002604EA"/>
    <w:rsid w:val="00271597"/>
    <w:rsid w:val="00295870"/>
    <w:rsid w:val="00334978"/>
    <w:rsid w:val="00366D78"/>
    <w:rsid w:val="00376FCE"/>
    <w:rsid w:val="003F0C6A"/>
    <w:rsid w:val="004117E7"/>
    <w:rsid w:val="00413BEB"/>
    <w:rsid w:val="0042629F"/>
    <w:rsid w:val="004543AE"/>
    <w:rsid w:val="004562CE"/>
    <w:rsid w:val="00481268"/>
    <w:rsid w:val="004A6B42"/>
    <w:rsid w:val="004C28E7"/>
    <w:rsid w:val="004C7F88"/>
    <w:rsid w:val="004F010B"/>
    <w:rsid w:val="00504A9D"/>
    <w:rsid w:val="005272DC"/>
    <w:rsid w:val="005306B8"/>
    <w:rsid w:val="00537BA4"/>
    <w:rsid w:val="00541317"/>
    <w:rsid w:val="00557C2A"/>
    <w:rsid w:val="00573C91"/>
    <w:rsid w:val="00593A43"/>
    <w:rsid w:val="005B008B"/>
    <w:rsid w:val="00612368"/>
    <w:rsid w:val="0061771C"/>
    <w:rsid w:val="00634F79"/>
    <w:rsid w:val="00647FB5"/>
    <w:rsid w:val="0065361F"/>
    <w:rsid w:val="006717D2"/>
    <w:rsid w:val="006959D9"/>
    <w:rsid w:val="00695EC0"/>
    <w:rsid w:val="006A3B63"/>
    <w:rsid w:val="006C7B32"/>
    <w:rsid w:val="006D2536"/>
    <w:rsid w:val="006F2042"/>
    <w:rsid w:val="007148DE"/>
    <w:rsid w:val="00742771"/>
    <w:rsid w:val="00744112"/>
    <w:rsid w:val="007554AC"/>
    <w:rsid w:val="00765D40"/>
    <w:rsid w:val="00773960"/>
    <w:rsid w:val="0078448C"/>
    <w:rsid w:val="007A73F5"/>
    <w:rsid w:val="007C6758"/>
    <w:rsid w:val="007D14E5"/>
    <w:rsid w:val="008018AB"/>
    <w:rsid w:val="0080707B"/>
    <w:rsid w:val="00813A81"/>
    <w:rsid w:val="00844509"/>
    <w:rsid w:val="0087266C"/>
    <w:rsid w:val="008B5273"/>
    <w:rsid w:val="008C31F6"/>
    <w:rsid w:val="008C6227"/>
    <w:rsid w:val="008F41D4"/>
    <w:rsid w:val="00910174"/>
    <w:rsid w:val="009114E4"/>
    <w:rsid w:val="00924B37"/>
    <w:rsid w:val="009631ED"/>
    <w:rsid w:val="00964F15"/>
    <w:rsid w:val="009A3F71"/>
    <w:rsid w:val="009C7A02"/>
    <w:rsid w:val="009D03C4"/>
    <w:rsid w:val="009F05F3"/>
    <w:rsid w:val="00A20452"/>
    <w:rsid w:val="00A47144"/>
    <w:rsid w:val="00A51C8A"/>
    <w:rsid w:val="00A6177A"/>
    <w:rsid w:val="00A662ED"/>
    <w:rsid w:val="00A8124B"/>
    <w:rsid w:val="00A83A7D"/>
    <w:rsid w:val="00A859F2"/>
    <w:rsid w:val="00AB0CBB"/>
    <w:rsid w:val="00AC546E"/>
    <w:rsid w:val="00AC6F23"/>
    <w:rsid w:val="00B06791"/>
    <w:rsid w:val="00B34485"/>
    <w:rsid w:val="00B60D0E"/>
    <w:rsid w:val="00B67CFF"/>
    <w:rsid w:val="00BB18D9"/>
    <w:rsid w:val="00BC33C0"/>
    <w:rsid w:val="00BD575F"/>
    <w:rsid w:val="00BE0A8B"/>
    <w:rsid w:val="00C159A3"/>
    <w:rsid w:val="00C22266"/>
    <w:rsid w:val="00C36141"/>
    <w:rsid w:val="00C61958"/>
    <w:rsid w:val="00C8655F"/>
    <w:rsid w:val="00C96E95"/>
    <w:rsid w:val="00CA727A"/>
    <w:rsid w:val="00D17450"/>
    <w:rsid w:val="00D30CCA"/>
    <w:rsid w:val="00D500A6"/>
    <w:rsid w:val="00D74066"/>
    <w:rsid w:val="00D76CD5"/>
    <w:rsid w:val="00D76E8D"/>
    <w:rsid w:val="00D91657"/>
    <w:rsid w:val="00D95295"/>
    <w:rsid w:val="00DC29C4"/>
    <w:rsid w:val="00DC5F0C"/>
    <w:rsid w:val="00E01B0C"/>
    <w:rsid w:val="00E0345C"/>
    <w:rsid w:val="00E037C1"/>
    <w:rsid w:val="00E10AB1"/>
    <w:rsid w:val="00E5196F"/>
    <w:rsid w:val="00E5792E"/>
    <w:rsid w:val="00E671D8"/>
    <w:rsid w:val="00EC0702"/>
    <w:rsid w:val="00EC2C71"/>
    <w:rsid w:val="00EC4F20"/>
    <w:rsid w:val="00EC5670"/>
    <w:rsid w:val="00ED1865"/>
    <w:rsid w:val="00ED1B79"/>
    <w:rsid w:val="00ED6F48"/>
    <w:rsid w:val="00EE5290"/>
    <w:rsid w:val="00F3127B"/>
    <w:rsid w:val="00F71568"/>
    <w:rsid w:val="00F860F7"/>
    <w:rsid w:val="00FE3E0E"/>
    <w:rsid w:val="00FE438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after="240" w:line="276" w:lineRule="auto"/>
      <w:jc w:val="center"/>
      <w:outlineLvl w:val="1"/>
    </w:pPr>
    <w:rPr>
      <w:rFonts w:asciiTheme="majorHAnsi" w:eastAsiaTheme="majorEastAsia" w:hAnsiTheme="majorHAnsi" w:cstheme="majorBidi"/>
      <w:bCs/>
      <w:color w:val="000000" w:themeColor="text1"/>
      <w:sz w:val="28"/>
      <w:szCs w:val="26"/>
      <w:lang w:eastAsia="fr-FR"/>
    </w:rPr>
  </w:style>
  <w:style w:type="paragraph" w:styleId="Heading3">
    <w:name w:val="heading 3"/>
    <w:basedOn w:val="Normal"/>
    <w:next w:val="Normal"/>
    <w:link w:val="Heading3Char"/>
    <w:uiPriority w:val="1"/>
    <w:qFormat/>
    <w:pPr>
      <w:keepNext/>
      <w:keepLines/>
      <w:spacing w:before="280" w:line="276" w:lineRule="auto"/>
      <w:outlineLvl w:val="2"/>
    </w:pPr>
    <w:rPr>
      <w:rFonts w:asciiTheme="majorHAnsi" w:eastAsiaTheme="majorEastAsia" w:hAnsiTheme="majorHAnsi" w:cstheme="majorBidi"/>
      <w:bCs/>
      <w:color w:val="C0504D" w:themeColor="accent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51E00B7A2C2B4FB097E7F13617664B">
    <w:name w:val="8A51E00B7A2C2B4FB097E7F13617664B"/>
  </w:style>
  <w:style w:type="paragraph" w:customStyle="1" w:styleId="FC604D4406EDC242B2C36278BA3E9AFC">
    <w:name w:val="FC604D4406EDC242B2C36278BA3E9AFC"/>
  </w:style>
  <w:style w:type="paragraph" w:customStyle="1" w:styleId="74EA6CF3482A6843B1BB3F13DD81733F">
    <w:name w:val="74EA6CF3482A6843B1BB3F13DD81733F"/>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lang w:eastAsia="fr-FR"/>
    </w:rPr>
  </w:style>
  <w:style w:type="paragraph" w:customStyle="1" w:styleId="E23545C38EEC9E4584FDB80256C3D96E">
    <w:name w:val="E23545C38EEC9E4584FDB80256C3D96E"/>
  </w:style>
  <w:style w:type="character" w:customStyle="1" w:styleId="Heading3Char">
    <w:name w:val="Heading 3 Char"/>
    <w:basedOn w:val="DefaultParagraphFont"/>
    <w:link w:val="Heading3"/>
    <w:uiPriority w:val="1"/>
    <w:rPr>
      <w:rFonts w:asciiTheme="majorHAnsi" w:eastAsiaTheme="majorEastAsia" w:hAnsiTheme="majorHAnsi" w:cstheme="majorBidi"/>
      <w:bCs/>
      <w:color w:val="C0504D" w:themeColor="accent2"/>
      <w:lang w:eastAsia="fr-FR"/>
    </w:rPr>
  </w:style>
  <w:style w:type="paragraph" w:styleId="ListBullet">
    <w:name w:val="List Bullet"/>
    <w:basedOn w:val="Normal"/>
    <w:uiPriority w:val="1"/>
    <w:qFormat/>
    <w:pPr>
      <w:numPr>
        <w:numId w:val="1"/>
      </w:numPr>
      <w:spacing w:after="240" w:line="276" w:lineRule="auto"/>
    </w:pPr>
    <w:rPr>
      <w:lang w:eastAsia="fr-FR"/>
    </w:rPr>
  </w:style>
  <w:style w:type="paragraph" w:styleId="ListNumber">
    <w:name w:val="List Number"/>
    <w:basedOn w:val="Normal"/>
    <w:uiPriority w:val="1"/>
    <w:qFormat/>
    <w:pPr>
      <w:numPr>
        <w:numId w:val="2"/>
      </w:numPr>
      <w:spacing w:after="240" w:line="276" w:lineRule="auto"/>
    </w:pPr>
    <w:rPr>
      <w:lang w:eastAsia="fr-FR"/>
    </w:rPr>
  </w:style>
  <w:style w:type="paragraph" w:customStyle="1" w:styleId="1741D819117B40409426544029BC5A13">
    <w:name w:val="1741D819117B40409426544029BC5A13"/>
  </w:style>
  <w:style w:type="paragraph" w:customStyle="1" w:styleId="62108A7F5CCBC94F818FABC9D00987C7">
    <w:name w:val="62108A7F5CCBC94F818FABC9D00987C7"/>
    <w:rsid w:val="00180317"/>
  </w:style>
  <w:style w:type="paragraph" w:customStyle="1" w:styleId="7C33FBF995948C43AA2F79BFDD0717E5">
    <w:name w:val="7C33FBF995948C43AA2F79BFDD0717E5"/>
    <w:rsid w:val="00180317"/>
  </w:style>
  <w:style w:type="paragraph" w:customStyle="1" w:styleId="FDC80A160D2ADC438A3B737CDBBCC658">
    <w:name w:val="FDC80A160D2ADC438A3B737CDBBCC658"/>
    <w:rsid w:val="00180317"/>
  </w:style>
  <w:style w:type="paragraph" w:customStyle="1" w:styleId="AA4372C58C89F24997FCD14BD083768C">
    <w:name w:val="AA4372C58C89F24997FCD14BD083768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1"/>
    <w:qFormat/>
    <w:pPr>
      <w:keepNext/>
      <w:keepLines/>
      <w:pBdr>
        <w:bottom w:val="single" w:sz="2" w:space="14" w:color="BFBFBF" w:themeColor="background1" w:themeShade="BF"/>
      </w:pBdr>
      <w:spacing w:before="120" w:after="240" w:line="276" w:lineRule="auto"/>
      <w:jc w:val="center"/>
      <w:outlineLvl w:val="1"/>
    </w:pPr>
    <w:rPr>
      <w:rFonts w:asciiTheme="majorHAnsi" w:eastAsiaTheme="majorEastAsia" w:hAnsiTheme="majorHAnsi" w:cstheme="majorBidi"/>
      <w:bCs/>
      <w:color w:val="000000" w:themeColor="text1"/>
      <w:sz w:val="28"/>
      <w:szCs w:val="26"/>
      <w:lang w:eastAsia="fr-FR"/>
    </w:rPr>
  </w:style>
  <w:style w:type="paragraph" w:styleId="Heading3">
    <w:name w:val="heading 3"/>
    <w:basedOn w:val="Normal"/>
    <w:next w:val="Normal"/>
    <w:link w:val="Heading3Char"/>
    <w:uiPriority w:val="1"/>
    <w:qFormat/>
    <w:pPr>
      <w:keepNext/>
      <w:keepLines/>
      <w:spacing w:before="280" w:line="276" w:lineRule="auto"/>
      <w:outlineLvl w:val="2"/>
    </w:pPr>
    <w:rPr>
      <w:rFonts w:asciiTheme="majorHAnsi" w:eastAsiaTheme="majorEastAsia" w:hAnsiTheme="majorHAnsi" w:cstheme="majorBidi"/>
      <w:bCs/>
      <w:color w:val="C0504D" w:themeColor="accent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51E00B7A2C2B4FB097E7F13617664B">
    <w:name w:val="8A51E00B7A2C2B4FB097E7F13617664B"/>
  </w:style>
  <w:style w:type="paragraph" w:customStyle="1" w:styleId="FC604D4406EDC242B2C36278BA3E9AFC">
    <w:name w:val="FC604D4406EDC242B2C36278BA3E9AFC"/>
  </w:style>
  <w:style w:type="paragraph" w:customStyle="1" w:styleId="74EA6CF3482A6843B1BB3F13DD81733F">
    <w:name w:val="74EA6CF3482A6843B1BB3F13DD81733F"/>
  </w:style>
  <w:style w:type="character" w:customStyle="1" w:styleId="Heading2Char">
    <w:name w:val="Heading 2 Char"/>
    <w:basedOn w:val="DefaultParagraphFont"/>
    <w:link w:val="Heading2"/>
    <w:uiPriority w:val="1"/>
    <w:rPr>
      <w:rFonts w:asciiTheme="majorHAnsi" w:eastAsiaTheme="majorEastAsia" w:hAnsiTheme="majorHAnsi" w:cstheme="majorBidi"/>
      <w:bCs/>
      <w:color w:val="000000" w:themeColor="text1"/>
      <w:sz w:val="28"/>
      <w:szCs w:val="26"/>
      <w:lang w:eastAsia="fr-FR"/>
    </w:rPr>
  </w:style>
  <w:style w:type="paragraph" w:customStyle="1" w:styleId="E23545C38EEC9E4584FDB80256C3D96E">
    <w:name w:val="E23545C38EEC9E4584FDB80256C3D96E"/>
  </w:style>
  <w:style w:type="character" w:customStyle="1" w:styleId="Heading3Char">
    <w:name w:val="Heading 3 Char"/>
    <w:basedOn w:val="DefaultParagraphFont"/>
    <w:link w:val="Heading3"/>
    <w:uiPriority w:val="1"/>
    <w:rPr>
      <w:rFonts w:asciiTheme="majorHAnsi" w:eastAsiaTheme="majorEastAsia" w:hAnsiTheme="majorHAnsi" w:cstheme="majorBidi"/>
      <w:bCs/>
      <w:color w:val="C0504D" w:themeColor="accent2"/>
      <w:lang w:eastAsia="fr-FR"/>
    </w:rPr>
  </w:style>
  <w:style w:type="paragraph" w:styleId="ListBullet">
    <w:name w:val="List Bullet"/>
    <w:basedOn w:val="Normal"/>
    <w:uiPriority w:val="1"/>
    <w:qFormat/>
    <w:pPr>
      <w:numPr>
        <w:numId w:val="1"/>
      </w:numPr>
      <w:spacing w:after="240" w:line="276" w:lineRule="auto"/>
    </w:pPr>
    <w:rPr>
      <w:lang w:eastAsia="fr-FR"/>
    </w:rPr>
  </w:style>
  <w:style w:type="paragraph" w:styleId="ListNumber">
    <w:name w:val="List Number"/>
    <w:basedOn w:val="Normal"/>
    <w:uiPriority w:val="1"/>
    <w:qFormat/>
    <w:pPr>
      <w:numPr>
        <w:numId w:val="2"/>
      </w:numPr>
      <w:spacing w:after="240" w:line="276" w:lineRule="auto"/>
    </w:pPr>
    <w:rPr>
      <w:lang w:eastAsia="fr-FR"/>
    </w:rPr>
  </w:style>
  <w:style w:type="paragraph" w:customStyle="1" w:styleId="1741D819117B40409426544029BC5A13">
    <w:name w:val="1741D819117B40409426544029BC5A13"/>
  </w:style>
  <w:style w:type="paragraph" w:customStyle="1" w:styleId="62108A7F5CCBC94F818FABC9D00987C7">
    <w:name w:val="62108A7F5CCBC94F818FABC9D00987C7"/>
    <w:rsid w:val="00180317"/>
  </w:style>
  <w:style w:type="paragraph" w:customStyle="1" w:styleId="7C33FBF995948C43AA2F79BFDD0717E5">
    <w:name w:val="7C33FBF995948C43AA2F79BFDD0717E5"/>
    <w:rsid w:val="00180317"/>
  </w:style>
  <w:style w:type="paragraph" w:customStyle="1" w:styleId="FDC80A160D2ADC438A3B737CDBBCC658">
    <w:name w:val="FDC80A160D2ADC438A3B737CDBBCC658"/>
    <w:rsid w:val="00180317"/>
  </w:style>
  <w:style w:type="paragraph" w:customStyle="1" w:styleId="AA4372C58C89F24997FCD14BD083768C">
    <w:name w:val="AA4372C58C89F24997FCD14BD0837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_rels/theme1.xml.rels><?xml version="1.0" encoding="UTF-8" standalone="yes"?>
<Relationships xmlns="http://schemas.openxmlformats.org/package/2006/relationships"><Relationship Id="rId3" Type="http://schemas.openxmlformats.org/officeDocument/2006/relationships/image" Target="../media/image56.jpeg"/><Relationship Id="rId2" Type="http://schemas.openxmlformats.org/officeDocument/2006/relationships/image" Target="../media/image55.jpeg"/><Relationship Id="rId1" Type="http://schemas.openxmlformats.org/officeDocument/2006/relationships/image" Target="../media/image54.jpeg"/></Relationships>
</file>

<file path=word/theme/theme1.xml><?xml version="1.0" encoding="utf-8"?>
<a:theme xmlns:a="http://schemas.openxmlformats.org/drawingml/2006/main" name="Capital">
  <a:themeElements>
    <a:clrScheme name="Term Paper">
      <a:dk1>
        <a:srgbClr val="000000"/>
      </a:dk1>
      <a:lt1>
        <a:srgbClr val="FFFFFF"/>
      </a:lt1>
      <a:dk2>
        <a:srgbClr val="6F6D5D"/>
      </a:dk2>
      <a:lt2>
        <a:srgbClr val="7C8F97"/>
      </a:lt2>
      <a:accent1>
        <a:srgbClr val="4B5A60"/>
      </a:accent1>
      <a:accent2>
        <a:srgbClr val="983620"/>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Laste</b:Tag>
    <b:SourceType>Book</b:SourceType>
    <b:Guid>{BD4ADEE4-EAA5-4B04-A87D-2E77C1151C40}</b:Guid>
    <b:Title>Lorem Ipsum Dolor Sit Amet</b:Title>
    <b:Year>Date</b:Year>
    <b:City>Ville</b:City>
    <b:Publisher>Publisher</b:Publisher>
    <b:Author>
      <b:Author>
        <b:NameList>
          <b:Person>
            <b:Last>Last Name</b:Last>
            <b:First>First Name</b:First>
          </b:Person>
        </b:NameList>
      </b:Author>
    </b:Author>
    <b:RefOrder>1</b:RefOrder>
  </b:Source>
  <b:Source>
    <b:Tag>Laste1</b:Tag>
    <b:SourceType>JournalArticle</b:SourceType>
    <b:Guid>{89CA9E05-3404-46CB-8061-6741D2EB17B5}</b:Guid>
    <b:Title>Dolor Sit Amet</b:Title>
    <b:Year>Date</b:Year>
    <b:JournalName>Lorem Ipsum</b:JournalName>
    <b:Pages>1 - 10</b:Pages>
    <b:Author>
      <b:Author>
        <b:NameList>
          <b:Person>
            <b:Last>Last Name</b:Last>
            <b:First>First Name</b:First>
          </b:Person>
        </b:NameList>
      </b:Author>
    </b:Author>
    <b:RefOrder>2</b:RefOrder>
  </b:Source>
  <b:Source>
    <b:Tag>Dolte</b:Tag>
    <b:SourceType>ArticleInAPeriodical</b:SourceType>
    <b:Guid>{2C792E63-AED4-412B-A2CD-AC7291C24484}</b:Guid>
    <b:Author>
      <b:Author>
        <b:NameList>
          <b:Person>
            <b:Last>Last Name</b:Last>
            <b:First>First Name</b:First>
          </b:Person>
        </b:NameList>
      </b:Author>
    </b:Author>
    <b:Title>Lorem Ipsum Dolor Sit Amet</b:Title>
    <b:Year>Date</b:Year>
    <b:City>Ville</b:City>
    <b:Publisher>Publisher</b:Publisher>
    <b:StateProvince>État</b:StateProvince>
    <b:CountryRegion>Country</b:CountryRegion>
    <b:PeriodicalTitle>Duis sed elit ante</b:PeriodicalTitle>
    <b:Pages>10-20</b:Pages>
    <b:RefOrder>3</b:RefOrder>
  </b:Source>
</b:Sources>
</file>

<file path=customXml/itemProps1.xml><?xml version="1.0" encoding="utf-8"?>
<ds:datastoreItem xmlns:ds="http://schemas.openxmlformats.org/officeDocument/2006/customXml" ds:itemID="{6D510261-14F1-4C7E-B1DD-5D6239F0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42944</Words>
  <Characters>244782</Characters>
  <Application>Microsoft Office Word</Application>
  <DocSecurity>0</DocSecurity>
  <Lines>2039</Lines>
  <Paragraphs>574</Paragraphs>
  <ScaleCrop>false</ScaleCrop>
  <HeadingPairs>
    <vt:vector size="6" baseType="variant">
      <vt:variant>
        <vt:lpstr>Title</vt:lpstr>
      </vt:variant>
      <vt:variant>
        <vt:i4>1</vt:i4>
      </vt:variant>
      <vt:variant>
        <vt:lpstr>Заглавие</vt:lpstr>
      </vt:variant>
      <vt:variant>
        <vt:i4>1</vt:i4>
      </vt:variant>
      <vt:variant>
        <vt:lpstr>Konu Başlığı</vt:lpstr>
      </vt:variant>
      <vt:variant>
        <vt:i4>1</vt:i4>
      </vt:variant>
    </vt:vector>
  </HeadingPairs>
  <TitlesOfParts>
    <vt:vector size="3" baseType="lpstr">
      <vt:lpstr>Joint Operational Programme Black Sea Basin 2014-2020</vt:lpstr>
      <vt:lpstr>Black Sea Basin 2014-2020</vt:lpstr>
      <vt:lpstr>Black Sea Basin 2014-2020</vt:lpstr>
    </vt:vector>
  </TitlesOfParts>
  <Company>Hewlett-Packard Company</Company>
  <LinksUpToDate>false</LinksUpToDate>
  <CharactersWithSpaces>287152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Operational Programme Black Sea Basin 2014-2020</dc:title>
  <dc:subject>Socio-Economic Analysis</dc:subject>
  <dc:creator>KARINE BLANCHE LEROY</dc:creator>
  <cp:lastModifiedBy>Laura Bobarnac</cp:lastModifiedBy>
  <cp:revision>3</cp:revision>
  <cp:lastPrinted>2015-08-26T10:39:00Z</cp:lastPrinted>
  <dcterms:created xsi:type="dcterms:W3CDTF">2015-11-23T12:19:00Z</dcterms:created>
  <dcterms:modified xsi:type="dcterms:W3CDTF">2015-11-23T12:20:00Z</dcterms:modified>
</cp:coreProperties>
</file>